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43E" w:rsidRPr="00AA729A" w:rsidRDefault="002F643E" w:rsidP="002F643E">
      <w:pPr>
        <w:jc w:val="center"/>
        <w:rPr>
          <w:rFonts w:ascii="Arial" w:hAnsi="Arial" w:cs="Arial"/>
          <w:b/>
          <w:sz w:val="22"/>
          <w:szCs w:val="22"/>
        </w:rPr>
      </w:pPr>
      <w:bookmarkStart w:id="0" w:name="_GoBack"/>
      <w:r w:rsidRPr="00AA729A">
        <w:rPr>
          <w:rFonts w:ascii="Arial" w:hAnsi="Arial" w:cs="Arial"/>
          <w:b/>
          <w:sz w:val="22"/>
          <w:szCs w:val="22"/>
        </w:rPr>
        <w:t xml:space="preserve">Targeted bisulfite sequencing identified a panel of DNA methylation-based biomarkers for </w:t>
      </w:r>
      <w:r>
        <w:rPr>
          <w:rFonts w:ascii="Arial" w:hAnsi="Arial" w:cs="Arial"/>
          <w:b/>
          <w:sz w:val="22"/>
          <w:szCs w:val="22"/>
        </w:rPr>
        <w:t>Non-small cell lung cancer</w:t>
      </w:r>
      <w:r w:rsidRPr="00AA729A">
        <w:rPr>
          <w:rFonts w:ascii="Arial" w:hAnsi="Arial" w:cs="Arial"/>
          <w:b/>
          <w:sz w:val="22"/>
          <w:szCs w:val="22"/>
        </w:rPr>
        <w:t xml:space="preserve"> (</w:t>
      </w:r>
      <w:r>
        <w:rPr>
          <w:rFonts w:ascii="Arial" w:hAnsi="Arial" w:cs="Arial"/>
          <w:b/>
          <w:sz w:val="22"/>
          <w:szCs w:val="22"/>
        </w:rPr>
        <w:t>NSCLC</w:t>
      </w:r>
      <w:r w:rsidRPr="00AA729A">
        <w:rPr>
          <w:rFonts w:ascii="Arial" w:hAnsi="Arial" w:cs="Arial"/>
          <w:b/>
          <w:sz w:val="22"/>
          <w:szCs w:val="22"/>
        </w:rPr>
        <w:t>)</w:t>
      </w:r>
    </w:p>
    <w:p w:rsidR="002F643E" w:rsidRPr="00AA729A" w:rsidRDefault="002F643E" w:rsidP="002F643E">
      <w:pPr>
        <w:rPr>
          <w:rFonts w:ascii="Arial" w:hAnsi="Arial" w:cs="Arial"/>
          <w:sz w:val="22"/>
          <w:szCs w:val="22"/>
        </w:rPr>
      </w:pPr>
    </w:p>
    <w:p w:rsidR="002F643E" w:rsidRPr="00AA729A" w:rsidRDefault="002F643E" w:rsidP="002F643E">
      <w:pPr>
        <w:rPr>
          <w:rFonts w:ascii="Arial" w:hAnsi="Arial" w:cs="Arial"/>
          <w:b/>
          <w:sz w:val="22"/>
          <w:szCs w:val="22"/>
        </w:rPr>
      </w:pPr>
      <w:r w:rsidRPr="00AA729A">
        <w:rPr>
          <w:rFonts w:ascii="Arial" w:hAnsi="Arial" w:cs="Arial"/>
          <w:b/>
          <w:sz w:val="22"/>
          <w:szCs w:val="22"/>
        </w:rPr>
        <w:t xml:space="preserve">Abstract </w:t>
      </w:r>
    </w:p>
    <w:p w:rsidR="00D55BAB" w:rsidRDefault="00D55BAB" w:rsidP="002F643E">
      <w:pPr>
        <w:rPr>
          <w:rFonts w:ascii="Arial" w:hAnsi="Arial" w:cs="Arial"/>
          <w:b/>
          <w:sz w:val="22"/>
          <w:szCs w:val="22"/>
        </w:rPr>
      </w:pPr>
    </w:p>
    <w:p w:rsidR="002F643E" w:rsidRPr="00AA729A" w:rsidRDefault="002F643E" w:rsidP="002F643E">
      <w:pPr>
        <w:rPr>
          <w:rFonts w:ascii="Arial" w:hAnsi="Arial" w:cs="Arial"/>
          <w:sz w:val="22"/>
          <w:szCs w:val="22"/>
        </w:rPr>
      </w:pPr>
      <w:r w:rsidRPr="00D55BAB">
        <w:rPr>
          <w:rFonts w:ascii="Arial" w:hAnsi="Arial" w:cs="Arial"/>
          <w:b/>
          <w:sz w:val="22"/>
          <w:szCs w:val="22"/>
        </w:rPr>
        <w:t>Background</w:t>
      </w:r>
      <w:r w:rsidRPr="00AA729A">
        <w:rPr>
          <w:rFonts w:ascii="Arial" w:hAnsi="Arial" w:cs="Arial"/>
          <w:sz w:val="22"/>
          <w:szCs w:val="22"/>
        </w:rPr>
        <w:t xml:space="preserve">: DNA methylation has been implicated as the promising biomarker for precise cancer diagnosis. However, limited DNA-methylation based biomarkers have been found in </w:t>
      </w:r>
      <w:r w:rsidR="00D55BAB" w:rsidRPr="00D55BAB">
        <w:rPr>
          <w:rFonts w:ascii="Arial" w:hAnsi="Arial" w:cs="Arial"/>
          <w:sz w:val="22"/>
          <w:szCs w:val="22"/>
        </w:rPr>
        <w:t>Non-small cell lung cancer (NSCLC)</w:t>
      </w:r>
      <w:r w:rsidR="00D55BAB">
        <w:rPr>
          <w:rFonts w:ascii="Arial" w:hAnsi="Arial" w:cs="Arial"/>
          <w:sz w:val="22"/>
          <w:szCs w:val="22"/>
        </w:rPr>
        <w:t>.</w:t>
      </w:r>
    </w:p>
    <w:p w:rsidR="00D55BAB" w:rsidRDefault="00D55BAB" w:rsidP="002F643E">
      <w:pPr>
        <w:rPr>
          <w:rFonts w:ascii="Arial" w:hAnsi="Arial" w:cs="Arial"/>
          <w:b/>
          <w:sz w:val="22"/>
          <w:szCs w:val="22"/>
        </w:rPr>
      </w:pPr>
    </w:p>
    <w:p w:rsidR="002F643E" w:rsidRPr="00AA729A" w:rsidRDefault="002F643E" w:rsidP="002F643E">
      <w:pPr>
        <w:rPr>
          <w:rFonts w:ascii="Arial" w:hAnsi="Arial" w:cs="Arial"/>
          <w:sz w:val="22"/>
          <w:szCs w:val="22"/>
        </w:rPr>
      </w:pPr>
      <w:r w:rsidRPr="00AA729A">
        <w:rPr>
          <w:rFonts w:ascii="Arial" w:hAnsi="Arial" w:cs="Arial"/>
          <w:b/>
          <w:sz w:val="22"/>
          <w:szCs w:val="22"/>
        </w:rPr>
        <w:t>Results</w:t>
      </w:r>
      <w:r w:rsidRPr="00AA729A">
        <w:rPr>
          <w:rFonts w:ascii="Arial" w:hAnsi="Arial" w:cs="Arial"/>
          <w:sz w:val="22"/>
          <w:szCs w:val="22"/>
        </w:rPr>
        <w:t>: In our study, high-throughput DNA methylation dataset (</w:t>
      </w:r>
      <w:r w:rsidR="00D55BAB" w:rsidRPr="00D55BAB">
        <w:rPr>
          <w:rFonts w:ascii="Arial" w:hAnsi="Arial" w:cs="Arial"/>
          <w:sz w:val="22"/>
          <w:szCs w:val="22"/>
          <w:highlight w:val="yellow"/>
        </w:rPr>
        <w:t>320</w:t>
      </w:r>
      <w:r w:rsidRPr="00AA729A">
        <w:rPr>
          <w:rFonts w:ascii="Arial" w:hAnsi="Arial" w:cs="Arial"/>
          <w:sz w:val="22"/>
          <w:szCs w:val="22"/>
        </w:rPr>
        <w:t xml:space="preserve"> samples) of </w:t>
      </w:r>
      <w:r w:rsidR="00D55BAB">
        <w:rPr>
          <w:rFonts w:ascii="Arial" w:hAnsi="Arial" w:cs="Arial"/>
          <w:sz w:val="22"/>
          <w:szCs w:val="22"/>
        </w:rPr>
        <w:t>NSCLC</w:t>
      </w:r>
      <w:r w:rsidRPr="00AA729A">
        <w:rPr>
          <w:rFonts w:ascii="Arial" w:hAnsi="Arial" w:cs="Arial"/>
          <w:sz w:val="22"/>
          <w:szCs w:val="22"/>
        </w:rPr>
        <w:t xml:space="preserve"> from the cancer genome atlas (TCGA) project was analyzed and validated in another independent dataset (</w:t>
      </w:r>
      <w:r w:rsidR="00D55BAB" w:rsidRPr="00D55BAB">
        <w:rPr>
          <w:rFonts w:ascii="Arial" w:hAnsi="Arial" w:cs="Arial"/>
          <w:sz w:val="22"/>
          <w:szCs w:val="22"/>
          <w:highlight w:val="yellow"/>
        </w:rPr>
        <w:t>64</w:t>
      </w:r>
      <w:r w:rsidRPr="00AA729A">
        <w:rPr>
          <w:rFonts w:ascii="Arial" w:hAnsi="Arial" w:cs="Arial"/>
          <w:sz w:val="22"/>
          <w:szCs w:val="22"/>
        </w:rPr>
        <w:t xml:space="preserve"> samples) from gene expression omnibus (GEO) database. The methylation status from </w:t>
      </w:r>
      <w:r w:rsidR="00D55BAB">
        <w:rPr>
          <w:rFonts w:ascii="Arial" w:hAnsi="Arial" w:cs="Arial"/>
          <w:sz w:val="22"/>
          <w:szCs w:val="22"/>
        </w:rPr>
        <w:t xml:space="preserve">PBMC </w:t>
      </w:r>
      <w:r w:rsidRPr="00AA729A">
        <w:rPr>
          <w:rFonts w:ascii="Arial" w:hAnsi="Arial" w:cs="Arial"/>
          <w:sz w:val="22"/>
          <w:szCs w:val="22"/>
        </w:rPr>
        <w:t xml:space="preserve">cells from healthy controls was also utilized for biomarker selection. Based on above procedures, five candidate </w:t>
      </w:r>
      <w:proofErr w:type="spellStart"/>
      <w:r w:rsidRPr="00AA729A">
        <w:rPr>
          <w:rFonts w:ascii="Arial" w:hAnsi="Arial" w:cs="Arial"/>
          <w:sz w:val="22"/>
          <w:szCs w:val="22"/>
        </w:rPr>
        <w:t>CpGsites</w:t>
      </w:r>
      <w:proofErr w:type="spellEnd"/>
      <w:r w:rsidRPr="00AA729A">
        <w:rPr>
          <w:rFonts w:ascii="Arial" w:hAnsi="Arial" w:cs="Arial"/>
          <w:sz w:val="22"/>
          <w:szCs w:val="22"/>
        </w:rPr>
        <w:t xml:space="preserve"> as well as its adjacent regions were further validated in another </w:t>
      </w:r>
      <w:r w:rsidR="00D55BAB" w:rsidRPr="00D55BAB">
        <w:rPr>
          <w:rFonts w:ascii="Arial" w:hAnsi="Arial" w:cs="Arial"/>
          <w:b/>
          <w:color w:val="FF0000"/>
          <w:sz w:val="22"/>
          <w:szCs w:val="22"/>
          <w:highlight w:val="yellow"/>
        </w:rPr>
        <w:t>120</w:t>
      </w:r>
      <w:r w:rsidRPr="00D55BAB">
        <w:rPr>
          <w:rFonts w:ascii="Arial" w:hAnsi="Arial" w:cs="Arial"/>
          <w:color w:val="FF0000"/>
          <w:sz w:val="22"/>
          <w:szCs w:val="22"/>
        </w:rPr>
        <w:t xml:space="preserve"> </w:t>
      </w:r>
      <w:r w:rsidRPr="00AA729A">
        <w:rPr>
          <w:rFonts w:ascii="Arial" w:hAnsi="Arial" w:cs="Arial"/>
          <w:sz w:val="22"/>
          <w:szCs w:val="22"/>
        </w:rPr>
        <w:t>pairs of ESCC tumor tissues and adjacent normal tissues</w:t>
      </w:r>
      <w:r w:rsidR="00D55BAB">
        <w:rPr>
          <w:rFonts w:ascii="Arial" w:hAnsi="Arial" w:cs="Arial"/>
          <w:sz w:val="22"/>
          <w:szCs w:val="22"/>
        </w:rPr>
        <w:t xml:space="preserve"> as well </w:t>
      </w:r>
      <w:r w:rsidR="00D55BAB" w:rsidRPr="00D55BAB">
        <w:rPr>
          <w:rFonts w:ascii="Arial" w:hAnsi="Arial" w:cs="Arial"/>
          <w:b/>
          <w:color w:val="FF0000"/>
          <w:sz w:val="22"/>
          <w:szCs w:val="22"/>
          <w:highlight w:val="yellow"/>
        </w:rPr>
        <w:t>30</w:t>
      </w:r>
      <w:r w:rsidR="00D55BAB" w:rsidRPr="00D55BAB">
        <w:rPr>
          <w:rFonts w:ascii="Arial" w:hAnsi="Arial" w:cs="Arial"/>
          <w:color w:val="FF0000"/>
          <w:sz w:val="22"/>
          <w:szCs w:val="22"/>
        </w:rPr>
        <w:t xml:space="preserve"> </w:t>
      </w:r>
      <w:r w:rsidR="00D55BAB">
        <w:rPr>
          <w:rFonts w:ascii="Arial" w:hAnsi="Arial" w:cs="Arial"/>
          <w:sz w:val="22"/>
          <w:szCs w:val="22"/>
        </w:rPr>
        <w:t>pairs of cell-free DNA from NSCLC and normal individuals in</w:t>
      </w:r>
      <w:r w:rsidRPr="00AA729A">
        <w:rPr>
          <w:rFonts w:ascii="Arial" w:hAnsi="Arial" w:cs="Arial"/>
          <w:sz w:val="22"/>
          <w:szCs w:val="22"/>
        </w:rPr>
        <w:t xml:space="preserve"> Chinese Han population using targeted bisulfite sequencing method. Logistic regression model was applied to the methylation status of genomic regions covering the five candidate </w:t>
      </w:r>
      <w:proofErr w:type="spellStart"/>
      <w:r w:rsidRPr="00AA729A">
        <w:rPr>
          <w:rFonts w:ascii="Arial" w:hAnsi="Arial" w:cs="Arial"/>
          <w:sz w:val="22"/>
          <w:szCs w:val="22"/>
        </w:rPr>
        <w:t>CpGsites</w:t>
      </w:r>
      <w:proofErr w:type="spellEnd"/>
      <w:r w:rsidRPr="00AA729A">
        <w:rPr>
          <w:rFonts w:ascii="Arial" w:hAnsi="Arial" w:cs="Arial"/>
          <w:sz w:val="22"/>
          <w:szCs w:val="22"/>
        </w:rPr>
        <w:t xml:space="preserve">, yielding a robust performance (Sensitivity = </w:t>
      </w:r>
      <w:r w:rsidRPr="00D55BAB">
        <w:rPr>
          <w:rFonts w:ascii="Arial" w:hAnsi="Arial" w:cs="Arial"/>
          <w:sz w:val="22"/>
          <w:szCs w:val="22"/>
          <w:highlight w:val="yellow"/>
        </w:rPr>
        <w:t>0.75</w:t>
      </w:r>
      <w:r w:rsidRPr="00AA729A">
        <w:rPr>
          <w:rFonts w:ascii="Arial" w:hAnsi="Arial" w:cs="Arial"/>
          <w:sz w:val="22"/>
          <w:szCs w:val="22"/>
        </w:rPr>
        <w:t>, Specificity=</w:t>
      </w:r>
      <w:r w:rsidRPr="00D55BAB">
        <w:rPr>
          <w:rFonts w:ascii="Arial" w:hAnsi="Arial" w:cs="Arial"/>
          <w:sz w:val="22"/>
          <w:szCs w:val="22"/>
          <w:highlight w:val="yellow"/>
        </w:rPr>
        <w:t>0.88</w:t>
      </w:r>
      <w:r w:rsidRPr="00AA729A">
        <w:rPr>
          <w:rFonts w:ascii="Arial" w:hAnsi="Arial" w:cs="Arial"/>
          <w:sz w:val="22"/>
          <w:szCs w:val="22"/>
        </w:rPr>
        <w:t>, AUC=</w:t>
      </w:r>
      <w:r w:rsidRPr="00D55BAB">
        <w:rPr>
          <w:rFonts w:ascii="Arial" w:hAnsi="Arial" w:cs="Arial"/>
          <w:sz w:val="22"/>
          <w:szCs w:val="22"/>
          <w:highlight w:val="yellow"/>
        </w:rPr>
        <w:t>0.85</w:t>
      </w:r>
      <w:r w:rsidRPr="00AA729A">
        <w:rPr>
          <w:rFonts w:ascii="Arial" w:hAnsi="Arial" w:cs="Arial"/>
          <w:sz w:val="22"/>
          <w:szCs w:val="22"/>
        </w:rPr>
        <w:t xml:space="preserve">). Eight statistical models along with fivefold cross-validation were also applied, in which the SVM model reached the best accuracy in both train and test dataset (Accuracy = </w:t>
      </w:r>
      <w:r w:rsidRPr="00D55BAB">
        <w:rPr>
          <w:rFonts w:ascii="Arial" w:hAnsi="Arial" w:cs="Arial"/>
          <w:sz w:val="22"/>
          <w:szCs w:val="22"/>
          <w:highlight w:val="yellow"/>
        </w:rPr>
        <w:t>0.82 and 0.80</w:t>
      </w:r>
      <w:r w:rsidRPr="00AA729A">
        <w:rPr>
          <w:rFonts w:ascii="Arial" w:hAnsi="Arial" w:cs="Arial"/>
          <w:sz w:val="22"/>
          <w:szCs w:val="22"/>
        </w:rPr>
        <w:t xml:space="preserve">, respectively). In addition, subgroup analyzes revealed strong difference of diagnostic performance in the alcohol use and non-alcohol use subgroups.  </w:t>
      </w:r>
    </w:p>
    <w:p w:rsidR="002F643E" w:rsidRPr="00AA729A" w:rsidRDefault="002F643E" w:rsidP="002F643E">
      <w:pPr>
        <w:rPr>
          <w:rFonts w:ascii="Arial" w:hAnsi="Arial" w:cs="Arial"/>
          <w:sz w:val="22"/>
          <w:szCs w:val="22"/>
        </w:rPr>
      </w:pPr>
    </w:p>
    <w:p w:rsidR="002F643E" w:rsidRPr="00AA729A" w:rsidRDefault="002F643E" w:rsidP="002F643E">
      <w:pPr>
        <w:rPr>
          <w:rFonts w:ascii="Arial" w:hAnsi="Arial" w:cs="Arial"/>
          <w:sz w:val="22"/>
          <w:szCs w:val="22"/>
        </w:rPr>
      </w:pPr>
      <w:r w:rsidRPr="00AA729A">
        <w:rPr>
          <w:rFonts w:ascii="Arial" w:hAnsi="Arial" w:cs="Arial"/>
          <w:b/>
          <w:sz w:val="22"/>
          <w:szCs w:val="22"/>
        </w:rPr>
        <w:t>Conclusions</w:t>
      </w:r>
      <w:r w:rsidRPr="00AA729A">
        <w:rPr>
          <w:rFonts w:ascii="Arial" w:hAnsi="Arial" w:cs="Arial"/>
          <w:sz w:val="22"/>
          <w:szCs w:val="22"/>
        </w:rPr>
        <w:t xml:space="preserve">: In summary, based on the high-throughput DNA methylation dataset for biomarker screening, we identified five candidate </w:t>
      </w:r>
      <w:proofErr w:type="spellStart"/>
      <w:r w:rsidRPr="00AA729A">
        <w:rPr>
          <w:rFonts w:ascii="Arial" w:hAnsi="Arial" w:cs="Arial"/>
          <w:sz w:val="22"/>
          <w:szCs w:val="22"/>
        </w:rPr>
        <w:t>CpGsites</w:t>
      </w:r>
      <w:proofErr w:type="spellEnd"/>
      <w:r w:rsidRPr="00AA729A">
        <w:rPr>
          <w:rFonts w:ascii="Arial" w:hAnsi="Arial" w:cs="Arial"/>
          <w:sz w:val="22"/>
          <w:szCs w:val="22"/>
        </w:rPr>
        <w:t xml:space="preserve">, further validated these </w:t>
      </w:r>
      <w:proofErr w:type="spellStart"/>
      <w:r w:rsidRPr="00AA729A">
        <w:rPr>
          <w:rFonts w:ascii="Arial" w:hAnsi="Arial" w:cs="Arial"/>
          <w:sz w:val="22"/>
          <w:szCs w:val="22"/>
        </w:rPr>
        <w:t>CpGsites</w:t>
      </w:r>
      <w:proofErr w:type="spellEnd"/>
      <w:r w:rsidRPr="00AA729A">
        <w:rPr>
          <w:rFonts w:ascii="Arial" w:hAnsi="Arial" w:cs="Arial"/>
          <w:sz w:val="22"/>
          <w:szCs w:val="22"/>
        </w:rPr>
        <w:t xml:space="preserve"> as well as their nearby regions with another independent ESCC samples with targeted bisulfite sequencing. Methylation profiles of the five genomic regions covering </w:t>
      </w:r>
      <w:r w:rsidRPr="00D55BAB">
        <w:rPr>
          <w:rFonts w:ascii="Arial" w:hAnsi="Arial" w:cs="Arial"/>
          <w:color w:val="FF0000"/>
          <w:sz w:val="22"/>
          <w:szCs w:val="22"/>
          <w:highlight w:val="yellow"/>
        </w:rPr>
        <w:t>cg05249644 (STK3), cg15830431, cg20655070, cg26671652 (ZNF418) and cg27062795 (ZNF542</w:t>
      </w:r>
      <w:r w:rsidRPr="00D55BAB">
        <w:rPr>
          <w:rFonts w:ascii="Arial" w:hAnsi="Arial" w:cs="Arial"/>
          <w:sz w:val="22"/>
          <w:szCs w:val="22"/>
          <w:highlight w:val="yellow"/>
        </w:rPr>
        <w:t>)</w:t>
      </w:r>
      <w:r w:rsidRPr="00AA729A">
        <w:rPr>
          <w:rFonts w:ascii="Arial" w:hAnsi="Arial" w:cs="Arial"/>
          <w:sz w:val="22"/>
          <w:szCs w:val="22"/>
        </w:rPr>
        <w:t xml:space="preserve"> would be effective methylation-based testing for ESCC diagnosis.</w:t>
      </w:r>
    </w:p>
    <w:p w:rsidR="002F643E" w:rsidRPr="00AA729A" w:rsidRDefault="002F643E" w:rsidP="002F643E">
      <w:pPr>
        <w:rPr>
          <w:rFonts w:ascii="Arial" w:hAnsi="Arial" w:cs="Arial"/>
          <w:sz w:val="22"/>
          <w:szCs w:val="22"/>
        </w:rPr>
      </w:pPr>
    </w:p>
    <w:p w:rsidR="002F643E" w:rsidRPr="00AA729A" w:rsidRDefault="002F643E" w:rsidP="002F643E">
      <w:pPr>
        <w:rPr>
          <w:rFonts w:ascii="Arial" w:hAnsi="Arial" w:cs="Arial"/>
          <w:sz w:val="22"/>
          <w:szCs w:val="22"/>
        </w:rPr>
      </w:pPr>
    </w:p>
    <w:p w:rsidR="002F643E" w:rsidRDefault="002F643E" w:rsidP="002F643E">
      <w:pPr>
        <w:rPr>
          <w:rFonts w:ascii="Arial" w:hAnsi="Arial" w:cs="Arial"/>
          <w:sz w:val="22"/>
          <w:szCs w:val="22"/>
        </w:rPr>
      </w:pPr>
      <w:r w:rsidRPr="00AA729A">
        <w:rPr>
          <w:rFonts w:ascii="Arial" w:hAnsi="Arial" w:cs="Arial"/>
          <w:sz w:val="22"/>
          <w:szCs w:val="22"/>
        </w:rPr>
        <w:t xml:space="preserve">Keywords: </w:t>
      </w:r>
      <w:r w:rsidR="00D55BAB">
        <w:rPr>
          <w:rFonts w:ascii="Arial" w:hAnsi="Arial" w:cs="Arial"/>
          <w:sz w:val="22"/>
          <w:szCs w:val="22"/>
        </w:rPr>
        <w:t xml:space="preserve">Non-small cell lung cancer, </w:t>
      </w:r>
      <w:r w:rsidRPr="00AA729A">
        <w:rPr>
          <w:rFonts w:ascii="Arial" w:hAnsi="Arial" w:cs="Arial"/>
          <w:sz w:val="22"/>
          <w:szCs w:val="22"/>
        </w:rPr>
        <w:t>DNA methylation Biomarker Diagnosi</w:t>
      </w:r>
      <w:r w:rsidR="00D55BAB">
        <w:rPr>
          <w:rFonts w:ascii="Arial" w:hAnsi="Arial" w:cs="Arial"/>
          <w:sz w:val="22"/>
          <w:szCs w:val="22"/>
        </w:rPr>
        <w:t>s Targeted bisulfite sequencing</w:t>
      </w:r>
    </w:p>
    <w:p w:rsidR="00D55BAB" w:rsidRDefault="00D55BAB" w:rsidP="002F643E">
      <w:pPr>
        <w:rPr>
          <w:rFonts w:ascii="Arial" w:hAnsi="Arial" w:cs="Arial"/>
          <w:sz w:val="22"/>
          <w:szCs w:val="22"/>
        </w:rPr>
      </w:pPr>
    </w:p>
    <w:p w:rsidR="00D55BAB" w:rsidRDefault="00D55BAB" w:rsidP="002F643E">
      <w:pPr>
        <w:rPr>
          <w:rFonts w:ascii="Arial" w:hAnsi="Arial" w:cs="Arial"/>
          <w:sz w:val="22"/>
          <w:szCs w:val="22"/>
        </w:rPr>
      </w:pPr>
    </w:p>
    <w:p w:rsidR="00D55BAB" w:rsidRDefault="00D55BAB" w:rsidP="002F643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Method and Materials:</w:t>
      </w:r>
    </w:p>
    <w:p w:rsidR="00D55BAB" w:rsidRDefault="00D55BAB" w:rsidP="00D55BAB">
      <w:pPr>
        <w:rPr>
          <w:rFonts w:ascii="Arial" w:hAnsi="Arial" w:cs="Arial"/>
          <w:sz w:val="22"/>
          <w:szCs w:val="22"/>
        </w:rPr>
      </w:pPr>
    </w:p>
    <w:p w:rsidR="00D55BAB" w:rsidRDefault="00D55BAB" w:rsidP="00D55BA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1, 120 pairs of NSCLC and adjacent normal tissues. </w:t>
      </w:r>
    </w:p>
    <w:p w:rsidR="00D55BAB" w:rsidRDefault="00D55BAB" w:rsidP="00D55BA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2, 30 pairs of cell-free DNA from NSCLC and normal individuals. </w:t>
      </w:r>
    </w:p>
    <w:p w:rsidR="00D55BAB" w:rsidRDefault="00D55BAB" w:rsidP="00D55BA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 I will apply multiple machine learning method to select the most significant differential methylation regions between NSCLC and normal lung</w:t>
      </w:r>
    </w:p>
    <w:p w:rsidR="00D55BAB" w:rsidRDefault="00D55BAB" w:rsidP="00D55BA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4. Apply Target methylation sequencing to generate methylation profiles for these 50 regions in 150 </w:t>
      </w:r>
      <w:proofErr w:type="gramStart"/>
      <w:r>
        <w:rPr>
          <w:rFonts w:ascii="Arial" w:hAnsi="Arial" w:cs="Arial"/>
          <w:sz w:val="22"/>
          <w:szCs w:val="22"/>
        </w:rPr>
        <w:t>pairs</w:t>
      </w:r>
      <w:proofErr w:type="gramEnd"/>
      <w:r>
        <w:rPr>
          <w:rFonts w:ascii="Arial" w:hAnsi="Arial" w:cs="Arial"/>
          <w:sz w:val="22"/>
          <w:szCs w:val="22"/>
        </w:rPr>
        <w:t xml:space="preserve"> samples. </w:t>
      </w:r>
    </w:p>
    <w:p w:rsidR="00D55BAB" w:rsidRDefault="00D55BAB" w:rsidP="00D55BA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5, I will build prediction model for NSCLC and provide accuracy based on solid tissue and cell-free DNA methylation. </w:t>
      </w:r>
    </w:p>
    <w:p w:rsidR="00FA191E" w:rsidRDefault="00D55BAB" w:rsidP="00D55BA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6, Meanwhile, we will do subgroup analysis to identify correlation between DNA methylation and all </w:t>
      </w:r>
      <w:r w:rsidR="00FA191E">
        <w:rPr>
          <w:rFonts w:ascii="Arial" w:hAnsi="Arial" w:cs="Arial"/>
          <w:sz w:val="22"/>
          <w:szCs w:val="22"/>
        </w:rPr>
        <w:t xml:space="preserve">clinical information, such as TNM and so on. </w:t>
      </w:r>
    </w:p>
    <w:p w:rsidR="00D55BAB" w:rsidRDefault="00D55BAB" w:rsidP="00D55BA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7. I hope these samples have overall survival time so that we can do survival analysis between DNA methylation and overall survival time based on cox-regression. </w:t>
      </w:r>
    </w:p>
    <w:p w:rsidR="001D0E08" w:rsidRDefault="001D0E08" w:rsidP="00D55BAB">
      <w:pPr>
        <w:rPr>
          <w:rFonts w:ascii="Arial" w:hAnsi="Arial" w:cs="Arial"/>
          <w:sz w:val="22"/>
          <w:szCs w:val="22"/>
        </w:rPr>
      </w:pPr>
    </w:p>
    <w:p w:rsidR="001D0E08" w:rsidRDefault="001D0E08" w:rsidP="00D55BAB">
      <w:pPr>
        <w:rPr>
          <w:rFonts w:ascii="Arial" w:hAnsi="Arial" w:cs="Arial"/>
          <w:sz w:val="22"/>
          <w:szCs w:val="22"/>
        </w:rPr>
      </w:pPr>
    </w:p>
    <w:p w:rsidR="001D0E08" w:rsidRDefault="001D0E08" w:rsidP="00D55BAB">
      <w:pPr>
        <w:rPr>
          <w:rFonts w:ascii="Arial" w:hAnsi="Arial" w:cs="Arial"/>
          <w:sz w:val="22"/>
          <w:szCs w:val="22"/>
        </w:rPr>
      </w:pPr>
    </w:p>
    <w:p w:rsidR="001D0E08" w:rsidRDefault="001D0E08" w:rsidP="00D55BA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8, Collect CAM5.0, CK5/6, Nap-A, P53, PD-1, PDL-1</w:t>
      </w:r>
    </w:p>
    <w:p w:rsidR="001D0E08" w:rsidRDefault="001D0E08" w:rsidP="00D55BA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9, collect tumor purity by </w:t>
      </w:r>
      <w:proofErr w:type="gramStart"/>
      <w:r>
        <w:rPr>
          <w:rFonts w:ascii="Arial" w:hAnsi="Arial" w:cs="Arial"/>
          <w:sz w:val="22"/>
          <w:szCs w:val="22"/>
        </w:rPr>
        <w:t>HE</w:t>
      </w:r>
      <w:proofErr w:type="gramEnd"/>
      <w:r>
        <w:rPr>
          <w:rFonts w:ascii="Arial" w:hAnsi="Arial" w:cs="Arial"/>
          <w:sz w:val="22"/>
          <w:szCs w:val="22"/>
        </w:rPr>
        <w:t xml:space="preserve"> staining. </w:t>
      </w:r>
    </w:p>
    <w:p w:rsidR="001D0E08" w:rsidRDefault="001D0E08" w:rsidP="00D55BAB">
      <w:pPr>
        <w:rPr>
          <w:rFonts w:ascii="Arial" w:hAnsi="Arial" w:cs="Arial"/>
          <w:sz w:val="22"/>
          <w:szCs w:val="22"/>
        </w:rPr>
      </w:pPr>
    </w:p>
    <w:p w:rsidR="0072793B" w:rsidRDefault="00D55BAB">
      <w:r>
        <w:rPr>
          <w:rFonts w:ascii="Arial" w:hAnsi="Arial" w:cs="Arial"/>
          <w:sz w:val="22"/>
          <w:szCs w:val="22"/>
        </w:rPr>
        <w:t xml:space="preserve"> </w:t>
      </w:r>
      <w:bookmarkEnd w:id="0"/>
    </w:p>
    <w:sectPr w:rsidR="0072793B" w:rsidSect="002D1E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03555"/>
    <w:multiLevelType w:val="hybridMultilevel"/>
    <w:tmpl w:val="EE3AE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43E"/>
    <w:rsid w:val="001D0E08"/>
    <w:rsid w:val="002D1E17"/>
    <w:rsid w:val="002F643E"/>
    <w:rsid w:val="00656977"/>
    <w:rsid w:val="0072793B"/>
    <w:rsid w:val="00D55BAB"/>
    <w:rsid w:val="00FA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0ED99A"/>
  <w15:chartTrackingRefBased/>
  <w15:docId w15:val="{860FA49B-82CE-4536-B58A-A1EA79CB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43E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232A39DF.dotm</Template>
  <TotalTime>0</TotalTime>
  <Pages>1</Pages>
  <Words>437</Words>
  <Characters>2637</Characters>
  <Application>Microsoft Office Word</Application>
  <DocSecurity>4</DocSecurity>
  <Lines>21</Lines>
  <Paragraphs>6</Paragraphs>
  <ScaleCrop>false</ScaleCrop>
  <Company>MCHS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2</cp:revision>
  <dcterms:created xsi:type="dcterms:W3CDTF">2019-03-10T00:35:00Z</dcterms:created>
  <dcterms:modified xsi:type="dcterms:W3CDTF">2019-03-10T00:35:00Z</dcterms:modified>
</cp:coreProperties>
</file>