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26C" w:rsidRPr="00CC4C88" w:rsidRDefault="00F0526C" w:rsidP="00F0526C">
      <w:pPr>
        <w:shd w:val="clear" w:color="auto" w:fill="FFFFFF"/>
        <w:spacing w:before="60" w:after="0" w:line="480" w:lineRule="auto"/>
        <w:jc w:val="both"/>
        <w:outlineLvl w:val="1"/>
        <w:rPr>
          <w:rFonts w:ascii="Arial" w:hAnsi="Arial" w:cs="Arial"/>
          <w:b/>
          <w:bCs/>
          <w:szCs w:val="21"/>
        </w:rPr>
      </w:pPr>
      <w:r w:rsidRPr="00CC4C88">
        <w:rPr>
          <w:rFonts w:ascii="Arial" w:hAnsi="Arial" w:cs="Arial"/>
          <w:b/>
          <w:bCs/>
          <w:szCs w:val="21"/>
        </w:rPr>
        <w:t>References</w:t>
      </w:r>
    </w:p>
    <w:p w:rsidR="00F0526C" w:rsidRPr="00BB5D5C" w:rsidRDefault="00F0526C" w:rsidP="00F0526C">
      <w:pPr>
        <w:spacing w:after="0" w:line="240" w:lineRule="auto"/>
        <w:jc w:val="both"/>
        <w:rPr>
          <w:rFonts w:ascii="Calibri" w:hAnsi="Calibri" w:cs="Arial"/>
          <w:noProof/>
        </w:rPr>
      </w:pPr>
      <w:r w:rsidRPr="00CC4C88">
        <w:rPr>
          <w:rFonts w:ascii="Arial" w:hAnsi="Arial" w:cs="Arial"/>
        </w:rPr>
        <w:fldChar w:fldCharType="begin"/>
      </w:r>
      <w:r w:rsidRPr="00E20F03">
        <w:rPr>
          <w:rFonts w:ascii="Arial" w:hAnsi="Arial" w:cs="Arial"/>
        </w:rPr>
        <w:instrText xml:space="preserve"> ADDIN EN.REFLIST </w:instrText>
      </w:r>
      <w:r w:rsidRPr="00CC4C88">
        <w:rPr>
          <w:rFonts w:ascii="Arial" w:hAnsi="Arial" w:cs="Arial"/>
        </w:rPr>
        <w:fldChar w:fldCharType="separate"/>
      </w:r>
      <w:bookmarkStart w:id="0" w:name="_ENREF_1"/>
      <w:r w:rsidRPr="00BB5D5C">
        <w:rPr>
          <w:rFonts w:ascii="Calibri" w:hAnsi="Calibri" w:cs="Arial"/>
          <w:noProof/>
        </w:rPr>
        <w:t>1</w:t>
      </w:r>
      <w:r w:rsidRPr="00BB5D5C">
        <w:rPr>
          <w:rFonts w:ascii="Calibri" w:hAnsi="Calibri" w:cs="Arial"/>
          <w:noProof/>
        </w:rPr>
        <w:tab/>
        <w:t>Firestein GS. Evolving concepts of rheumatoid arthritis. Nature 2003;423(6937):356-61.</w:t>
      </w:r>
      <w:bookmarkEnd w:id="0"/>
    </w:p>
    <w:p w:rsidR="00F0526C" w:rsidRPr="00BB5D5C" w:rsidRDefault="00F0526C" w:rsidP="00F0526C">
      <w:pPr>
        <w:spacing w:after="0" w:line="240" w:lineRule="auto"/>
        <w:jc w:val="both"/>
        <w:rPr>
          <w:rFonts w:ascii="Calibri" w:hAnsi="Calibri" w:cs="Arial"/>
          <w:noProof/>
        </w:rPr>
      </w:pPr>
      <w:bookmarkStart w:id="1" w:name="_ENREF_2"/>
      <w:r w:rsidRPr="00BB5D5C">
        <w:rPr>
          <w:rFonts w:ascii="Calibri" w:hAnsi="Calibri" w:cs="Arial"/>
          <w:noProof/>
        </w:rPr>
        <w:t>2</w:t>
      </w:r>
      <w:r w:rsidRPr="00BB5D5C">
        <w:rPr>
          <w:rFonts w:ascii="Calibri" w:hAnsi="Calibri" w:cs="Arial"/>
          <w:noProof/>
        </w:rPr>
        <w:tab/>
        <w:t>Acosta-Colman I, Palau N, Tornero J, Fernandez-Nebro A, Blanco F, Gonzalez-Alvaro I, et al. GWAS replication study confirms the association of PDE3A-SLCO1C1 with anti-TNF therapy response in rheumatoid arthritis. Pharmacogenomics 2013;14(7):727-34.</w:t>
      </w:r>
      <w:bookmarkEnd w:id="1"/>
    </w:p>
    <w:p w:rsidR="00F0526C" w:rsidRPr="00BB5D5C" w:rsidRDefault="00F0526C" w:rsidP="00F0526C">
      <w:pPr>
        <w:spacing w:after="0" w:line="240" w:lineRule="auto"/>
        <w:jc w:val="both"/>
        <w:rPr>
          <w:rFonts w:ascii="Calibri" w:hAnsi="Calibri" w:cs="Arial"/>
          <w:noProof/>
        </w:rPr>
      </w:pPr>
      <w:bookmarkStart w:id="2" w:name="_ENREF_3"/>
      <w:r w:rsidRPr="00BB5D5C">
        <w:rPr>
          <w:rFonts w:ascii="Calibri" w:hAnsi="Calibri" w:cs="Arial"/>
          <w:noProof/>
        </w:rPr>
        <w:t>3</w:t>
      </w:r>
      <w:r w:rsidRPr="00BB5D5C">
        <w:rPr>
          <w:rFonts w:ascii="Calibri" w:hAnsi="Calibri" w:cs="Arial"/>
          <w:noProof/>
        </w:rPr>
        <w:tab/>
        <w:t>Eleftherohorinou H, Hoggart CJ, Wright VJ, Levin M, Coin LJ. Pathway-driven gene stability selection of two rheumatoid arthritis GWAS identifies and validates new susceptibility genes in receptor mediated signalling pathways. Human molecular genetics 2011;20(17):3494-506.</w:t>
      </w:r>
      <w:bookmarkEnd w:id="2"/>
    </w:p>
    <w:p w:rsidR="00F0526C" w:rsidRPr="00BB5D5C" w:rsidRDefault="00F0526C" w:rsidP="00F0526C">
      <w:pPr>
        <w:spacing w:after="0" w:line="240" w:lineRule="auto"/>
        <w:jc w:val="both"/>
        <w:rPr>
          <w:rFonts w:ascii="Calibri" w:hAnsi="Calibri" w:cs="Arial"/>
          <w:noProof/>
        </w:rPr>
      </w:pPr>
      <w:bookmarkStart w:id="3" w:name="_ENREF_4"/>
      <w:r w:rsidRPr="00BB5D5C">
        <w:rPr>
          <w:rFonts w:ascii="Calibri" w:hAnsi="Calibri" w:cs="Arial"/>
          <w:noProof/>
        </w:rPr>
        <w:t>4</w:t>
      </w:r>
      <w:r w:rsidRPr="00BB5D5C">
        <w:rPr>
          <w:rFonts w:ascii="Calibri" w:hAnsi="Calibri" w:cs="Arial"/>
          <w:noProof/>
        </w:rPr>
        <w:tab/>
        <w:t>Guo S, Wang YL, Li Y, Jin L, Xiong M, Ji QH, et al. Significant SNPs have limited prediction ability for thyroid cancer. Cancer medicine 2014;3(3):731-5.</w:t>
      </w:r>
      <w:bookmarkEnd w:id="3"/>
    </w:p>
    <w:p w:rsidR="00F0526C" w:rsidRPr="00BB5D5C" w:rsidRDefault="00F0526C" w:rsidP="00F0526C">
      <w:pPr>
        <w:spacing w:after="0" w:line="240" w:lineRule="auto"/>
        <w:jc w:val="both"/>
        <w:rPr>
          <w:rFonts w:ascii="Calibri" w:hAnsi="Calibri" w:cs="Arial"/>
          <w:noProof/>
        </w:rPr>
      </w:pPr>
      <w:bookmarkStart w:id="4" w:name="_ENREF_5"/>
      <w:r w:rsidRPr="00BB5D5C">
        <w:rPr>
          <w:rFonts w:ascii="Calibri" w:hAnsi="Calibri" w:cs="Arial"/>
          <w:noProof/>
        </w:rPr>
        <w:t>5</w:t>
      </w:r>
      <w:r w:rsidRPr="00BB5D5C">
        <w:rPr>
          <w:rFonts w:ascii="Calibri" w:hAnsi="Calibri" w:cs="Arial"/>
          <w:noProof/>
        </w:rPr>
        <w:tab/>
        <w:t>Song X, Guo S, Chen Y, Yang C, Ji H, Zhang F, et al. Association between HLA-DQA1 gene copy number polymorphisms and susceptibility to rheumatoid arthritis in Chinese Han population. J Genet 2014;93(1):215-8.</w:t>
      </w:r>
      <w:bookmarkEnd w:id="4"/>
    </w:p>
    <w:p w:rsidR="00F0526C" w:rsidRPr="00BB5D5C" w:rsidRDefault="00F0526C" w:rsidP="00F0526C">
      <w:pPr>
        <w:spacing w:after="0" w:line="240" w:lineRule="auto"/>
        <w:jc w:val="both"/>
        <w:rPr>
          <w:rFonts w:ascii="Calibri" w:hAnsi="Calibri" w:cs="Arial"/>
          <w:noProof/>
        </w:rPr>
      </w:pPr>
      <w:bookmarkStart w:id="5" w:name="_ENREF_6"/>
      <w:r w:rsidRPr="00BB5D5C">
        <w:rPr>
          <w:rFonts w:ascii="Calibri" w:hAnsi="Calibri" w:cs="Arial"/>
          <w:noProof/>
        </w:rPr>
        <w:t>6</w:t>
      </w:r>
      <w:r w:rsidRPr="00BB5D5C">
        <w:rPr>
          <w:rFonts w:ascii="Calibri" w:hAnsi="Calibri" w:cs="Arial"/>
          <w:noProof/>
        </w:rPr>
        <w:tab/>
        <w:t>Chen JY, Wang CM, Chang SW, Cheng CH, Wu YJ, Lin JC, et al. Association of FCGR3A and FCGR3B copy number variations with systemic lupus erythematosus and rheumatoid arthritis in Taiwanese patients. Arthritis Rheumatol 2014;66(11):3113-21.</w:t>
      </w:r>
      <w:bookmarkEnd w:id="5"/>
    </w:p>
    <w:p w:rsidR="00F0526C" w:rsidRPr="00BB5D5C" w:rsidRDefault="00F0526C" w:rsidP="00F0526C">
      <w:pPr>
        <w:spacing w:after="0" w:line="240" w:lineRule="auto"/>
        <w:jc w:val="both"/>
        <w:rPr>
          <w:rFonts w:ascii="Calibri" w:hAnsi="Calibri" w:cs="Arial"/>
          <w:noProof/>
        </w:rPr>
      </w:pPr>
      <w:bookmarkStart w:id="6" w:name="_ENREF_7"/>
      <w:r w:rsidRPr="00BB5D5C">
        <w:rPr>
          <w:rFonts w:ascii="Calibri" w:hAnsi="Calibri" w:cs="Arial"/>
          <w:noProof/>
        </w:rPr>
        <w:t>7</w:t>
      </w:r>
      <w:r w:rsidRPr="00BB5D5C">
        <w:rPr>
          <w:rFonts w:ascii="Calibri" w:hAnsi="Calibri" w:cs="Arial"/>
          <w:noProof/>
        </w:rPr>
        <w:tab/>
        <w:t>Frisell T, Holmqvist M, Kallberg H, Klareskog L, Alfredsson L, Askling J. Familial risks and heritability of rheumatoid arthritis: role of rheumatoid factor/anti-citrullinated protein antibody status, number and type of affected relatives, sex, and age. Arthritis and rheumatism 2013;65(11):2773-82.</w:t>
      </w:r>
      <w:bookmarkEnd w:id="6"/>
    </w:p>
    <w:p w:rsidR="00F0526C" w:rsidRPr="00BB5D5C" w:rsidRDefault="00F0526C" w:rsidP="00F0526C">
      <w:pPr>
        <w:spacing w:after="0" w:line="240" w:lineRule="auto"/>
        <w:jc w:val="both"/>
        <w:rPr>
          <w:rFonts w:ascii="Calibri" w:hAnsi="Calibri" w:cs="Arial"/>
          <w:noProof/>
        </w:rPr>
      </w:pPr>
      <w:bookmarkStart w:id="7" w:name="_ENREF_8"/>
      <w:r w:rsidRPr="00BB5D5C">
        <w:rPr>
          <w:rFonts w:ascii="Calibri" w:hAnsi="Calibri" w:cs="Arial"/>
          <w:noProof/>
        </w:rPr>
        <w:t>8</w:t>
      </w:r>
      <w:r w:rsidRPr="00BB5D5C">
        <w:rPr>
          <w:rFonts w:ascii="Calibri" w:hAnsi="Calibri" w:cs="Arial"/>
          <w:noProof/>
        </w:rPr>
        <w:tab/>
        <w:t>Javierre BM, Fernandez AF, Richter J, Al-Shahrour F, Martin-Subero JI, Rodriguez-Ubreva J, et al. Changes in the pattern of DNA methylation associate with twin discordance in systemic lupus erythematosus. Genome research 2010;20(2):170-9.</w:t>
      </w:r>
      <w:bookmarkEnd w:id="7"/>
    </w:p>
    <w:p w:rsidR="00F0526C" w:rsidRPr="00BB5D5C" w:rsidRDefault="00F0526C" w:rsidP="00F0526C">
      <w:pPr>
        <w:spacing w:after="0" w:line="240" w:lineRule="auto"/>
        <w:jc w:val="both"/>
        <w:rPr>
          <w:rFonts w:ascii="Calibri" w:hAnsi="Calibri" w:cs="Arial"/>
          <w:noProof/>
        </w:rPr>
      </w:pPr>
      <w:bookmarkStart w:id="8" w:name="_ENREF_9"/>
      <w:r w:rsidRPr="00BB5D5C">
        <w:rPr>
          <w:rFonts w:ascii="Calibri" w:hAnsi="Calibri" w:cs="Arial"/>
          <w:noProof/>
        </w:rPr>
        <w:t>9</w:t>
      </w:r>
      <w:r w:rsidRPr="00BB5D5C">
        <w:rPr>
          <w:rFonts w:ascii="Calibri" w:hAnsi="Calibri" w:cs="Arial"/>
          <w:noProof/>
        </w:rPr>
        <w:tab/>
        <w:t>Richardson B, Scheinbart L, Strahler J, Gross L, Hanash S, Johnson M. Evidence for impaired T cell DNA methylation in systemic lupus erythematosus and rheumatoid arthritis. Arthritis and rheumatism 1990;33(11):1665-73.</w:t>
      </w:r>
      <w:bookmarkEnd w:id="8"/>
    </w:p>
    <w:p w:rsidR="00F0526C" w:rsidRPr="00BB5D5C" w:rsidRDefault="00F0526C" w:rsidP="00F0526C">
      <w:pPr>
        <w:spacing w:after="0" w:line="240" w:lineRule="auto"/>
        <w:jc w:val="both"/>
        <w:rPr>
          <w:rFonts w:ascii="Calibri" w:hAnsi="Calibri" w:cs="Arial"/>
          <w:noProof/>
        </w:rPr>
      </w:pPr>
      <w:bookmarkStart w:id="9" w:name="_ENREF_10"/>
      <w:r w:rsidRPr="00BB5D5C">
        <w:rPr>
          <w:rFonts w:ascii="Calibri" w:hAnsi="Calibri" w:cs="Arial"/>
          <w:noProof/>
        </w:rPr>
        <w:t>10</w:t>
      </w:r>
      <w:r w:rsidRPr="00BB5D5C">
        <w:rPr>
          <w:rFonts w:ascii="Calibri" w:hAnsi="Calibri" w:cs="Arial"/>
          <w:noProof/>
        </w:rPr>
        <w:tab/>
        <w:t>Altorok N, Coit P, Hughes T, Koelsch KA, Stone DU, Rasmussen A, et al. Genome-wide DNA methylation patterns in naive CD4+ T cells from patients with primary Sjogren's syndrome. Arthritis Rheumatol 2014;66(3):731-9.</w:t>
      </w:r>
      <w:bookmarkEnd w:id="9"/>
    </w:p>
    <w:p w:rsidR="00F0526C" w:rsidRPr="00BB5D5C" w:rsidRDefault="00F0526C" w:rsidP="00F0526C">
      <w:pPr>
        <w:spacing w:after="0" w:line="240" w:lineRule="auto"/>
        <w:jc w:val="both"/>
        <w:rPr>
          <w:rFonts w:ascii="Calibri" w:hAnsi="Calibri" w:cs="Arial"/>
          <w:noProof/>
        </w:rPr>
      </w:pPr>
      <w:bookmarkStart w:id="10" w:name="_ENREF_11"/>
      <w:r w:rsidRPr="00BB5D5C">
        <w:rPr>
          <w:rFonts w:ascii="Calibri" w:hAnsi="Calibri" w:cs="Arial"/>
          <w:noProof/>
        </w:rPr>
        <w:t>11</w:t>
      </w:r>
      <w:r w:rsidRPr="00BB5D5C">
        <w:rPr>
          <w:rFonts w:ascii="Calibri" w:hAnsi="Calibri" w:cs="Arial"/>
          <w:noProof/>
        </w:rPr>
        <w:tab/>
        <w:t>Wang X, Wang L, Guo S, Bao Y, Ma Y, Yan F, et al. Hypermethylation reduces expression of tumor-suppressor PLZF and regulates proliferation and apoptosis in non-small-cell lung cancers. FASEB journal : official publication of the Federation of American Societies for Experimental Biology 2013;27(10):4194-203.</w:t>
      </w:r>
      <w:bookmarkEnd w:id="10"/>
    </w:p>
    <w:p w:rsidR="00F0526C" w:rsidRPr="00BB5D5C" w:rsidRDefault="00F0526C" w:rsidP="00F0526C">
      <w:pPr>
        <w:spacing w:after="0" w:line="240" w:lineRule="auto"/>
        <w:jc w:val="both"/>
        <w:rPr>
          <w:rFonts w:ascii="Calibri" w:hAnsi="Calibri" w:cs="Arial"/>
          <w:noProof/>
        </w:rPr>
      </w:pPr>
      <w:bookmarkStart w:id="11" w:name="_ENREF_12"/>
      <w:r w:rsidRPr="00BB5D5C">
        <w:rPr>
          <w:rFonts w:ascii="Calibri" w:hAnsi="Calibri" w:cs="Arial"/>
          <w:noProof/>
        </w:rPr>
        <w:t>12</w:t>
      </w:r>
      <w:r w:rsidRPr="00BB5D5C">
        <w:rPr>
          <w:rFonts w:ascii="Calibri" w:hAnsi="Calibri" w:cs="Arial"/>
          <w:noProof/>
        </w:rPr>
        <w:tab/>
        <w:t>He Y, Cui Y, Wang W, Gu J, Guo S, Ma K, et al. Hypomethylation of the hsa-miR-191 locus causes high expression of hsa-mir-191 and promotes the epithelial-to-mesenchymal transition in hepatocellular carcinoma. Neoplasia 2011;13(9):841-53.</w:t>
      </w:r>
      <w:bookmarkEnd w:id="11"/>
    </w:p>
    <w:p w:rsidR="00F0526C" w:rsidRPr="00BB5D5C" w:rsidRDefault="00F0526C" w:rsidP="00F0526C">
      <w:pPr>
        <w:spacing w:after="0" w:line="240" w:lineRule="auto"/>
        <w:jc w:val="both"/>
        <w:rPr>
          <w:rFonts w:ascii="Calibri" w:hAnsi="Calibri" w:cs="Arial"/>
          <w:noProof/>
        </w:rPr>
      </w:pPr>
      <w:bookmarkStart w:id="12" w:name="_ENREF_13"/>
      <w:r w:rsidRPr="00BB5D5C">
        <w:rPr>
          <w:rFonts w:ascii="Calibri" w:hAnsi="Calibri" w:cs="Arial"/>
          <w:noProof/>
        </w:rPr>
        <w:t>13</w:t>
      </w:r>
      <w:r w:rsidRPr="00BB5D5C">
        <w:rPr>
          <w:rFonts w:ascii="Calibri" w:hAnsi="Calibri" w:cs="Arial"/>
          <w:noProof/>
        </w:rPr>
        <w:tab/>
        <w:t>Guo S, Yan F, Xu J, Bao Y, Zhu J, Wang X, et al. Identification and validation of the methylation biomarkers of non-small cell lung cancer (NSCLC). Clinical epigenetics 2015;7(1):3.</w:t>
      </w:r>
      <w:bookmarkEnd w:id="12"/>
    </w:p>
    <w:p w:rsidR="00F0526C" w:rsidRPr="00BB5D5C" w:rsidRDefault="00F0526C" w:rsidP="00F0526C">
      <w:pPr>
        <w:spacing w:after="0" w:line="240" w:lineRule="auto"/>
        <w:jc w:val="both"/>
        <w:rPr>
          <w:rFonts w:ascii="Calibri" w:hAnsi="Calibri" w:cs="Arial"/>
          <w:noProof/>
        </w:rPr>
      </w:pPr>
      <w:bookmarkStart w:id="13" w:name="_ENREF_14"/>
      <w:r w:rsidRPr="00BB5D5C">
        <w:rPr>
          <w:rFonts w:ascii="Calibri" w:hAnsi="Calibri" w:cs="Arial"/>
          <w:noProof/>
        </w:rPr>
        <w:t>14</w:t>
      </w:r>
      <w:r w:rsidRPr="00BB5D5C">
        <w:rPr>
          <w:rFonts w:ascii="Calibri" w:hAnsi="Calibri" w:cs="Arial"/>
          <w:noProof/>
        </w:rPr>
        <w:tab/>
        <w:t>Guo S, Tan L, Pu W, Wu J, Xu K, Li Q, et al. Quantitative assessment of the diagnostic role of APC promoter methylation in non-small cell lung cancer. Clinical epigenetics 2014;6(1):5.</w:t>
      </w:r>
      <w:bookmarkEnd w:id="13"/>
    </w:p>
    <w:p w:rsidR="00F0526C" w:rsidRPr="00BB5D5C" w:rsidRDefault="00F0526C" w:rsidP="00F0526C">
      <w:pPr>
        <w:spacing w:after="0" w:line="240" w:lineRule="auto"/>
        <w:jc w:val="both"/>
        <w:rPr>
          <w:rFonts w:ascii="Calibri" w:hAnsi="Calibri" w:cs="Arial"/>
          <w:noProof/>
        </w:rPr>
      </w:pPr>
      <w:bookmarkStart w:id="14" w:name="_ENREF_15"/>
      <w:r w:rsidRPr="00BB5D5C">
        <w:rPr>
          <w:rFonts w:ascii="Calibri" w:hAnsi="Calibri" w:cs="Arial"/>
          <w:noProof/>
        </w:rPr>
        <w:t>15</w:t>
      </w:r>
      <w:r w:rsidRPr="00BB5D5C">
        <w:rPr>
          <w:rFonts w:ascii="Calibri" w:hAnsi="Calibri" w:cs="Arial"/>
          <w:noProof/>
        </w:rPr>
        <w:tab/>
        <w:t>Glossop JR, Haworth KE, Emes RD, Nixon NB, Packham JC, Dawes PT, et al. DNA methylation profiling of synovial fluid FLS in rheumatoid arthritis reveals changes common with tissue-derived FLS. Epigenomics 2015;7(4):539-51.</w:t>
      </w:r>
      <w:bookmarkEnd w:id="14"/>
    </w:p>
    <w:p w:rsidR="00F0526C" w:rsidRPr="00BB5D5C" w:rsidRDefault="00F0526C" w:rsidP="00F0526C">
      <w:pPr>
        <w:spacing w:after="0" w:line="240" w:lineRule="auto"/>
        <w:jc w:val="both"/>
        <w:rPr>
          <w:rFonts w:ascii="Calibri" w:hAnsi="Calibri" w:cs="Arial"/>
          <w:noProof/>
        </w:rPr>
      </w:pPr>
      <w:bookmarkStart w:id="15" w:name="_ENREF_16"/>
      <w:r w:rsidRPr="00BB5D5C">
        <w:rPr>
          <w:rFonts w:ascii="Calibri" w:hAnsi="Calibri" w:cs="Arial"/>
          <w:noProof/>
        </w:rPr>
        <w:t>16</w:t>
      </w:r>
      <w:r w:rsidRPr="00BB5D5C">
        <w:rPr>
          <w:rFonts w:ascii="Calibri" w:hAnsi="Calibri" w:cs="Arial"/>
          <w:noProof/>
        </w:rPr>
        <w:tab/>
        <w:t>Liebling MR. Methylation of the CTLA-4 promoter and Treg cell dysfunction in rheumatoid arthritis: comment on the article by Cribbs et al. Arthritis Rheumatol 2015;67(5):1406.</w:t>
      </w:r>
      <w:bookmarkEnd w:id="15"/>
    </w:p>
    <w:p w:rsidR="00F0526C" w:rsidRPr="00BB5D5C" w:rsidRDefault="00F0526C" w:rsidP="00F0526C">
      <w:pPr>
        <w:spacing w:after="0" w:line="240" w:lineRule="auto"/>
        <w:jc w:val="both"/>
        <w:rPr>
          <w:rFonts w:ascii="Calibri" w:hAnsi="Calibri" w:cs="Arial"/>
          <w:noProof/>
        </w:rPr>
      </w:pPr>
      <w:bookmarkStart w:id="16" w:name="_ENREF_17"/>
      <w:r w:rsidRPr="00BB5D5C">
        <w:rPr>
          <w:rFonts w:ascii="Calibri" w:hAnsi="Calibri" w:cs="Arial"/>
          <w:noProof/>
        </w:rPr>
        <w:lastRenderedPageBreak/>
        <w:t>17</w:t>
      </w:r>
      <w:r w:rsidRPr="00BB5D5C">
        <w:rPr>
          <w:rFonts w:ascii="Calibri" w:hAnsi="Calibri" w:cs="Arial"/>
          <w:noProof/>
        </w:rPr>
        <w:tab/>
        <w:t>van Steenbergen HW, Luijk R, Shoemaker R, Heijmans BT, Huizinga TW, van der Helm-van Mil AH. Differential methylation within the major histocompatibility complex region in rheumatoid arthritis: a replication study. Rheumatology (Oxford) 2014;53(12):2317-8.</w:t>
      </w:r>
      <w:bookmarkEnd w:id="16"/>
    </w:p>
    <w:p w:rsidR="00F0526C" w:rsidRPr="00BB5D5C" w:rsidRDefault="00F0526C" w:rsidP="00F0526C">
      <w:pPr>
        <w:spacing w:after="0" w:line="240" w:lineRule="auto"/>
        <w:jc w:val="both"/>
        <w:rPr>
          <w:rFonts w:ascii="Calibri" w:hAnsi="Calibri" w:cs="Arial"/>
          <w:noProof/>
        </w:rPr>
      </w:pPr>
      <w:bookmarkStart w:id="17" w:name="_ENREF_18"/>
      <w:r w:rsidRPr="00BB5D5C">
        <w:rPr>
          <w:rFonts w:ascii="Calibri" w:hAnsi="Calibri" w:cs="Arial"/>
          <w:noProof/>
        </w:rPr>
        <w:t>18</w:t>
      </w:r>
      <w:r w:rsidRPr="00BB5D5C">
        <w:rPr>
          <w:rFonts w:ascii="Calibri" w:hAnsi="Calibri" w:cs="Arial"/>
          <w:noProof/>
        </w:rPr>
        <w:tab/>
        <w:t>Glossop JR, Emes RD, Nixon NB, Haworth KE, Packham JC, Dawes PT, et al. Genome-wide DNA methylation profiling in rheumatoid arthritis identifies disease-associated methylation changes that are distinct to individual T- and B-lymphocyte populations. Epigenetics 2014;9(9):1228-37.</w:t>
      </w:r>
      <w:bookmarkEnd w:id="17"/>
    </w:p>
    <w:p w:rsidR="00F0526C" w:rsidRPr="00BB5D5C" w:rsidRDefault="00F0526C" w:rsidP="00F0526C">
      <w:pPr>
        <w:spacing w:after="0" w:line="240" w:lineRule="auto"/>
        <w:jc w:val="both"/>
        <w:rPr>
          <w:rFonts w:ascii="Calibri" w:hAnsi="Calibri" w:cs="Arial"/>
          <w:noProof/>
        </w:rPr>
      </w:pPr>
      <w:bookmarkStart w:id="18" w:name="_ENREF_19"/>
      <w:r w:rsidRPr="00BB5D5C">
        <w:rPr>
          <w:rFonts w:ascii="Calibri" w:hAnsi="Calibri" w:cs="Arial"/>
          <w:noProof/>
        </w:rPr>
        <w:t>19</w:t>
      </w:r>
      <w:r w:rsidRPr="00BB5D5C">
        <w:rPr>
          <w:rFonts w:ascii="Calibri" w:hAnsi="Calibri" w:cs="Arial"/>
          <w:noProof/>
        </w:rPr>
        <w:tab/>
        <w:t>Horneff G, Burmester GR, Emmrich F, Kalden JR. Treatment of rheumatoid arthritis with an anti-CD4 monoclonal antibody. Arthritis and rheumatism 1991;34(2):129-40.</w:t>
      </w:r>
      <w:bookmarkEnd w:id="18"/>
    </w:p>
    <w:p w:rsidR="00F0526C" w:rsidRPr="00BB5D5C" w:rsidRDefault="00F0526C" w:rsidP="00F0526C">
      <w:pPr>
        <w:spacing w:after="0" w:line="240" w:lineRule="auto"/>
        <w:jc w:val="both"/>
        <w:rPr>
          <w:rFonts w:ascii="Calibri" w:hAnsi="Calibri" w:cs="Arial"/>
          <w:noProof/>
        </w:rPr>
      </w:pPr>
      <w:bookmarkStart w:id="19" w:name="_ENREF_20"/>
      <w:r w:rsidRPr="00BB5D5C">
        <w:rPr>
          <w:rFonts w:ascii="Calibri" w:hAnsi="Calibri" w:cs="Arial"/>
          <w:noProof/>
        </w:rPr>
        <w:t>20</w:t>
      </w:r>
      <w:r w:rsidRPr="00BB5D5C">
        <w:rPr>
          <w:rFonts w:ascii="Calibri" w:hAnsi="Calibri" w:cs="Arial"/>
          <w:noProof/>
        </w:rPr>
        <w:tab/>
        <w:t>Chen G, Zhang X, Li R, Fang L, Niu X, Zheng Y, et al. Role of osteopontin in synovial Th17 differentiation in rheumatoid arthritis. Arthritis and rheumatism 2010;62(10):2900-8.</w:t>
      </w:r>
      <w:bookmarkEnd w:id="19"/>
    </w:p>
    <w:p w:rsidR="00F0526C" w:rsidRPr="00BB5D5C" w:rsidRDefault="00F0526C" w:rsidP="00F0526C">
      <w:pPr>
        <w:spacing w:after="0" w:line="240" w:lineRule="auto"/>
        <w:jc w:val="both"/>
        <w:rPr>
          <w:rFonts w:ascii="Calibri" w:hAnsi="Calibri" w:cs="Arial"/>
          <w:noProof/>
        </w:rPr>
      </w:pPr>
      <w:bookmarkStart w:id="20" w:name="_ENREF_21"/>
      <w:r w:rsidRPr="00BB5D5C">
        <w:rPr>
          <w:rFonts w:ascii="Calibri" w:hAnsi="Calibri" w:cs="Arial"/>
          <w:noProof/>
        </w:rPr>
        <w:t>21</w:t>
      </w:r>
      <w:r w:rsidRPr="00BB5D5C">
        <w:rPr>
          <w:rFonts w:ascii="Calibri" w:hAnsi="Calibri" w:cs="Arial"/>
          <w:noProof/>
        </w:rPr>
        <w:tab/>
        <w:t>Huang da W, Sherman BT, Lempicki RA. Systematic and integrative analysis of large gene lists using DAVID bioinformatics resources. Nature protocols 2009;4(1):44-57.</w:t>
      </w:r>
      <w:bookmarkEnd w:id="20"/>
    </w:p>
    <w:p w:rsidR="00F0526C" w:rsidRPr="00BB5D5C" w:rsidRDefault="00F0526C" w:rsidP="00F0526C">
      <w:pPr>
        <w:spacing w:after="0" w:line="240" w:lineRule="auto"/>
        <w:jc w:val="both"/>
        <w:rPr>
          <w:rFonts w:ascii="Calibri" w:hAnsi="Calibri" w:cs="Arial"/>
          <w:noProof/>
        </w:rPr>
      </w:pPr>
      <w:bookmarkStart w:id="21" w:name="_ENREF_22"/>
      <w:r w:rsidRPr="00BB5D5C">
        <w:rPr>
          <w:rFonts w:ascii="Calibri" w:hAnsi="Calibri" w:cs="Arial"/>
          <w:noProof/>
        </w:rPr>
        <w:t>22</w:t>
      </w:r>
      <w:r w:rsidRPr="00BB5D5C">
        <w:rPr>
          <w:rFonts w:ascii="Calibri" w:hAnsi="Calibri" w:cs="Arial"/>
          <w:noProof/>
        </w:rPr>
        <w:tab/>
        <w:t>Szklarczyk D, Franceschini A, Wyder S, Forslund K, Heller D, Huerta-Cepas J, et al. STRING v10: protein-protein interaction networks, integrated over the tree of life. Nucleic acids research 2015;43(Database issue):D447-52.</w:t>
      </w:r>
      <w:bookmarkEnd w:id="21"/>
    </w:p>
    <w:p w:rsidR="00F0526C" w:rsidRPr="00BB5D5C" w:rsidRDefault="00F0526C" w:rsidP="00F0526C">
      <w:pPr>
        <w:spacing w:after="0" w:line="240" w:lineRule="auto"/>
        <w:jc w:val="both"/>
        <w:rPr>
          <w:rFonts w:ascii="Calibri" w:hAnsi="Calibri" w:cs="Arial"/>
          <w:noProof/>
        </w:rPr>
      </w:pPr>
      <w:bookmarkStart w:id="22" w:name="_ENREF_23"/>
      <w:r w:rsidRPr="00BB5D5C">
        <w:rPr>
          <w:rFonts w:ascii="Calibri" w:hAnsi="Calibri" w:cs="Arial"/>
          <w:noProof/>
        </w:rPr>
        <w:t>23</w:t>
      </w:r>
      <w:r w:rsidRPr="00BB5D5C">
        <w:rPr>
          <w:rFonts w:ascii="Calibri" w:hAnsi="Calibri" w:cs="Arial"/>
          <w:noProof/>
        </w:rPr>
        <w:tab/>
        <w:t>Karouzakis E, Gay RE, Gay S, Neidhart M. Increased recycling of polyamines is associated with global DNA hypomethylation in rheumatoid arthritis synovial fibroblasts. Arthritis and rheumatism 2012;64(6):1809-17.</w:t>
      </w:r>
      <w:bookmarkEnd w:id="22"/>
    </w:p>
    <w:p w:rsidR="00F0526C" w:rsidRPr="00BB5D5C" w:rsidRDefault="00F0526C" w:rsidP="00F0526C">
      <w:pPr>
        <w:spacing w:after="0" w:line="240" w:lineRule="auto"/>
        <w:jc w:val="both"/>
        <w:rPr>
          <w:rFonts w:ascii="Calibri" w:hAnsi="Calibri" w:cs="Arial"/>
          <w:noProof/>
        </w:rPr>
      </w:pPr>
      <w:bookmarkStart w:id="23" w:name="_ENREF_24"/>
      <w:r w:rsidRPr="00BB5D5C">
        <w:rPr>
          <w:rFonts w:ascii="Calibri" w:hAnsi="Calibri" w:cs="Arial"/>
          <w:noProof/>
        </w:rPr>
        <w:t>24</w:t>
      </w:r>
      <w:r w:rsidRPr="00BB5D5C">
        <w:rPr>
          <w:rFonts w:ascii="Calibri" w:hAnsi="Calibri" w:cs="Arial"/>
          <w:noProof/>
        </w:rPr>
        <w:tab/>
        <w:t>Jeffries MA, Dozmorov M, Tang Y, Merrill JT, Wren JD, Sawalha AH. Genome-wide DNA methylation patterns in CD4+ T cells from patients with systemic lupus erythematosus. Epigenetics 2011;6(5):593-601.</w:t>
      </w:r>
      <w:bookmarkEnd w:id="23"/>
    </w:p>
    <w:p w:rsidR="00F0526C" w:rsidRPr="00BB5D5C" w:rsidRDefault="00F0526C" w:rsidP="00F0526C">
      <w:pPr>
        <w:spacing w:after="0" w:line="240" w:lineRule="auto"/>
        <w:jc w:val="both"/>
        <w:rPr>
          <w:rFonts w:ascii="Calibri" w:hAnsi="Calibri" w:cs="Arial"/>
          <w:noProof/>
        </w:rPr>
      </w:pPr>
      <w:bookmarkStart w:id="24" w:name="_ENREF_25"/>
      <w:r w:rsidRPr="00BB5D5C">
        <w:rPr>
          <w:rFonts w:ascii="Calibri" w:hAnsi="Calibri" w:cs="Arial"/>
          <w:noProof/>
        </w:rPr>
        <w:t>25</w:t>
      </w:r>
      <w:r w:rsidRPr="00BB5D5C">
        <w:rPr>
          <w:rFonts w:ascii="Calibri" w:hAnsi="Calibri" w:cs="Arial"/>
          <w:noProof/>
        </w:rPr>
        <w:tab/>
        <w:t>Dedeurwaerder S, Defrance M, Calonne E, Denis H, Sotiriou C, Fuks F. Evaluation of the Infinium Methylation 450K technology. Epigenomics 2011;3(6):771-84.</w:t>
      </w:r>
      <w:bookmarkEnd w:id="24"/>
    </w:p>
    <w:p w:rsidR="00F0526C" w:rsidRPr="00BB5D5C" w:rsidRDefault="00F0526C" w:rsidP="00F0526C">
      <w:pPr>
        <w:spacing w:after="0" w:line="240" w:lineRule="auto"/>
        <w:jc w:val="both"/>
        <w:rPr>
          <w:rFonts w:ascii="Calibri" w:hAnsi="Calibri" w:cs="Arial"/>
          <w:noProof/>
        </w:rPr>
      </w:pPr>
      <w:bookmarkStart w:id="25" w:name="_ENREF_26"/>
      <w:r w:rsidRPr="00BB5D5C">
        <w:rPr>
          <w:rFonts w:ascii="Calibri" w:hAnsi="Calibri" w:cs="Arial"/>
          <w:noProof/>
        </w:rPr>
        <w:t>26</w:t>
      </w:r>
      <w:r w:rsidRPr="00BB5D5C">
        <w:rPr>
          <w:rFonts w:ascii="Calibri" w:hAnsi="Calibri" w:cs="Arial"/>
          <w:noProof/>
        </w:rPr>
        <w:tab/>
        <w:t>Lev Maor G, Yearim A, Ast G. The alternative role of DNA methylation in splicing regulation. Trends in genetics : TIG 2015;31(5):274-80.</w:t>
      </w:r>
      <w:bookmarkEnd w:id="25"/>
    </w:p>
    <w:p w:rsidR="00F0526C" w:rsidRPr="00BB5D5C" w:rsidRDefault="00F0526C" w:rsidP="00F0526C">
      <w:pPr>
        <w:spacing w:after="0" w:line="240" w:lineRule="auto"/>
        <w:jc w:val="both"/>
        <w:rPr>
          <w:rFonts w:ascii="Calibri" w:hAnsi="Calibri" w:cs="Arial"/>
          <w:noProof/>
        </w:rPr>
      </w:pPr>
      <w:bookmarkStart w:id="26" w:name="_ENREF_27"/>
      <w:r w:rsidRPr="00BB5D5C">
        <w:rPr>
          <w:rFonts w:ascii="Calibri" w:hAnsi="Calibri" w:cs="Arial"/>
          <w:noProof/>
        </w:rPr>
        <w:t>27</w:t>
      </w:r>
      <w:r w:rsidRPr="00BB5D5C">
        <w:rPr>
          <w:rFonts w:ascii="Calibri" w:hAnsi="Calibri" w:cs="Arial"/>
          <w:noProof/>
        </w:rPr>
        <w:tab/>
        <w:t>Rizwana R, Hahn PJ. CpG methylation reduces genomic instability. Journal of cell science 1999;112 ( Pt 24):4513-9.</w:t>
      </w:r>
      <w:bookmarkEnd w:id="26"/>
    </w:p>
    <w:p w:rsidR="00F0526C" w:rsidRPr="00BB5D5C" w:rsidRDefault="00F0526C" w:rsidP="00F0526C">
      <w:pPr>
        <w:spacing w:after="0" w:line="240" w:lineRule="auto"/>
        <w:jc w:val="both"/>
        <w:rPr>
          <w:rFonts w:ascii="Calibri" w:hAnsi="Calibri" w:cs="Arial"/>
          <w:noProof/>
        </w:rPr>
      </w:pPr>
      <w:bookmarkStart w:id="27" w:name="_ENREF_28"/>
      <w:r w:rsidRPr="00BB5D5C">
        <w:rPr>
          <w:rFonts w:ascii="Calibri" w:hAnsi="Calibri" w:cs="Arial"/>
          <w:noProof/>
        </w:rPr>
        <w:t>28</w:t>
      </w:r>
      <w:r w:rsidRPr="00BB5D5C">
        <w:rPr>
          <w:rFonts w:ascii="Calibri" w:hAnsi="Calibri" w:cs="Arial"/>
          <w:noProof/>
        </w:rPr>
        <w:tab/>
        <w:t>Shoemaker R, Deng J, Wang W, Zhang K. Allele-specific methylation is prevalent and is contributed by CpG-SNPs in the human genome. Genome research 2010;20(7):883-9.</w:t>
      </w:r>
      <w:bookmarkEnd w:id="27"/>
    </w:p>
    <w:p w:rsidR="00F0526C" w:rsidRPr="00BB5D5C" w:rsidRDefault="00F0526C" w:rsidP="00F0526C">
      <w:pPr>
        <w:spacing w:after="0" w:line="240" w:lineRule="auto"/>
        <w:jc w:val="both"/>
        <w:rPr>
          <w:rFonts w:ascii="Calibri" w:hAnsi="Calibri" w:cs="Arial"/>
          <w:noProof/>
        </w:rPr>
      </w:pPr>
      <w:bookmarkStart w:id="28" w:name="_ENREF_29"/>
      <w:r w:rsidRPr="00BB5D5C">
        <w:rPr>
          <w:rFonts w:ascii="Calibri" w:hAnsi="Calibri" w:cs="Arial"/>
          <w:noProof/>
        </w:rPr>
        <w:t>29</w:t>
      </w:r>
      <w:r w:rsidRPr="00BB5D5C">
        <w:rPr>
          <w:rFonts w:ascii="Calibri" w:hAnsi="Calibri" w:cs="Arial"/>
          <w:noProof/>
        </w:rPr>
        <w:tab/>
        <w:t>Liu Y, Aryee MJ, Padyukov L, Fallin MD, Hesselberg E, Runarsson A, et al. Epigenome-wide association data implicate DNA methylation as an intermediary of genetic risk in rheumatoid arthritis. Nature biotechnology 2013;31(2):142-7.</w:t>
      </w:r>
      <w:bookmarkEnd w:id="28"/>
    </w:p>
    <w:p w:rsidR="00F0526C" w:rsidRPr="00BB5D5C" w:rsidRDefault="00F0526C" w:rsidP="00F0526C">
      <w:pPr>
        <w:spacing w:after="0" w:line="240" w:lineRule="auto"/>
        <w:jc w:val="both"/>
        <w:rPr>
          <w:rFonts w:ascii="Calibri" w:hAnsi="Calibri" w:cs="Arial"/>
          <w:noProof/>
        </w:rPr>
      </w:pPr>
      <w:bookmarkStart w:id="29" w:name="_ENREF_30"/>
      <w:r w:rsidRPr="00BB5D5C">
        <w:rPr>
          <w:rFonts w:ascii="Calibri" w:hAnsi="Calibri" w:cs="Arial"/>
          <w:noProof/>
        </w:rPr>
        <w:t>30</w:t>
      </w:r>
      <w:r w:rsidRPr="00BB5D5C">
        <w:rPr>
          <w:rFonts w:ascii="Calibri" w:hAnsi="Calibri" w:cs="Arial"/>
          <w:noProof/>
        </w:rPr>
        <w:tab/>
        <w:t>Grabiec AM, Tak PP, Reedquist KA. Targeting histone deacetylase activity in rheumatoid arthritis and asthma as prototypes of inflammatory disease: should we keep our HATs on? Arthritis research &amp; therapy 2008;10(5):226-39.</w:t>
      </w:r>
      <w:bookmarkEnd w:id="29"/>
    </w:p>
    <w:p w:rsidR="00F0526C" w:rsidRPr="00BB5D5C" w:rsidRDefault="00F0526C" w:rsidP="00F0526C">
      <w:pPr>
        <w:spacing w:after="0" w:line="240" w:lineRule="auto"/>
        <w:jc w:val="both"/>
        <w:rPr>
          <w:rFonts w:ascii="Calibri" w:hAnsi="Calibri" w:cs="Arial"/>
          <w:noProof/>
        </w:rPr>
      </w:pPr>
      <w:bookmarkStart w:id="30" w:name="_ENREF_31"/>
      <w:r w:rsidRPr="00BB5D5C">
        <w:rPr>
          <w:rFonts w:ascii="Calibri" w:hAnsi="Calibri" w:cs="Arial"/>
          <w:noProof/>
        </w:rPr>
        <w:t>31</w:t>
      </w:r>
      <w:r w:rsidRPr="00BB5D5C">
        <w:rPr>
          <w:rFonts w:ascii="Calibri" w:hAnsi="Calibri" w:cs="Arial"/>
          <w:noProof/>
        </w:rPr>
        <w:tab/>
        <w:t>Falkenberg KJ, Johnstone RW. Histone deacetylases and their inhibitors in cancer, neurological diseases and immune disorders. Nature reviews. Drug discovery 2014;13(9):673-91.</w:t>
      </w:r>
      <w:bookmarkEnd w:id="30"/>
    </w:p>
    <w:p w:rsidR="00F0526C" w:rsidRPr="00BB5D5C" w:rsidRDefault="00F0526C" w:rsidP="00F0526C">
      <w:pPr>
        <w:spacing w:line="240" w:lineRule="auto"/>
        <w:jc w:val="both"/>
        <w:rPr>
          <w:rFonts w:ascii="Calibri" w:hAnsi="Calibri" w:cs="Arial"/>
          <w:noProof/>
        </w:rPr>
      </w:pPr>
      <w:bookmarkStart w:id="31" w:name="_ENREF_32"/>
      <w:r w:rsidRPr="00BB5D5C">
        <w:rPr>
          <w:rFonts w:ascii="Calibri" w:hAnsi="Calibri" w:cs="Arial"/>
          <w:noProof/>
        </w:rPr>
        <w:t>32</w:t>
      </w:r>
      <w:r w:rsidRPr="00BB5D5C">
        <w:rPr>
          <w:rFonts w:ascii="Calibri" w:hAnsi="Calibri" w:cs="Arial"/>
          <w:noProof/>
        </w:rPr>
        <w:tab/>
        <w:t>Liao CC, Chou PL, Cheng CW, Chang YS, Chi WM, Tsai KL, et al. Comparative analysis of novel autoantibody isotypes against citrullinated-inter-alpha-trypsin inhibitor heavy chain 3 (ITIH3)(542-556) peptide in serum from Taiwanese females with rheumatoid arthritis, primary Sjogren's syndrome and secondary Sjogren's syndrome in rheumatoid arthritis. Journal of proteomics 2016;141:1-11.</w:t>
      </w:r>
      <w:bookmarkEnd w:id="31"/>
    </w:p>
    <w:p w:rsidR="00F0526C" w:rsidRDefault="00F0526C" w:rsidP="00F0526C">
      <w:pPr>
        <w:spacing w:line="240" w:lineRule="auto"/>
        <w:jc w:val="both"/>
        <w:rPr>
          <w:rFonts w:ascii="Calibri" w:hAnsi="Calibri" w:cs="Arial"/>
          <w:noProof/>
        </w:rPr>
      </w:pPr>
    </w:p>
    <w:p w:rsidR="00003C79" w:rsidRDefault="00F0526C" w:rsidP="00F0526C">
      <w:r w:rsidRPr="00CC4C88">
        <w:rPr>
          <w:rFonts w:ascii="Arial" w:hAnsi="Arial" w:cs="Arial"/>
        </w:rPr>
        <w:fldChar w:fldCharType="end"/>
      </w:r>
      <w:bookmarkStart w:id="32" w:name="_GoBack"/>
      <w:bookmarkEnd w:id="32"/>
    </w:p>
    <w:sectPr w:rsidR="00003C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26C"/>
    <w:rsid w:val="00003C79"/>
    <w:rsid w:val="00F05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6565F-7500-49AB-B11C-169105C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5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2016-08-18T21:20:00Z</dcterms:created>
  <dcterms:modified xsi:type="dcterms:W3CDTF">2016-08-18T21:21:00Z</dcterms:modified>
</cp:coreProperties>
</file>