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6CA" w:rsidRPr="00BF0292" w:rsidRDefault="005C4000">
      <w:pPr>
        <w:rPr>
          <w:rFonts w:ascii="Arial" w:hAnsi="Arial" w:cs="Arial"/>
          <w:b/>
          <w:sz w:val="22"/>
          <w:szCs w:val="22"/>
        </w:rPr>
      </w:pPr>
      <w:r w:rsidRPr="00BF0292">
        <w:rPr>
          <w:rFonts w:ascii="Arial" w:hAnsi="Arial" w:cs="Arial"/>
          <w:b/>
          <w:sz w:val="22"/>
          <w:szCs w:val="22"/>
        </w:rPr>
        <w:t>Methylation Biomarker Project for Breast Cancer</w:t>
      </w:r>
    </w:p>
    <w:p w:rsidR="005C4000" w:rsidRDefault="005C4000">
      <w:pPr>
        <w:rPr>
          <w:rFonts w:ascii="Arial" w:hAnsi="Arial" w:cs="Arial"/>
          <w:sz w:val="22"/>
          <w:szCs w:val="22"/>
        </w:rPr>
      </w:pPr>
    </w:p>
    <w:p w:rsidR="005406AA" w:rsidRDefault="00BF0292">
      <w:pPr>
        <w:rPr>
          <w:rFonts w:ascii="Arial" w:hAnsi="Arial" w:cs="Arial"/>
          <w:sz w:val="22"/>
          <w:szCs w:val="22"/>
        </w:rPr>
      </w:pPr>
      <w:r>
        <w:rPr>
          <w:rFonts w:ascii="Arial" w:hAnsi="Arial" w:cs="Arial"/>
          <w:sz w:val="22"/>
          <w:szCs w:val="22"/>
        </w:rPr>
        <w:t xml:space="preserve">We will follow the pipeline what we have established in our previous ESCC project. In breast cancer project, I will apply bioinformatics and biostatistics method to select 50 most potential differential methylation regions (DMR) in breast cancer (BRCA). These 50 regions will have at least 5-7 tumor suppressor genes so that we can prepare the second manuscript. Meanwhile, we will select 10 novel DMR so that we can claim we identified new breast methylation biomarker. Finally, we will select 10 DMRs who have potential important functions, such as transcriptional factor binding site (TFBS) or miRNA binding site (miRNA-BS) so that we can conduct some research like the third manuscript. </w:t>
      </w:r>
      <w:r w:rsidR="005406AA">
        <w:rPr>
          <w:rFonts w:ascii="Arial" w:hAnsi="Arial" w:cs="Arial"/>
          <w:sz w:val="22"/>
          <w:szCs w:val="22"/>
        </w:rPr>
        <w:t xml:space="preserve">According to our previous research, 50% of 50 regions will be significantly differential methylated in our project while other 50% might be failed. The reason why these 50% regions will be failed include: </w:t>
      </w:r>
    </w:p>
    <w:p w:rsidR="005406AA" w:rsidRDefault="005406AA">
      <w:pPr>
        <w:rPr>
          <w:rFonts w:ascii="Arial" w:hAnsi="Arial" w:cs="Arial"/>
          <w:sz w:val="22"/>
          <w:szCs w:val="22"/>
        </w:rPr>
      </w:pPr>
    </w:p>
    <w:p w:rsidR="00BF0292" w:rsidRDefault="005406AA">
      <w:pPr>
        <w:rPr>
          <w:rFonts w:ascii="Arial" w:hAnsi="Arial" w:cs="Arial"/>
          <w:sz w:val="22"/>
          <w:szCs w:val="22"/>
        </w:rPr>
      </w:pPr>
      <w:r>
        <w:rPr>
          <w:rFonts w:ascii="Arial" w:hAnsi="Arial" w:cs="Arial"/>
          <w:sz w:val="22"/>
          <w:szCs w:val="22"/>
        </w:rPr>
        <w:t>1) TCGA dataset is white people, we repeat the</w:t>
      </w:r>
      <w:r w:rsidR="001B1AEB">
        <w:rPr>
          <w:rFonts w:ascii="Arial" w:hAnsi="Arial" w:cs="Arial"/>
          <w:sz w:val="22"/>
          <w:szCs w:val="22"/>
        </w:rPr>
        <w:t>se</w:t>
      </w:r>
      <w:r>
        <w:rPr>
          <w:rFonts w:ascii="Arial" w:hAnsi="Arial" w:cs="Arial"/>
          <w:sz w:val="22"/>
          <w:szCs w:val="22"/>
        </w:rPr>
        <w:t xml:space="preserve"> biomarkers in Chinese population</w:t>
      </w:r>
    </w:p>
    <w:p w:rsidR="00BF0292" w:rsidRDefault="005406AA">
      <w:pPr>
        <w:rPr>
          <w:rFonts w:ascii="Arial" w:hAnsi="Arial" w:cs="Arial"/>
          <w:sz w:val="22"/>
          <w:szCs w:val="22"/>
        </w:rPr>
      </w:pPr>
      <w:r>
        <w:rPr>
          <w:rFonts w:ascii="Arial" w:hAnsi="Arial" w:cs="Arial"/>
          <w:sz w:val="22"/>
          <w:szCs w:val="22"/>
        </w:rPr>
        <w:t xml:space="preserve">2) </w:t>
      </w:r>
      <w:r w:rsidR="007D6E6A">
        <w:rPr>
          <w:rFonts w:ascii="Arial" w:hAnsi="Arial" w:cs="Arial"/>
          <w:sz w:val="22"/>
          <w:szCs w:val="22"/>
        </w:rPr>
        <w:t xml:space="preserve">Subtype </w:t>
      </w:r>
      <w:r w:rsidR="00F3484F">
        <w:rPr>
          <w:rFonts w:ascii="Arial" w:hAnsi="Arial" w:cs="Arial"/>
          <w:sz w:val="22"/>
          <w:szCs w:val="22"/>
        </w:rPr>
        <w:t xml:space="preserve">difference. BRCA have many </w:t>
      </w:r>
      <w:r w:rsidR="007D6E6A">
        <w:rPr>
          <w:rFonts w:ascii="Arial" w:hAnsi="Arial" w:cs="Arial"/>
          <w:sz w:val="22"/>
          <w:szCs w:val="22"/>
        </w:rPr>
        <w:t xml:space="preserve">subtypes which maybe different between </w:t>
      </w:r>
      <w:r w:rsidR="00F3484F">
        <w:rPr>
          <w:rFonts w:ascii="Arial" w:hAnsi="Arial" w:cs="Arial"/>
          <w:sz w:val="22"/>
          <w:szCs w:val="22"/>
        </w:rPr>
        <w:t>our samples</w:t>
      </w:r>
      <w:r w:rsidR="007D6E6A">
        <w:rPr>
          <w:rFonts w:ascii="Arial" w:hAnsi="Arial" w:cs="Arial"/>
          <w:sz w:val="22"/>
          <w:szCs w:val="22"/>
        </w:rPr>
        <w:t xml:space="preserve"> and TCGA</w:t>
      </w:r>
      <w:r>
        <w:rPr>
          <w:rFonts w:ascii="Arial" w:hAnsi="Arial" w:cs="Arial"/>
          <w:sz w:val="22"/>
          <w:szCs w:val="22"/>
        </w:rPr>
        <w:t xml:space="preserve"> </w:t>
      </w:r>
    </w:p>
    <w:p w:rsidR="005406AA" w:rsidRDefault="005406AA">
      <w:pPr>
        <w:rPr>
          <w:rFonts w:ascii="Arial" w:hAnsi="Arial" w:cs="Arial"/>
          <w:sz w:val="22"/>
          <w:szCs w:val="22"/>
        </w:rPr>
      </w:pPr>
      <w:r>
        <w:rPr>
          <w:rFonts w:ascii="Arial" w:hAnsi="Arial" w:cs="Arial"/>
          <w:sz w:val="22"/>
          <w:szCs w:val="22"/>
        </w:rPr>
        <w:t xml:space="preserve">3) Sampling bias, we only selected 150 pair samples which might have certain bias. </w:t>
      </w:r>
    </w:p>
    <w:p w:rsidR="001B1AEB" w:rsidRDefault="001B1AEB">
      <w:pPr>
        <w:rPr>
          <w:rFonts w:ascii="Arial" w:hAnsi="Arial" w:cs="Arial"/>
          <w:sz w:val="22"/>
          <w:szCs w:val="22"/>
        </w:rPr>
      </w:pPr>
      <w:r>
        <w:rPr>
          <w:rFonts w:ascii="Arial" w:hAnsi="Arial" w:cs="Arial"/>
          <w:sz w:val="22"/>
          <w:szCs w:val="22"/>
        </w:rPr>
        <w:t xml:space="preserve">4) </w:t>
      </w:r>
      <w:r w:rsidR="00DD20DA">
        <w:rPr>
          <w:rFonts w:ascii="Arial" w:hAnsi="Arial" w:cs="Arial"/>
          <w:sz w:val="22"/>
          <w:szCs w:val="22"/>
        </w:rPr>
        <w:t>Genetic</w:t>
      </w:r>
      <w:r>
        <w:rPr>
          <w:rFonts w:ascii="Arial" w:hAnsi="Arial" w:cs="Arial"/>
          <w:sz w:val="22"/>
          <w:szCs w:val="22"/>
        </w:rPr>
        <w:t xml:space="preserve"> background difference, as GWAS shown genetic etiology Chinese and White have difference. </w:t>
      </w:r>
    </w:p>
    <w:p w:rsidR="00215D4B" w:rsidRDefault="00215D4B">
      <w:pPr>
        <w:rPr>
          <w:rFonts w:ascii="Arial" w:hAnsi="Arial" w:cs="Arial"/>
          <w:sz w:val="22"/>
          <w:szCs w:val="22"/>
        </w:rPr>
      </w:pPr>
    </w:p>
    <w:p w:rsidR="00215D4B" w:rsidRDefault="00215D4B">
      <w:pPr>
        <w:rPr>
          <w:rFonts w:ascii="Arial" w:hAnsi="Arial" w:cs="Arial"/>
          <w:sz w:val="22"/>
          <w:szCs w:val="22"/>
        </w:rPr>
      </w:pPr>
      <w:r>
        <w:rPr>
          <w:rFonts w:ascii="Arial" w:hAnsi="Arial" w:cs="Arial"/>
          <w:sz w:val="22"/>
          <w:szCs w:val="22"/>
        </w:rPr>
        <w:t>What we will do:</w:t>
      </w:r>
    </w:p>
    <w:p w:rsidR="00215D4B" w:rsidRDefault="00215D4B" w:rsidP="00215D4B">
      <w:pPr>
        <w:pStyle w:val="ListParagraph"/>
        <w:numPr>
          <w:ilvl w:val="0"/>
          <w:numId w:val="6"/>
        </w:numPr>
        <w:rPr>
          <w:rFonts w:ascii="Arial" w:hAnsi="Arial" w:cs="Arial"/>
          <w:sz w:val="22"/>
          <w:szCs w:val="22"/>
        </w:rPr>
      </w:pPr>
      <w:r>
        <w:rPr>
          <w:rFonts w:ascii="Arial" w:hAnsi="Arial" w:cs="Arial"/>
          <w:sz w:val="22"/>
          <w:szCs w:val="22"/>
        </w:rPr>
        <w:t>Evaluate the sensitivity, specificity and AUC for each DMR/biomarker</w:t>
      </w:r>
    </w:p>
    <w:p w:rsidR="00215D4B" w:rsidRDefault="00215D4B" w:rsidP="00215D4B">
      <w:pPr>
        <w:pStyle w:val="ListParagraph"/>
        <w:numPr>
          <w:ilvl w:val="0"/>
          <w:numId w:val="6"/>
        </w:numPr>
        <w:rPr>
          <w:rFonts w:ascii="Arial" w:hAnsi="Arial" w:cs="Arial"/>
          <w:sz w:val="22"/>
          <w:szCs w:val="22"/>
        </w:rPr>
      </w:pPr>
      <w:r>
        <w:rPr>
          <w:rFonts w:ascii="Arial" w:hAnsi="Arial" w:cs="Arial"/>
          <w:sz w:val="22"/>
          <w:szCs w:val="22"/>
        </w:rPr>
        <w:t>Identify a best prediction model to distinguish cancer and adjacent normal</w:t>
      </w:r>
    </w:p>
    <w:p w:rsidR="00215D4B" w:rsidRDefault="00215D4B" w:rsidP="00215D4B">
      <w:pPr>
        <w:pStyle w:val="ListParagraph"/>
        <w:numPr>
          <w:ilvl w:val="0"/>
          <w:numId w:val="6"/>
        </w:numPr>
        <w:rPr>
          <w:rFonts w:ascii="Arial" w:hAnsi="Arial" w:cs="Arial"/>
          <w:sz w:val="22"/>
          <w:szCs w:val="22"/>
        </w:rPr>
      </w:pPr>
      <w:r>
        <w:rPr>
          <w:rFonts w:ascii="Arial" w:hAnsi="Arial" w:cs="Arial"/>
          <w:sz w:val="22"/>
          <w:szCs w:val="22"/>
        </w:rPr>
        <w:t>Identify outcome associated biomarker</w:t>
      </w:r>
    </w:p>
    <w:p w:rsidR="00215D4B" w:rsidRDefault="00215D4B" w:rsidP="00215D4B">
      <w:pPr>
        <w:pStyle w:val="ListParagraph"/>
        <w:numPr>
          <w:ilvl w:val="0"/>
          <w:numId w:val="6"/>
        </w:numPr>
        <w:rPr>
          <w:rFonts w:ascii="Arial" w:hAnsi="Arial" w:cs="Arial"/>
          <w:sz w:val="22"/>
          <w:szCs w:val="22"/>
        </w:rPr>
      </w:pPr>
      <w:r>
        <w:rPr>
          <w:rFonts w:ascii="Arial" w:hAnsi="Arial" w:cs="Arial"/>
          <w:sz w:val="22"/>
          <w:szCs w:val="22"/>
        </w:rPr>
        <w:t>Identify TNM related DMR</w:t>
      </w:r>
    </w:p>
    <w:p w:rsidR="00215D4B" w:rsidRPr="00215D4B" w:rsidRDefault="00215D4B" w:rsidP="00215D4B">
      <w:pPr>
        <w:pStyle w:val="ListParagraph"/>
        <w:numPr>
          <w:ilvl w:val="0"/>
          <w:numId w:val="6"/>
        </w:numPr>
        <w:rPr>
          <w:rFonts w:ascii="Arial" w:hAnsi="Arial" w:cs="Arial"/>
          <w:sz w:val="22"/>
          <w:szCs w:val="22"/>
        </w:rPr>
      </w:pPr>
      <w:r>
        <w:rPr>
          <w:rFonts w:ascii="Arial" w:hAnsi="Arial" w:cs="Arial"/>
          <w:sz w:val="22"/>
          <w:szCs w:val="22"/>
        </w:rPr>
        <w:t>Identify other clinical information related DMR</w:t>
      </w:r>
    </w:p>
    <w:p w:rsidR="00DD20DA" w:rsidRDefault="00DD20DA">
      <w:pPr>
        <w:rPr>
          <w:rFonts w:ascii="Arial" w:hAnsi="Arial" w:cs="Arial"/>
          <w:sz w:val="22"/>
          <w:szCs w:val="22"/>
        </w:rPr>
      </w:pPr>
    </w:p>
    <w:p w:rsidR="00537A9C" w:rsidRDefault="00537A9C" w:rsidP="00537A9C">
      <w:pPr>
        <w:rPr>
          <w:rFonts w:ascii="Arial" w:hAnsi="Arial" w:cs="Arial"/>
          <w:sz w:val="22"/>
          <w:szCs w:val="22"/>
        </w:rPr>
      </w:pPr>
      <w:r>
        <w:rPr>
          <w:rFonts w:ascii="Arial" w:hAnsi="Arial" w:cs="Arial"/>
          <w:sz w:val="22"/>
          <w:szCs w:val="22"/>
        </w:rPr>
        <w:t>Sample collection requirement:</w:t>
      </w:r>
    </w:p>
    <w:p w:rsidR="00537A9C" w:rsidRDefault="00537A9C" w:rsidP="00537A9C">
      <w:pPr>
        <w:rPr>
          <w:rFonts w:ascii="Arial" w:hAnsi="Arial" w:cs="Arial"/>
          <w:sz w:val="22"/>
          <w:szCs w:val="22"/>
        </w:rPr>
      </w:pPr>
    </w:p>
    <w:p w:rsidR="00537A9C" w:rsidRPr="00537A9C" w:rsidRDefault="00537A9C" w:rsidP="00537A9C">
      <w:pPr>
        <w:pStyle w:val="ListParagraph"/>
        <w:numPr>
          <w:ilvl w:val="0"/>
          <w:numId w:val="5"/>
        </w:numPr>
        <w:rPr>
          <w:rFonts w:ascii="Arial" w:hAnsi="Arial" w:cs="Arial"/>
          <w:sz w:val="22"/>
          <w:szCs w:val="22"/>
        </w:rPr>
      </w:pPr>
      <w:r w:rsidRPr="00537A9C">
        <w:rPr>
          <w:rFonts w:ascii="Arial" w:hAnsi="Arial" w:cs="Arial"/>
          <w:sz w:val="22"/>
          <w:szCs w:val="22"/>
        </w:rPr>
        <w:t>Age, gender,</w:t>
      </w:r>
      <w:r>
        <w:rPr>
          <w:rFonts w:ascii="Arial" w:hAnsi="Arial" w:cs="Arial"/>
          <w:sz w:val="22"/>
          <w:szCs w:val="22"/>
        </w:rPr>
        <w:t xml:space="preserve"> BMI, subtype, </w:t>
      </w:r>
      <w:r w:rsidR="009C0999">
        <w:rPr>
          <w:rFonts w:ascii="Arial" w:hAnsi="Arial" w:cs="Arial"/>
          <w:sz w:val="22"/>
          <w:szCs w:val="22"/>
        </w:rPr>
        <w:t xml:space="preserve">smoking, drinking, </w:t>
      </w:r>
      <w:r w:rsidR="00276B47">
        <w:rPr>
          <w:rFonts w:ascii="Arial" w:hAnsi="Arial" w:cs="Arial"/>
          <w:sz w:val="22"/>
          <w:szCs w:val="22"/>
        </w:rPr>
        <w:t xml:space="preserve">family history, </w:t>
      </w:r>
      <w:r>
        <w:rPr>
          <w:rFonts w:ascii="Arial" w:hAnsi="Arial" w:cs="Arial"/>
          <w:sz w:val="22"/>
          <w:szCs w:val="22"/>
        </w:rPr>
        <w:t>TNM and overall survival time (OS)</w:t>
      </w:r>
      <w:r w:rsidRPr="00537A9C">
        <w:rPr>
          <w:rFonts w:ascii="Arial" w:hAnsi="Arial" w:cs="Arial"/>
          <w:sz w:val="22"/>
          <w:szCs w:val="22"/>
        </w:rPr>
        <w:t xml:space="preserve"> </w:t>
      </w:r>
    </w:p>
    <w:p w:rsidR="00537A9C" w:rsidRDefault="00537A9C" w:rsidP="00537A9C">
      <w:pPr>
        <w:pStyle w:val="ListParagraph"/>
        <w:numPr>
          <w:ilvl w:val="0"/>
          <w:numId w:val="5"/>
        </w:numPr>
        <w:rPr>
          <w:rFonts w:ascii="Arial" w:hAnsi="Arial" w:cs="Arial"/>
          <w:sz w:val="22"/>
          <w:szCs w:val="22"/>
        </w:rPr>
      </w:pPr>
      <w:r>
        <w:rPr>
          <w:rFonts w:ascii="Arial" w:hAnsi="Arial" w:cs="Arial"/>
          <w:sz w:val="22"/>
          <w:szCs w:val="22"/>
        </w:rPr>
        <w:t>TP53, PIK3CA and GATA3 mutation: Yes or No</w:t>
      </w:r>
    </w:p>
    <w:p w:rsidR="00537A9C" w:rsidRDefault="0074753C" w:rsidP="00537A9C">
      <w:pPr>
        <w:pStyle w:val="ListParagraph"/>
        <w:numPr>
          <w:ilvl w:val="0"/>
          <w:numId w:val="5"/>
        </w:numPr>
        <w:rPr>
          <w:rFonts w:ascii="Arial" w:hAnsi="Arial" w:cs="Arial"/>
          <w:sz w:val="22"/>
          <w:szCs w:val="22"/>
        </w:rPr>
      </w:pPr>
      <w:r>
        <w:rPr>
          <w:rFonts w:ascii="Arial" w:hAnsi="Arial" w:cs="Arial"/>
          <w:sz w:val="22"/>
          <w:szCs w:val="22"/>
        </w:rPr>
        <w:t xml:space="preserve">Samples with other omics data should give high priority to enter the project (WES or </w:t>
      </w:r>
      <w:proofErr w:type="spellStart"/>
      <w:r>
        <w:rPr>
          <w:rFonts w:ascii="Arial" w:hAnsi="Arial" w:cs="Arial"/>
          <w:sz w:val="22"/>
          <w:szCs w:val="22"/>
        </w:rPr>
        <w:t>RNAseq</w:t>
      </w:r>
      <w:proofErr w:type="spellEnd"/>
      <w:r>
        <w:rPr>
          <w:rFonts w:ascii="Arial" w:hAnsi="Arial" w:cs="Arial"/>
          <w:sz w:val="22"/>
          <w:szCs w:val="22"/>
        </w:rPr>
        <w:t>)</w:t>
      </w:r>
    </w:p>
    <w:p w:rsidR="005C4000" w:rsidRDefault="00C1131F" w:rsidP="00A17436">
      <w:pPr>
        <w:pStyle w:val="ListParagraph"/>
        <w:numPr>
          <w:ilvl w:val="0"/>
          <w:numId w:val="5"/>
        </w:numPr>
        <w:rPr>
          <w:rFonts w:ascii="Arial" w:hAnsi="Arial" w:cs="Arial"/>
          <w:sz w:val="22"/>
          <w:szCs w:val="22"/>
        </w:rPr>
      </w:pPr>
      <w:r w:rsidRPr="000A7076">
        <w:rPr>
          <w:rFonts w:ascii="Arial" w:hAnsi="Arial" w:cs="Arial"/>
          <w:sz w:val="22"/>
          <w:szCs w:val="22"/>
        </w:rPr>
        <w:t xml:space="preserve">Other clinical information such as </w:t>
      </w:r>
      <w:r w:rsidR="00B76361" w:rsidRPr="000A7076">
        <w:rPr>
          <w:rFonts w:ascii="Arial" w:hAnsi="Arial" w:cs="Arial"/>
          <w:sz w:val="22"/>
          <w:szCs w:val="22"/>
        </w:rPr>
        <w:t>WBC?</w:t>
      </w:r>
      <w:r w:rsidRPr="000A7076">
        <w:rPr>
          <w:rFonts w:ascii="Arial" w:hAnsi="Arial" w:cs="Arial"/>
          <w:sz w:val="22"/>
          <w:szCs w:val="22"/>
        </w:rPr>
        <w:t>, AFP</w:t>
      </w:r>
      <w:r w:rsidR="00B76361" w:rsidRPr="000A7076">
        <w:rPr>
          <w:rFonts w:ascii="Arial" w:hAnsi="Arial" w:cs="Arial"/>
          <w:sz w:val="22"/>
          <w:szCs w:val="22"/>
        </w:rPr>
        <w:t>?</w:t>
      </w:r>
      <w:r w:rsidRPr="000A7076">
        <w:rPr>
          <w:rFonts w:ascii="Arial" w:hAnsi="Arial" w:cs="Arial"/>
          <w:sz w:val="22"/>
          <w:szCs w:val="22"/>
        </w:rPr>
        <w:t>, other routine checking for BRCA</w:t>
      </w:r>
    </w:p>
    <w:p w:rsidR="00215D4B" w:rsidRDefault="00215D4B" w:rsidP="00A17436">
      <w:pPr>
        <w:pStyle w:val="ListParagraph"/>
        <w:numPr>
          <w:ilvl w:val="0"/>
          <w:numId w:val="5"/>
        </w:numPr>
        <w:rPr>
          <w:rFonts w:ascii="Arial" w:hAnsi="Arial" w:cs="Arial"/>
          <w:sz w:val="22"/>
          <w:szCs w:val="22"/>
        </w:rPr>
      </w:pPr>
      <w:r>
        <w:rPr>
          <w:rFonts w:ascii="Arial" w:hAnsi="Arial" w:cs="Arial"/>
          <w:sz w:val="22"/>
          <w:szCs w:val="22"/>
        </w:rPr>
        <w:t>Staining will be another interesting information. Tumor purity can be evaluated by staining</w:t>
      </w:r>
    </w:p>
    <w:p w:rsidR="00215D4B" w:rsidRDefault="00215D4B" w:rsidP="00A17436">
      <w:pPr>
        <w:pStyle w:val="ListParagraph"/>
        <w:numPr>
          <w:ilvl w:val="0"/>
          <w:numId w:val="5"/>
        </w:numPr>
        <w:rPr>
          <w:rFonts w:ascii="Arial" w:hAnsi="Arial" w:cs="Arial"/>
          <w:sz w:val="22"/>
          <w:szCs w:val="22"/>
        </w:rPr>
      </w:pPr>
      <w:r>
        <w:rPr>
          <w:rFonts w:ascii="Arial" w:hAnsi="Arial" w:cs="Arial"/>
          <w:sz w:val="22"/>
          <w:szCs w:val="22"/>
        </w:rPr>
        <w:t xml:space="preserve">Max Tumor size? Tumor number? </w:t>
      </w:r>
    </w:p>
    <w:p w:rsidR="004B7700" w:rsidRDefault="004B7700" w:rsidP="00A17436">
      <w:pPr>
        <w:pStyle w:val="ListParagraph"/>
        <w:numPr>
          <w:ilvl w:val="0"/>
          <w:numId w:val="5"/>
        </w:numPr>
        <w:rPr>
          <w:rFonts w:ascii="Arial" w:hAnsi="Arial" w:cs="Arial"/>
          <w:sz w:val="22"/>
          <w:szCs w:val="22"/>
        </w:rPr>
      </w:pPr>
      <w:r>
        <w:rPr>
          <w:rFonts w:ascii="Arial" w:hAnsi="Arial" w:cs="Arial"/>
          <w:sz w:val="22"/>
          <w:szCs w:val="22"/>
        </w:rPr>
        <w:t xml:space="preserve">DNA: </w:t>
      </w:r>
      <w:r w:rsidR="00611F7F">
        <w:rPr>
          <w:rFonts w:ascii="Arial" w:hAnsi="Arial" w:cs="Arial"/>
          <w:sz w:val="22"/>
          <w:szCs w:val="22"/>
        </w:rPr>
        <w:t>10</w:t>
      </w:r>
      <w:r w:rsidR="00940F28">
        <w:rPr>
          <w:rFonts w:ascii="Arial" w:hAnsi="Arial" w:cs="Arial"/>
          <w:sz w:val="22"/>
          <w:szCs w:val="22"/>
        </w:rPr>
        <w:t>0 paired BRCA-adjacent</w:t>
      </w:r>
      <w:r>
        <w:rPr>
          <w:rFonts w:ascii="Arial" w:hAnsi="Arial" w:cs="Arial"/>
          <w:sz w:val="22"/>
          <w:szCs w:val="22"/>
        </w:rPr>
        <w:t>, 5 BRCA cell line (before and after 5-AZA treatment for 3 days)</w:t>
      </w:r>
    </w:p>
    <w:p w:rsidR="000A7076" w:rsidRDefault="004B7700" w:rsidP="000A7076">
      <w:pPr>
        <w:pStyle w:val="ListParagraph"/>
        <w:numPr>
          <w:ilvl w:val="0"/>
          <w:numId w:val="5"/>
        </w:numPr>
        <w:rPr>
          <w:rFonts w:ascii="Arial" w:hAnsi="Arial" w:cs="Arial"/>
          <w:sz w:val="22"/>
          <w:szCs w:val="22"/>
        </w:rPr>
      </w:pPr>
      <w:proofErr w:type="spellStart"/>
      <w:r>
        <w:rPr>
          <w:rFonts w:ascii="Arial" w:hAnsi="Arial" w:cs="Arial"/>
          <w:sz w:val="22"/>
          <w:szCs w:val="22"/>
        </w:rPr>
        <w:t>cfDNA</w:t>
      </w:r>
      <w:proofErr w:type="spellEnd"/>
      <w:r>
        <w:rPr>
          <w:rFonts w:ascii="Arial" w:hAnsi="Arial" w:cs="Arial"/>
          <w:sz w:val="22"/>
          <w:szCs w:val="22"/>
        </w:rPr>
        <w:t xml:space="preserve">: </w:t>
      </w:r>
      <w:r w:rsidR="00F45479">
        <w:rPr>
          <w:rFonts w:ascii="Arial" w:hAnsi="Arial" w:cs="Arial"/>
          <w:sz w:val="22"/>
          <w:szCs w:val="22"/>
        </w:rPr>
        <w:t>4</w:t>
      </w:r>
      <w:r>
        <w:rPr>
          <w:rFonts w:ascii="Arial" w:hAnsi="Arial" w:cs="Arial"/>
          <w:sz w:val="22"/>
          <w:szCs w:val="22"/>
        </w:rPr>
        <w:t>0</w:t>
      </w:r>
      <w:r w:rsidR="00F45479">
        <w:rPr>
          <w:rFonts w:ascii="Arial" w:hAnsi="Arial" w:cs="Arial"/>
          <w:sz w:val="22"/>
          <w:szCs w:val="22"/>
        </w:rPr>
        <w:t xml:space="preserve"> BRCA </w:t>
      </w:r>
      <w:proofErr w:type="spellStart"/>
      <w:r w:rsidR="00F45479">
        <w:rPr>
          <w:rFonts w:ascii="Arial" w:hAnsi="Arial" w:cs="Arial"/>
          <w:sz w:val="22"/>
          <w:szCs w:val="22"/>
        </w:rPr>
        <w:t>cfDNA</w:t>
      </w:r>
      <w:proofErr w:type="spellEnd"/>
      <w:r w:rsidR="00F45479">
        <w:rPr>
          <w:rFonts w:ascii="Arial" w:hAnsi="Arial" w:cs="Arial"/>
          <w:sz w:val="22"/>
          <w:szCs w:val="22"/>
        </w:rPr>
        <w:t xml:space="preserve"> and 4</w:t>
      </w:r>
      <w:r>
        <w:rPr>
          <w:rFonts w:ascii="Arial" w:hAnsi="Arial" w:cs="Arial"/>
          <w:sz w:val="22"/>
          <w:szCs w:val="22"/>
        </w:rPr>
        <w:t xml:space="preserve">0 normal </w:t>
      </w:r>
      <w:proofErr w:type="spellStart"/>
      <w:r>
        <w:rPr>
          <w:rFonts w:ascii="Arial" w:hAnsi="Arial" w:cs="Arial"/>
          <w:sz w:val="22"/>
          <w:szCs w:val="22"/>
        </w:rPr>
        <w:t>cfDNA</w:t>
      </w:r>
      <w:proofErr w:type="spellEnd"/>
      <w:r>
        <w:rPr>
          <w:rFonts w:ascii="Arial" w:hAnsi="Arial" w:cs="Arial"/>
          <w:sz w:val="22"/>
          <w:szCs w:val="22"/>
        </w:rPr>
        <w:t xml:space="preserve"> (</w:t>
      </w:r>
      <w:r w:rsidR="00871F0A">
        <w:rPr>
          <w:rFonts w:ascii="Arial" w:hAnsi="Arial" w:cs="Arial"/>
          <w:sz w:val="22"/>
          <w:szCs w:val="22"/>
        </w:rPr>
        <w:t>age, BMI</w:t>
      </w:r>
      <w:r>
        <w:rPr>
          <w:rFonts w:ascii="Arial" w:hAnsi="Arial" w:cs="Arial"/>
          <w:sz w:val="22"/>
          <w:szCs w:val="22"/>
        </w:rPr>
        <w:t>, drinking, smoking matched samples)</w:t>
      </w:r>
    </w:p>
    <w:p w:rsidR="00051A78" w:rsidRDefault="00051A78" w:rsidP="000A7076">
      <w:pPr>
        <w:pStyle w:val="ListParagraph"/>
        <w:numPr>
          <w:ilvl w:val="0"/>
          <w:numId w:val="5"/>
        </w:numPr>
        <w:rPr>
          <w:rFonts w:ascii="Arial" w:hAnsi="Arial" w:cs="Arial"/>
          <w:sz w:val="22"/>
          <w:szCs w:val="22"/>
        </w:rPr>
      </w:pPr>
      <w:r>
        <w:rPr>
          <w:rFonts w:ascii="Arial" w:hAnsi="Arial" w:cs="Arial"/>
          <w:sz w:val="22"/>
          <w:szCs w:val="22"/>
        </w:rPr>
        <w:t>totally: 300 DNAs (</w:t>
      </w:r>
      <w:r w:rsidR="009E7740">
        <w:rPr>
          <w:rFonts w:ascii="Arial" w:hAnsi="Arial" w:cs="Arial"/>
          <w:sz w:val="22"/>
          <w:szCs w:val="22"/>
        </w:rPr>
        <w:t xml:space="preserve">100 BRCA, 100 BRCA-adjacent, 5 cell line before, 5 cell line after, 45 paired </w:t>
      </w:r>
      <w:proofErr w:type="spellStart"/>
      <w:r w:rsidR="009E7740">
        <w:rPr>
          <w:rFonts w:ascii="Arial" w:hAnsi="Arial" w:cs="Arial"/>
          <w:sz w:val="22"/>
          <w:szCs w:val="22"/>
        </w:rPr>
        <w:t>cfDNA</w:t>
      </w:r>
      <w:proofErr w:type="spellEnd"/>
      <w:r>
        <w:rPr>
          <w:rFonts w:ascii="Arial" w:hAnsi="Arial" w:cs="Arial"/>
          <w:sz w:val="22"/>
          <w:szCs w:val="22"/>
        </w:rPr>
        <w:t>)</w:t>
      </w:r>
    </w:p>
    <w:p w:rsidR="009E7740" w:rsidRPr="009E7740" w:rsidRDefault="009E7740" w:rsidP="009E7740">
      <w:pPr>
        <w:pStyle w:val="ListParagraph"/>
        <w:numPr>
          <w:ilvl w:val="0"/>
          <w:numId w:val="5"/>
        </w:numPr>
        <w:rPr>
          <w:rFonts w:ascii="Arial" w:hAnsi="Arial" w:cs="Arial"/>
          <w:sz w:val="22"/>
          <w:szCs w:val="22"/>
        </w:rPr>
      </w:pPr>
      <w:r>
        <w:rPr>
          <w:rFonts w:ascii="Arial" w:hAnsi="Arial" w:cs="Arial"/>
          <w:sz w:val="22"/>
          <w:szCs w:val="22"/>
        </w:rPr>
        <w:t>DNA, RNA, protein should be collected s</w:t>
      </w:r>
      <w:r w:rsidRPr="009E7740">
        <w:rPr>
          <w:rFonts w:ascii="Arial" w:hAnsi="Arial" w:cs="Arial"/>
          <w:sz w:val="22"/>
          <w:szCs w:val="22"/>
        </w:rPr>
        <w:t xml:space="preserve">imultaneously after 3 day treatment of 5-AZA since mRNA and protein might be used for RT-PCR and Western blot </w:t>
      </w:r>
    </w:p>
    <w:p w:rsidR="000A7076" w:rsidRPr="000A7076" w:rsidRDefault="000A7076" w:rsidP="000A7076">
      <w:pPr>
        <w:rPr>
          <w:rFonts w:ascii="Arial" w:hAnsi="Arial" w:cs="Arial"/>
          <w:sz w:val="22"/>
          <w:szCs w:val="22"/>
        </w:rPr>
      </w:pPr>
    </w:p>
    <w:p w:rsidR="005C4000" w:rsidRPr="005C4000" w:rsidRDefault="00B801A4" w:rsidP="005C4000">
      <w:pPr>
        <w:rPr>
          <w:rFonts w:ascii="Arial" w:hAnsi="Arial" w:cs="Arial"/>
          <w:sz w:val="22"/>
          <w:szCs w:val="22"/>
        </w:rPr>
      </w:pPr>
      <w:hyperlink r:id="rId5" w:history="1">
        <w:r w:rsidR="005C4000" w:rsidRPr="005C4000">
          <w:rPr>
            <w:rStyle w:val="Hyperlink"/>
            <w:rFonts w:ascii="Arial" w:hAnsi="Arial" w:cs="Arial"/>
            <w:color w:val="660099"/>
            <w:sz w:val="22"/>
            <w:szCs w:val="22"/>
            <w:shd w:val="clear" w:color="auto" w:fill="FFFFFF"/>
          </w:rPr>
          <w:t>Targeted bisulfite sequencing identified a panel of DNA methylation-based biomarkers for esophageal squamous cell carcinoma (ESCC)</w:t>
        </w:r>
      </w:hyperlink>
    </w:p>
    <w:p w:rsidR="005C4000" w:rsidRPr="005C4000" w:rsidRDefault="005C4000" w:rsidP="005C4000">
      <w:pPr>
        <w:shd w:val="clear" w:color="auto" w:fill="FFFFFF"/>
        <w:rPr>
          <w:rFonts w:ascii="Arial" w:hAnsi="Arial" w:cs="Arial"/>
          <w:color w:val="777777"/>
          <w:sz w:val="22"/>
          <w:szCs w:val="22"/>
        </w:rPr>
      </w:pPr>
      <w:r w:rsidRPr="005C4000">
        <w:rPr>
          <w:rFonts w:ascii="Arial" w:hAnsi="Arial" w:cs="Arial"/>
          <w:color w:val="777777"/>
          <w:sz w:val="22"/>
          <w:szCs w:val="22"/>
        </w:rPr>
        <w:t>W Pu, C Wang, S Chen, D Zhao, Y Zhou, Y Ma, Y Wang, C Li, Z Huang, ...</w:t>
      </w:r>
    </w:p>
    <w:p w:rsidR="005C4000" w:rsidRPr="005C4000" w:rsidRDefault="005C4000" w:rsidP="005C4000">
      <w:pPr>
        <w:shd w:val="clear" w:color="auto" w:fill="FFFFFF"/>
        <w:rPr>
          <w:rFonts w:ascii="Arial" w:hAnsi="Arial" w:cs="Arial"/>
          <w:color w:val="777777"/>
          <w:sz w:val="22"/>
          <w:szCs w:val="22"/>
        </w:rPr>
      </w:pPr>
      <w:r w:rsidRPr="005C4000">
        <w:rPr>
          <w:rFonts w:ascii="Arial" w:hAnsi="Arial" w:cs="Arial"/>
          <w:color w:val="777777"/>
          <w:sz w:val="22"/>
          <w:szCs w:val="22"/>
        </w:rPr>
        <w:t>Clinical epigenetics 9 (1), 129</w:t>
      </w:r>
    </w:p>
    <w:p w:rsidR="005C4000" w:rsidRPr="005C4000" w:rsidRDefault="005C4000">
      <w:pPr>
        <w:rPr>
          <w:rFonts w:ascii="Arial" w:hAnsi="Arial" w:cs="Arial"/>
          <w:sz w:val="22"/>
          <w:szCs w:val="22"/>
        </w:rPr>
      </w:pPr>
    </w:p>
    <w:p w:rsidR="005C4000" w:rsidRPr="005C4000" w:rsidRDefault="00B801A4" w:rsidP="005C4000">
      <w:pPr>
        <w:rPr>
          <w:rFonts w:ascii="Arial" w:hAnsi="Arial" w:cs="Arial"/>
          <w:sz w:val="22"/>
          <w:szCs w:val="22"/>
        </w:rPr>
      </w:pPr>
      <w:hyperlink r:id="rId6" w:history="1">
        <w:r w:rsidR="005C4000" w:rsidRPr="005C4000">
          <w:rPr>
            <w:rStyle w:val="Hyperlink"/>
            <w:rFonts w:ascii="Arial" w:hAnsi="Arial" w:cs="Arial"/>
            <w:color w:val="660099"/>
            <w:sz w:val="22"/>
            <w:szCs w:val="22"/>
            <w:shd w:val="clear" w:color="auto" w:fill="FFFFFF"/>
          </w:rPr>
          <w:t>Identification of hyper-methylated tumor suppressor genes-based diagnostic panel for esophageal squamous cell carcinoma (ESCC) in a Chinese Han population</w:t>
        </w:r>
      </w:hyperlink>
    </w:p>
    <w:p w:rsidR="005C4000" w:rsidRPr="005C4000" w:rsidRDefault="005C4000" w:rsidP="005C4000">
      <w:pPr>
        <w:shd w:val="clear" w:color="auto" w:fill="FFFFFF"/>
        <w:rPr>
          <w:rFonts w:ascii="Arial" w:hAnsi="Arial" w:cs="Arial"/>
          <w:color w:val="777777"/>
          <w:sz w:val="22"/>
          <w:szCs w:val="22"/>
        </w:rPr>
      </w:pPr>
      <w:r w:rsidRPr="005C4000">
        <w:rPr>
          <w:rFonts w:ascii="Arial" w:hAnsi="Arial" w:cs="Arial"/>
          <w:color w:val="777777"/>
          <w:sz w:val="22"/>
          <w:szCs w:val="22"/>
        </w:rPr>
        <w:t>C Wang, W Pu, D Zhao, Y Zhou, T Lu, S Chen, Z He, X Feng, Y Wang</w:t>
      </w:r>
      <w:proofErr w:type="gramStart"/>
      <w:r w:rsidRPr="005C4000">
        <w:rPr>
          <w:rFonts w:ascii="Arial" w:hAnsi="Arial" w:cs="Arial"/>
          <w:color w:val="777777"/>
          <w:sz w:val="22"/>
          <w:szCs w:val="22"/>
        </w:rPr>
        <w:t>, ...</w:t>
      </w:r>
      <w:proofErr w:type="gramEnd"/>
    </w:p>
    <w:p w:rsidR="005C4000" w:rsidRPr="005C4000" w:rsidRDefault="005C4000" w:rsidP="005C4000">
      <w:pPr>
        <w:shd w:val="clear" w:color="auto" w:fill="FFFFFF"/>
        <w:rPr>
          <w:rFonts w:ascii="Arial" w:hAnsi="Arial" w:cs="Arial"/>
          <w:color w:val="777777"/>
          <w:sz w:val="22"/>
          <w:szCs w:val="22"/>
        </w:rPr>
      </w:pPr>
      <w:r w:rsidRPr="005C4000">
        <w:rPr>
          <w:rFonts w:ascii="Arial" w:hAnsi="Arial" w:cs="Arial"/>
          <w:color w:val="777777"/>
          <w:sz w:val="22"/>
          <w:szCs w:val="22"/>
        </w:rPr>
        <w:t>Frontiers in genetics 9</w:t>
      </w:r>
    </w:p>
    <w:p w:rsidR="005C4000" w:rsidRPr="005C4000" w:rsidRDefault="005C4000">
      <w:pPr>
        <w:rPr>
          <w:rFonts w:ascii="Arial" w:hAnsi="Arial" w:cs="Arial"/>
          <w:sz w:val="22"/>
          <w:szCs w:val="22"/>
        </w:rPr>
      </w:pPr>
    </w:p>
    <w:p w:rsidR="005C4000" w:rsidRPr="005C4000" w:rsidRDefault="00B801A4" w:rsidP="005C4000">
      <w:pPr>
        <w:rPr>
          <w:rFonts w:ascii="Arial" w:hAnsi="Arial" w:cs="Arial"/>
          <w:sz w:val="22"/>
          <w:szCs w:val="22"/>
        </w:rPr>
      </w:pPr>
      <w:hyperlink r:id="rId7" w:history="1">
        <w:r w:rsidR="005C4000" w:rsidRPr="005C4000">
          <w:rPr>
            <w:rStyle w:val="Hyperlink"/>
            <w:rFonts w:ascii="Arial" w:hAnsi="Arial" w:cs="Arial"/>
            <w:color w:val="660099"/>
            <w:sz w:val="22"/>
            <w:szCs w:val="22"/>
            <w:shd w:val="clear" w:color="auto" w:fill="FFFFFF"/>
          </w:rPr>
          <w:t>Epigenetic silencing of ZNF132 mediated by methylation-sensitive Sp1 binding promotes cancer progression in esophageal squamous cell carcinoma</w:t>
        </w:r>
      </w:hyperlink>
    </w:p>
    <w:p w:rsidR="005C4000" w:rsidRPr="005C4000" w:rsidRDefault="005C4000" w:rsidP="005C4000">
      <w:pPr>
        <w:shd w:val="clear" w:color="auto" w:fill="FFFFFF"/>
        <w:rPr>
          <w:rFonts w:ascii="Arial" w:hAnsi="Arial" w:cs="Arial"/>
          <w:color w:val="777777"/>
          <w:sz w:val="22"/>
          <w:szCs w:val="22"/>
        </w:rPr>
      </w:pPr>
      <w:r w:rsidRPr="005C4000">
        <w:rPr>
          <w:rFonts w:ascii="Arial" w:hAnsi="Arial" w:cs="Arial"/>
          <w:color w:val="777777"/>
          <w:sz w:val="22"/>
          <w:szCs w:val="22"/>
        </w:rPr>
        <w:t>D Jiang, Z He, C Wang, Y Zhou, F Li, W Pu, X Zhang, X Feng, M Zhang, ...</w:t>
      </w:r>
    </w:p>
    <w:p w:rsidR="005C4000" w:rsidRPr="005C4000" w:rsidRDefault="005C4000" w:rsidP="005C4000">
      <w:pPr>
        <w:shd w:val="clear" w:color="auto" w:fill="FFFFFF"/>
        <w:rPr>
          <w:rFonts w:ascii="Arial" w:hAnsi="Arial" w:cs="Arial"/>
          <w:color w:val="777777"/>
          <w:sz w:val="22"/>
          <w:szCs w:val="22"/>
        </w:rPr>
      </w:pPr>
      <w:r w:rsidRPr="005C4000">
        <w:rPr>
          <w:rFonts w:ascii="Arial" w:hAnsi="Arial" w:cs="Arial"/>
          <w:color w:val="777777"/>
          <w:sz w:val="22"/>
          <w:szCs w:val="22"/>
        </w:rPr>
        <w:t>Cell Death &amp; Disease 10 (1), 1</w:t>
      </w:r>
    </w:p>
    <w:p w:rsidR="005C4000" w:rsidRDefault="005C4000">
      <w:pPr>
        <w:rPr>
          <w:rFonts w:ascii="Arial" w:hAnsi="Arial" w:cs="Arial"/>
          <w:sz w:val="22"/>
          <w:szCs w:val="22"/>
        </w:rPr>
      </w:pPr>
    </w:p>
    <w:p w:rsidR="00A35B1C" w:rsidRDefault="00A35B1C">
      <w:pPr>
        <w:rPr>
          <w:rFonts w:ascii="Arial" w:hAnsi="Arial" w:cs="Arial"/>
          <w:sz w:val="22"/>
          <w:szCs w:val="22"/>
        </w:rPr>
      </w:pPr>
    </w:p>
    <w:p w:rsidR="00A35B1C" w:rsidRDefault="00A35B1C">
      <w:pPr>
        <w:rPr>
          <w:rFonts w:ascii="Arial" w:hAnsi="Arial" w:cs="Arial"/>
          <w:sz w:val="22"/>
          <w:szCs w:val="22"/>
        </w:rPr>
      </w:pPr>
    </w:p>
    <w:p w:rsidR="00A35B1C" w:rsidRDefault="00A35B1C">
      <w:pPr>
        <w:rPr>
          <w:rFonts w:ascii="Arial" w:hAnsi="Arial" w:cs="Arial"/>
          <w:sz w:val="22"/>
          <w:szCs w:val="22"/>
        </w:rPr>
      </w:pPr>
    </w:p>
    <w:p w:rsidR="00A35B1C" w:rsidRDefault="00A35B1C">
      <w:pPr>
        <w:rPr>
          <w:rFonts w:ascii="Arial" w:hAnsi="Arial" w:cs="Arial"/>
          <w:sz w:val="22"/>
          <w:szCs w:val="22"/>
        </w:rPr>
      </w:pPr>
    </w:p>
    <w:p w:rsidR="00A35B1C" w:rsidRDefault="00A35B1C">
      <w:pPr>
        <w:rPr>
          <w:rFonts w:ascii="Arial" w:hAnsi="Arial" w:cs="Arial"/>
          <w:sz w:val="22"/>
          <w:szCs w:val="22"/>
        </w:rPr>
      </w:pPr>
    </w:p>
    <w:p w:rsidR="005406AA" w:rsidRDefault="005406AA">
      <w:pPr>
        <w:rPr>
          <w:rFonts w:ascii="Arial" w:hAnsi="Arial" w:cs="Arial"/>
          <w:sz w:val="22"/>
          <w:szCs w:val="22"/>
        </w:rPr>
      </w:pPr>
    </w:p>
    <w:p w:rsidR="00A35B1C" w:rsidRDefault="00A35B1C" w:rsidP="00A35B1C">
      <w:pPr>
        <w:shd w:val="clear" w:color="auto" w:fill="FFFFFF"/>
        <w:spacing w:after="200" w:line="253" w:lineRule="atLeast"/>
        <w:rPr>
          <w:rFonts w:ascii="Calibri" w:hAnsi="Calibri" w:cs="Calibri"/>
          <w:color w:val="222222"/>
          <w:sz w:val="22"/>
          <w:szCs w:val="22"/>
        </w:rPr>
      </w:pPr>
      <w:proofErr w:type="spellStart"/>
      <w:r>
        <w:rPr>
          <w:rFonts w:ascii="DengXian" w:eastAsia="DengXian" w:hAnsi="DengXian" w:cs="Calibri" w:hint="eastAsia"/>
          <w:color w:val="222222"/>
          <w:sz w:val="22"/>
          <w:szCs w:val="22"/>
        </w:rPr>
        <w:t>大体的时间表如下</w:t>
      </w:r>
      <w:proofErr w:type="spellEnd"/>
      <w:r>
        <w:rPr>
          <w:rFonts w:ascii="DengXian" w:eastAsia="DengXian" w:hAnsi="DengXian" w:cs="Calibri" w:hint="eastAsia"/>
          <w:color w:val="222222"/>
          <w:sz w:val="22"/>
          <w:szCs w:val="22"/>
        </w:rPr>
        <w:t>：</w:t>
      </w:r>
    </w:p>
    <w:p w:rsidR="00A35B1C" w:rsidRPr="00B86BF4" w:rsidRDefault="00A35B1C" w:rsidP="00B86BF4">
      <w:pPr>
        <w:pStyle w:val="ListParagraph"/>
        <w:numPr>
          <w:ilvl w:val="0"/>
          <w:numId w:val="8"/>
        </w:numPr>
        <w:shd w:val="clear" w:color="auto" w:fill="FFFFFF"/>
        <w:spacing w:after="200" w:line="253" w:lineRule="atLeast"/>
        <w:rPr>
          <w:rFonts w:ascii="DengXian" w:eastAsia="DengXian" w:hAnsi="DengXian" w:cs="Calibri"/>
          <w:color w:val="222222"/>
          <w:sz w:val="22"/>
          <w:szCs w:val="22"/>
          <w:lang w:eastAsia="zh-CN"/>
        </w:rPr>
      </w:pPr>
      <w:r w:rsidRPr="00B86BF4">
        <w:rPr>
          <w:rFonts w:ascii="DengXian" w:eastAsia="DengXian" w:hAnsi="DengXian" w:cs="Calibri" w:hint="eastAsia"/>
          <w:color w:val="222222"/>
          <w:sz w:val="22"/>
          <w:szCs w:val="22"/>
          <w:lang w:eastAsia="zh-CN"/>
        </w:rPr>
        <w:t>和天昊签署好合同后，我就可以把</w:t>
      </w:r>
      <w:r w:rsidRPr="00B86BF4">
        <w:rPr>
          <w:rFonts w:ascii="DengXian" w:eastAsia="DengXian" w:hAnsi="DengXian" w:cs="Calibri"/>
          <w:color w:val="222222"/>
          <w:sz w:val="22"/>
          <w:szCs w:val="22"/>
          <w:lang w:eastAsia="zh-CN"/>
        </w:rPr>
        <w:t>DMR</w:t>
      </w:r>
      <w:r w:rsidRPr="00B86BF4">
        <w:rPr>
          <w:rFonts w:ascii="DengXian" w:eastAsia="DengXian" w:hAnsi="DengXian" w:cs="Calibri" w:hint="eastAsia"/>
          <w:color w:val="222222"/>
          <w:sz w:val="22"/>
          <w:szCs w:val="22"/>
          <w:lang w:eastAsia="zh-CN"/>
        </w:rPr>
        <w:t>区域发给天昊，他们负责设计并评估引物。</w:t>
      </w:r>
    </w:p>
    <w:p w:rsidR="00B86BF4" w:rsidRPr="00B86BF4" w:rsidRDefault="00B86BF4" w:rsidP="00B86BF4">
      <w:pPr>
        <w:shd w:val="clear" w:color="auto" w:fill="FFFFFF"/>
        <w:spacing w:after="200" w:line="253" w:lineRule="atLeast"/>
        <w:rPr>
          <w:rFonts w:ascii="DengXian" w:eastAsia="DengXian" w:hAnsi="DengXian" w:cs="Calibri" w:hint="eastAsia"/>
          <w:color w:val="222222"/>
          <w:sz w:val="22"/>
          <w:szCs w:val="22"/>
          <w:lang w:eastAsia="zh-CN"/>
        </w:rPr>
      </w:pPr>
    </w:p>
    <w:p w:rsidR="00A35B1C" w:rsidRDefault="00A35B1C" w:rsidP="00B86BF4">
      <w:pPr>
        <w:pStyle w:val="ListParagraph"/>
        <w:numPr>
          <w:ilvl w:val="0"/>
          <w:numId w:val="8"/>
        </w:numPr>
        <w:shd w:val="clear" w:color="auto" w:fill="FFFFFF"/>
        <w:spacing w:after="200" w:line="253" w:lineRule="atLeast"/>
        <w:rPr>
          <w:rFonts w:ascii="DengXian" w:eastAsia="DengXian" w:hAnsi="DengXian" w:cs="Calibri"/>
          <w:color w:val="222222"/>
          <w:sz w:val="22"/>
          <w:szCs w:val="22"/>
          <w:lang w:eastAsia="zh-CN"/>
        </w:rPr>
      </w:pPr>
      <w:r>
        <w:rPr>
          <w:rFonts w:ascii="DengXian" w:eastAsia="DengXian" w:hAnsi="DengXian" w:cs="Calibri" w:hint="eastAsia"/>
          <w:color w:val="222222"/>
          <w:sz w:val="22"/>
          <w:szCs w:val="22"/>
          <w:lang w:eastAsia="zh-CN"/>
        </w:rPr>
        <w:t>我一般发给他们</w:t>
      </w:r>
      <w:r w:rsidRPr="00B86BF4">
        <w:rPr>
          <w:rFonts w:ascii="DengXian" w:eastAsia="DengXian" w:hAnsi="DengXian" w:cs="Calibri"/>
          <w:color w:val="222222"/>
          <w:sz w:val="22"/>
          <w:szCs w:val="22"/>
          <w:lang w:eastAsia="zh-CN"/>
        </w:rPr>
        <w:t>100</w:t>
      </w:r>
      <w:r>
        <w:rPr>
          <w:rFonts w:ascii="DengXian" w:eastAsia="DengXian" w:hAnsi="DengXian" w:cs="Calibri" w:hint="eastAsia"/>
          <w:color w:val="222222"/>
          <w:sz w:val="22"/>
          <w:szCs w:val="22"/>
          <w:lang w:eastAsia="zh-CN"/>
        </w:rPr>
        <w:t>个区域，他们一般只能设计成功</w:t>
      </w:r>
      <w:r w:rsidRPr="00B86BF4">
        <w:rPr>
          <w:rFonts w:ascii="DengXian" w:eastAsia="DengXian" w:hAnsi="DengXian" w:cs="Calibri"/>
          <w:color w:val="222222"/>
          <w:sz w:val="22"/>
          <w:szCs w:val="22"/>
          <w:lang w:eastAsia="zh-CN"/>
        </w:rPr>
        <w:t>50</w:t>
      </w:r>
      <w:r>
        <w:rPr>
          <w:rFonts w:ascii="DengXian" w:eastAsia="DengXian" w:hAnsi="DengXian" w:cs="Calibri" w:hint="eastAsia"/>
          <w:color w:val="222222"/>
          <w:sz w:val="22"/>
          <w:szCs w:val="22"/>
          <w:lang w:eastAsia="zh-CN"/>
        </w:rPr>
        <w:t>个，整个引物评估大约需要经过多轮的协商，因为很多区域可能无法设计引物进行检测。往返过程大约需要</w:t>
      </w:r>
      <w:r w:rsidRPr="00B86BF4">
        <w:rPr>
          <w:rFonts w:ascii="DengXian" w:eastAsia="DengXian" w:hAnsi="DengXian" w:cs="Calibri"/>
          <w:color w:val="222222"/>
          <w:sz w:val="22"/>
          <w:szCs w:val="22"/>
          <w:lang w:eastAsia="zh-CN"/>
        </w:rPr>
        <w:t>2-3</w:t>
      </w:r>
      <w:r>
        <w:rPr>
          <w:rFonts w:ascii="DengXian" w:eastAsia="DengXian" w:hAnsi="DengXian" w:cs="Calibri" w:hint="eastAsia"/>
          <w:color w:val="222222"/>
          <w:sz w:val="22"/>
          <w:szCs w:val="22"/>
          <w:lang w:eastAsia="zh-CN"/>
        </w:rPr>
        <w:t>周才能把最终的</w:t>
      </w:r>
      <w:r w:rsidRPr="00B86BF4">
        <w:rPr>
          <w:rFonts w:ascii="DengXian" w:eastAsia="DengXian" w:hAnsi="DengXian" w:cs="Calibri"/>
          <w:color w:val="222222"/>
          <w:sz w:val="22"/>
          <w:szCs w:val="22"/>
          <w:lang w:eastAsia="zh-CN"/>
        </w:rPr>
        <w:t>50</w:t>
      </w:r>
      <w:r>
        <w:rPr>
          <w:rFonts w:ascii="DengXian" w:eastAsia="DengXian" w:hAnsi="DengXian" w:cs="Calibri" w:hint="eastAsia"/>
          <w:color w:val="222222"/>
          <w:sz w:val="22"/>
          <w:szCs w:val="22"/>
          <w:lang w:eastAsia="zh-CN"/>
        </w:rPr>
        <w:t>个区域确定。剩余50个区域其实也很有价值，我们可以在自己实验室进行攻关，天昊因为是做multiplex PCR所以对区域之间组合的要求比较高，如果我们自己lab单独做，则没有这些严苛的要求，可以进行逐个评估。</w:t>
      </w:r>
    </w:p>
    <w:p w:rsidR="006B73BF" w:rsidRPr="006B73BF" w:rsidRDefault="006B73BF" w:rsidP="006B73BF">
      <w:pPr>
        <w:pStyle w:val="ListParagraph"/>
        <w:rPr>
          <w:rFonts w:ascii="DengXian" w:eastAsia="DengXian" w:hAnsi="DengXian" w:cs="Calibri"/>
          <w:color w:val="222222"/>
          <w:sz w:val="22"/>
          <w:szCs w:val="22"/>
          <w:lang w:eastAsia="zh-CN"/>
        </w:rPr>
      </w:pPr>
      <w:bookmarkStart w:id="0" w:name="_GoBack"/>
      <w:bookmarkEnd w:id="0"/>
    </w:p>
    <w:p w:rsidR="006B73BF" w:rsidRPr="00B86BF4" w:rsidRDefault="006B73BF" w:rsidP="006B73BF">
      <w:pPr>
        <w:pStyle w:val="ListParagraph"/>
        <w:shd w:val="clear" w:color="auto" w:fill="FFFFFF"/>
        <w:spacing w:after="200" w:line="253" w:lineRule="atLeast"/>
        <w:rPr>
          <w:rFonts w:ascii="DengXian" w:eastAsia="DengXian" w:hAnsi="DengXian" w:cs="Calibri"/>
          <w:color w:val="222222"/>
          <w:sz w:val="22"/>
          <w:szCs w:val="22"/>
          <w:lang w:eastAsia="zh-CN"/>
        </w:rPr>
      </w:pPr>
    </w:p>
    <w:p w:rsidR="006B73BF" w:rsidRDefault="00A35B1C" w:rsidP="006B73BF">
      <w:pPr>
        <w:pStyle w:val="ListParagraph"/>
        <w:numPr>
          <w:ilvl w:val="0"/>
          <w:numId w:val="8"/>
        </w:numPr>
        <w:shd w:val="clear" w:color="auto" w:fill="FFFFFF"/>
        <w:spacing w:after="200" w:line="253" w:lineRule="atLeast"/>
        <w:rPr>
          <w:rFonts w:ascii="DengXian" w:eastAsia="DengXian" w:hAnsi="DengXian" w:cs="Calibri"/>
          <w:color w:val="222222"/>
          <w:sz w:val="22"/>
          <w:szCs w:val="22"/>
          <w:lang w:eastAsia="zh-CN"/>
        </w:rPr>
      </w:pPr>
      <w:r w:rsidRPr="00B86BF4">
        <w:rPr>
          <w:rFonts w:ascii="DengXian" w:eastAsia="DengXian" w:hAnsi="DengXian" w:cs="Calibri"/>
          <w:color w:val="222222"/>
          <w:sz w:val="22"/>
          <w:szCs w:val="22"/>
          <w:lang w:eastAsia="zh-CN"/>
        </w:rPr>
        <w:t>DMR</w:t>
      </w:r>
      <w:r>
        <w:rPr>
          <w:rFonts w:ascii="DengXian" w:eastAsia="DengXian" w:hAnsi="DengXian" w:cs="Calibri" w:hint="eastAsia"/>
          <w:color w:val="222222"/>
          <w:sz w:val="22"/>
          <w:szCs w:val="22"/>
          <w:lang w:eastAsia="zh-CN"/>
        </w:rPr>
        <w:t>区间和引物评估完成后，我们就可以送</w:t>
      </w:r>
      <w:r w:rsidRPr="00B86BF4">
        <w:rPr>
          <w:rFonts w:ascii="DengXian" w:eastAsia="DengXian" w:hAnsi="DengXian" w:cs="Calibri"/>
          <w:color w:val="222222"/>
          <w:sz w:val="22"/>
          <w:szCs w:val="22"/>
          <w:lang w:eastAsia="zh-CN"/>
        </w:rPr>
        <w:t>DNA</w:t>
      </w:r>
      <w:r>
        <w:rPr>
          <w:rFonts w:ascii="DengXian" w:eastAsia="DengXian" w:hAnsi="DengXian" w:cs="Calibri" w:hint="eastAsia"/>
          <w:color w:val="222222"/>
          <w:sz w:val="22"/>
          <w:szCs w:val="22"/>
          <w:lang w:eastAsia="zh-CN"/>
        </w:rPr>
        <w:t>到天昊，他们开始进行甲基化</w:t>
      </w:r>
      <w:r w:rsidRPr="00B86BF4">
        <w:rPr>
          <w:rFonts w:ascii="DengXian" w:eastAsia="DengXian" w:hAnsi="DengXian" w:cs="Calibri"/>
          <w:color w:val="222222"/>
          <w:sz w:val="22"/>
          <w:szCs w:val="22"/>
          <w:lang w:eastAsia="zh-CN"/>
        </w:rPr>
        <w:t>DNA</w:t>
      </w:r>
      <w:r>
        <w:rPr>
          <w:rFonts w:ascii="DengXian" w:eastAsia="DengXian" w:hAnsi="DengXian" w:cs="Calibri" w:hint="eastAsia"/>
          <w:color w:val="222222"/>
          <w:sz w:val="22"/>
          <w:szCs w:val="22"/>
          <w:lang w:eastAsia="zh-CN"/>
        </w:rPr>
        <w:t>的亚硫酸盐转化，及</w:t>
      </w:r>
      <w:r w:rsidRPr="00B86BF4">
        <w:rPr>
          <w:rFonts w:ascii="DengXian" w:eastAsia="DengXian" w:hAnsi="DengXian" w:cs="Calibri"/>
          <w:color w:val="222222"/>
          <w:sz w:val="22"/>
          <w:szCs w:val="22"/>
          <w:lang w:eastAsia="zh-CN"/>
        </w:rPr>
        <w:t>DNA</w:t>
      </w:r>
      <w:r>
        <w:rPr>
          <w:rFonts w:ascii="DengXian" w:eastAsia="DengXian" w:hAnsi="DengXian" w:cs="Calibri" w:hint="eastAsia"/>
          <w:color w:val="222222"/>
          <w:sz w:val="22"/>
          <w:szCs w:val="22"/>
          <w:lang w:eastAsia="zh-CN"/>
        </w:rPr>
        <w:t>甲基化检测，以及出具报告，这个过程大约需要</w:t>
      </w:r>
      <w:r w:rsidRPr="00B86BF4">
        <w:rPr>
          <w:rFonts w:ascii="DengXian" w:eastAsia="DengXian" w:hAnsi="DengXian" w:cs="Calibri"/>
          <w:color w:val="222222"/>
          <w:sz w:val="22"/>
          <w:szCs w:val="22"/>
          <w:lang w:eastAsia="zh-CN"/>
        </w:rPr>
        <w:t>4-6</w:t>
      </w:r>
      <w:r>
        <w:rPr>
          <w:rFonts w:ascii="DengXian" w:eastAsia="DengXian" w:hAnsi="DengXian" w:cs="Calibri" w:hint="eastAsia"/>
          <w:color w:val="222222"/>
          <w:sz w:val="22"/>
          <w:szCs w:val="22"/>
          <w:lang w:eastAsia="zh-CN"/>
        </w:rPr>
        <w:t>周时间。</w:t>
      </w:r>
    </w:p>
    <w:p w:rsidR="006B73BF" w:rsidRDefault="006B73BF" w:rsidP="006B73BF">
      <w:pPr>
        <w:pStyle w:val="ListParagraph"/>
        <w:shd w:val="clear" w:color="auto" w:fill="FFFFFF"/>
        <w:spacing w:after="200" w:line="253" w:lineRule="atLeast"/>
        <w:rPr>
          <w:rFonts w:ascii="DengXian" w:eastAsia="DengXian" w:hAnsi="DengXian" w:cs="Calibri"/>
          <w:color w:val="222222"/>
          <w:sz w:val="22"/>
          <w:szCs w:val="22"/>
          <w:lang w:eastAsia="zh-CN"/>
        </w:rPr>
      </w:pPr>
    </w:p>
    <w:p w:rsidR="00B801A4" w:rsidRPr="00B801A4" w:rsidRDefault="00A35B1C" w:rsidP="00B801A4">
      <w:pPr>
        <w:pStyle w:val="ListParagraph"/>
        <w:numPr>
          <w:ilvl w:val="0"/>
          <w:numId w:val="8"/>
        </w:numPr>
        <w:shd w:val="clear" w:color="auto" w:fill="FFFFFF"/>
        <w:spacing w:after="200" w:line="253" w:lineRule="atLeast"/>
        <w:rPr>
          <w:rFonts w:ascii="DengXian" w:eastAsia="DengXian" w:hAnsi="DengXian" w:cs="Calibri"/>
          <w:color w:val="222222"/>
          <w:sz w:val="22"/>
          <w:szCs w:val="22"/>
          <w:lang w:eastAsia="zh-CN"/>
        </w:rPr>
      </w:pPr>
      <w:r w:rsidRPr="006B73BF">
        <w:rPr>
          <w:rFonts w:ascii="DengXian" w:eastAsia="DengXian" w:hAnsi="DengXian" w:cs="Calibri" w:hint="eastAsia"/>
          <w:color w:val="222222"/>
          <w:sz w:val="22"/>
          <w:szCs w:val="22"/>
          <w:lang w:eastAsia="zh-CN"/>
        </w:rPr>
        <w:t>收到他们的甲基化检测结果后，我可以在</w:t>
      </w:r>
      <w:r w:rsidRPr="006B73BF">
        <w:rPr>
          <w:rFonts w:ascii="DengXian" w:eastAsia="DengXian" w:hAnsi="DengXian" w:cs="Calibri"/>
          <w:color w:val="222222"/>
          <w:sz w:val="22"/>
          <w:szCs w:val="22"/>
          <w:lang w:eastAsia="zh-CN"/>
        </w:rPr>
        <w:t>2</w:t>
      </w:r>
      <w:r w:rsidRPr="006B73BF">
        <w:rPr>
          <w:rFonts w:ascii="DengXian" w:eastAsia="DengXian" w:hAnsi="DengXian" w:cs="Calibri" w:hint="eastAsia"/>
          <w:color w:val="222222"/>
          <w:sz w:val="22"/>
          <w:szCs w:val="22"/>
          <w:lang w:eastAsia="zh-CN"/>
        </w:rPr>
        <w:t>周之内提供两篇文章（</w:t>
      </w:r>
      <w:r w:rsidRPr="006B73BF">
        <w:rPr>
          <w:rFonts w:ascii="DengXian" w:eastAsia="DengXian" w:hAnsi="DengXian" w:cs="Calibri"/>
          <w:color w:val="222222"/>
          <w:sz w:val="22"/>
          <w:szCs w:val="22"/>
          <w:lang w:eastAsia="zh-CN"/>
        </w:rPr>
        <w:t>ESCC</w:t>
      </w:r>
      <w:r w:rsidRPr="006B73BF">
        <w:rPr>
          <w:rFonts w:ascii="DengXian" w:eastAsia="DengXian" w:hAnsi="DengXian" w:cs="Calibri" w:hint="eastAsia"/>
          <w:color w:val="222222"/>
          <w:sz w:val="22"/>
          <w:szCs w:val="22"/>
          <w:lang w:eastAsia="zh-CN"/>
        </w:rPr>
        <w:t>中的第一篇和第二篇）所需要的所有图表。然后准备文章的撰写，专利的撰写及投稿</w:t>
      </w:r>
    </w:p>
    <w:p w:rsidR="006B73BF" w:rsidRPr="006B73BF" w:rsidRDefault="006B73BF" w:rsidP="006B73BF">
      <w:pPr>
        <w:pStyle w:val="ListParagraph"/>
        <w:rPr>
          <w:rFonts w:ascii="DengXian" w:eastAsia="DengXian" w:hAnsi="DengXian" w:cs="Calibri"/>
          <w:color w:val="222222"/>
          <w:sz w:val="22"/>
          <w:szCs w:val="22"/>
          <w:lang w:eastAsia="zh-CN"/>
        </w:rPr>
      </w:pPr>
    </w:p>
    <w:p w:rsidR="00A35B1C" w:rsidRDefault="00A35B1C" w:rsidP="006B73BF">
      <w:pPr>
        <w:pStyle w:val="ListParagraph"/>
        <w:numPr>
          <w:ilvl w:val="0"/>
          <w:numId w:val="8"/>
        </w:numPr>
        <w:shd w:val="clear" w:color="auto" w:fill="FFFFFF"/>
        <w:spacing w:after="200" w:line="253" w:lineRule="atLeast"/>
        <w:rPr>
          <w:rFonts w:ascii="DengXian" w:eastAsia="DengXian" w:hAnsi="DengXian" w:cs="Calibri"/>
          <w:color w:val="222222"/>
          <w:sz w:val="22"/>
          <w:szCs w:val="22"/>
          <w:lang w:eastAsia="zh-CN"/>
        </w:rPr>
      </w:pPr>
      <w:r w:rsidRPr="006B73BF">
        <w:rPr>
          <w:rFonts w:ascii="DengXian" w:eastAsia="DengXian" w:hAnsi="DengXian" w:cs="Calibri" w:hint="eastAsia"/>
          <w:color w:val="222222"/>
          <w:sz w:val="22"/>
          <w:szCs w:val="22"/>
          <w:lang w:eastAsia="zh-CN"/>
        </w:rPr>
        <w:t>自第三步开始，我们就可以准备文章初稿，背景部分，</w:t>
      </w:r>
      <w:r w:rsidRPr="006B73BF">
        <w:rPr>
          <w:rFonts w:ascii="DengXian" w:eastAsia="DengXian" w:hAnsi="DengXian" w:cs="Calibri"/>
          <w:color w:val="222222"/>
          <w:sz w:val="22"/>
          <w:szCs w:val="22"/>
          <w:lang w:eastAsia="zh-CN"/>
        </w:rPr>
        <w:t>method</w:t>
      </w:r>
      <w:r w:rsidRPr="006B73BF">
        <w:rPr>
          <w:rFonts w:ascii="DengXian" w:eastAsia="DengXian" w:hAnsi="DengXian" w:cs="Calibri" w:hint="eastAsia"/>
          <w:color w:val="222222"/>
          <w:sz w:val="22"/>
          <w:szCs w:val="22"/>
          <w:lang w:eastAsia="zh-CN"/>
        </w:rPr>
        <w:t>部分，8周时间准备这两部分绰绰有余。注意就是把</w:t>
      </w:r>
      <w:proofErr w:type="gramStart"/>
      <w:r w:rsidRPr="006B73BF">
        <w:rPr>
          <w:rFonts w:ascii="DengXian" w:eastAsia="DengXian" w:hAnsi="DengXian" w:cs="Calibri" w:hint="eastAsia"/>
          <w:color w:val="222222"/>
          <w:sz w:val="22"/>
          <w:szCs w:val="22"/>
          <w:lang w:eastAsia="zh-CN"/>
        </w:rPr>
        <w:t>breast</w:t>
      </w:r>
      <w:proofErr w:type="gramEnd"/>
      <w:r w:rsidRPr="006B73BF">
        <w:rPr>
          <w:rFonts w:ascii="DengXian" w:eastAsia="DengXian" w:hAnsi="DengXian" w:cs="Calibri" w:hint="eastAsia"/>
          <w:color w:val="222222"/>
          <w:sz w:val="22"/>
          <w:szCs w:val="22"/>
          <w:lang w:eastAsia="zh-CN"/>
        </w:rPr>
        <w:t xml:space="preserve"> cancer中涉及甲基化的文章梳理一下，把高分的文章拿出来总结一下放到background中以及留着在discussion中进行比较讨论。空着</w:t>
      </w:r>
      <w:r w:rsidRPr="006B73BF">
        <w:rPr>
          <w:rFonts w:ascii="DengXian" w:eastAsia="DengXian" w:hAnsi="DengXian" w:cs="Calibri"/>
          <w:color w:val="222222"/>
          <w:sz w:val="22"/>
          <w:szCs w:val="22"/>
          <w:lang w:eastAsia="zh-CN"/>
        </w:rPr>
        <w:t>method</w:t>
      </w:r>
      <w:r w:rsidRPr="006B73BF">
        <w:rPr>
          <w:rFonts w:ascii="DengXian" w:eastAsia="DengXian" w:hAnsi="DengXian" w:cs="Calibri" w:hint="eastAsia"/>
          <w:color w:val="222222"/>
          <w:sz w:val="22"/>
          <w:szCs w:val="22"/>
          <w:lang w:eastAsia="zh-CN"/>
        </w:rPr>
        <w:t>和讨论部分，等结果到位，我提供所有图，表后即可快速成文。</w:t>
      </w:r>
    </w:p>
    <w:p w:rsidR="006B73BF" w:rsidRPr="006B73BF" w:rsidRDefault="006B73BF" w:rsidP="006B73BF">
      <w:pPr>
        <w:pStyle w:val="ListParagraph"/>
        <w:rPr>
          <w:rFonts w:ascii="DengXian" w:eastAsia="DengXian" w:hAnsi="DengXian" w:cs="Calibri"/>
          <w:color w:val="222222"/>
          <w:sz w:val="22"/>
          <w:szCs w:val="22"/>
          <w:lang w:eastAsia="zh-CN"/>
        </w:rPr>
      </w:pPr>
    </w:p>
    <w:p w:rsidR="006B73BF" w:rsidRPr="006B73BF" w:rsidRDefault="006B73BF" w:rsidP="006B73BF">
      <w:pPr>
        <w:pStyle w:val="ListParagraph"/>
        <w:shd w:val="clear" w:color="auto" w:fill="FFFFFF"/>
        <w:spacing w:after="200" w:line="253" w:lineRule="atLeast"/>
        <w:rPr>
          <w:rFonts w:ascii="DengXian" w:eastAsia="DengXian" w:hAnsi="DengXian" w:cs="Calibri"/>
          <w:color w:val="222222"/>
          <w:sz w:val="22"/>
          <w:szCs w:val="22"/>
          <w:lang w:eastAsia="zh-CN"/>
        </w:rPr>
      </w:pPr>
    </w:p>
    <w:p w:rsidR="00A35B1C" w:rsidRPr="00B86BF4" w:rsidRDefault="00A35B1C" w:rsidP="00B86BF4">
      <w:pPr>
        <w:pStyle w:val="ListParagraph"/>
        <w:numPr>
          <w:ilvl w:val="0"/>
          <w:numId w:val="8"/>
        </w:numPr>
        <w:shd w:val="clear" w:color="auto" w:fill="FFFFFF"/>
        <w:spacing w:after="200" w:line="253" w:lineRule="atLeast"/>
        <w:rPr>
          <w:rFonts w:ascii="DengXian" w:eastAsia="DengXian" w:hAnsi="DengXian" w:cs="Calibri"/>
          <w:color w:val="222222"/>
          <w:sz w:val="22"/>
          <w:szCs w:val="22"/>
          <w:lang w:eastAsia="zh-CN"/>
        </w:rPr>
      </w:pPr>
      <w:r>
        <w:rPr>
          <w:rFonts w:ascii="DengXian" w:eastAsia="DengXian" w:hAnsi="DengXian" w:cs="Calibri" w:hint="eastAsia"/>
          <w:color w:val="222222"/>
          <w:sz w:val="22"/>
          <w:szCs w:val="22"/>
          <w:lang w:eastAsia="zh-CN"/>
        </w:rPr>
        <w:t>现在是</w:t>
      </w:r>
      <w:r w:rsidRPr="00B86BF4">
        <w:rPr>
          <w:rFonts w:ascii="DengXian" w:eastAsia="DengXian" w:hAnsi="DengXian" w:cs="Calibri"/>
          <w:color w:val="222222"/>
          <w:sz w:val="22"/>
          <w:szCs w:val="22"/>
          <w:lang w:eastAsia="zh-CN"/>
        </w:rPr>
        <w:t>4</w:t>
      </w:r>
      <w:r>
        <w:rPr>
          <w:rFonts w:ascii="DengXian" w:eastAsia="DengXian" w:hAnsi="DengXian" w:cs="Calibri" w:hint="eastAsia"/>
          <w:color w:val="222222"/>
          <w:sz w:val="22"/>
          <w:szCs w:val="22"/>
          <w:lang w:eastAsia="zh-CN"/>
        </w:rPr>
        <w:t>月，如果一切顺利，估计最快</w:t>
      </w:r>
      <w:r w:rsidRPr="00B86BF4">
        <w:rPr>
          <w:rFonts w:ascii="DengXian" w:eastAsia="DengXian" w:hAnsi="DengXian" w:cs="Calibri"/>
          <w:color w:val="222222"/>
          <w:sz w:val="22"/>
          <w:szCs w:val="22"/>
          <w:lang w:eastAsia="zh-CN"/>
        </w:rPr>
        <w:t>7-8</w:t>
      </w:r>
      <w:r>
        <w:rPr>
          <w:rFonts w:ascii="DengXian" w:eastAsia="DengXian" w:hAnsi="DengXian" w:cs="Calibri" w:hint="eastAsia"/>
          <w:color w:val="222222"/>
          <w:sz w:val="22"/>
          <w:szCs w:val="22"/>
          <w:lang w:eastAsia="zh-CN"/>
        </w:rPr>
        <w:t>月份就可以投稿。</w:t>
      </w:r>
    </w:p>
    <w:p w:rsidR="005406AA" w:rsidRPr="005C4000" w:rsidRDefault="005406AA">
      <w:pPr>
        <w:rPr>
          <w:rFonts w:ascii="Arial" w:hAnsi="Arial" w:cs="Arial"/>
          <w:sz w:val="22"/>
          <w:szCs w:val="22"/>
        </w:rPr>
      </w:pPr>
    </w:p>
    <w:p w:rsidR="005C4000" w:rsidRPr="005C4000" w:rsidRDefault="005C4000">
      <w:pPr>
        <w:rPr>
          <w:rFonts w:ascii="Arial" w:hAnsi="Arial" w:cs="Arial"/>
          <w:sz w:val="22"/>
          <w:szCs w:val="22"/>
        </w:rPr>
      </w:pPr>
    </w:p>
    <w:sectPr w:rsidR="005C4000" w:rsidRPr="005C4000" w:rsidSect="005C40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F4190"/>
    <w:multiLevelType w:val="hybridMultilevel"/>
    <w:tmpl w:val="77D6C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1674"/>
    <w:multiLevelType w:val="hybridMultilevel"/>
    <w:tmpl w:val="05DC4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0682C"/>
    <w:multiLevelType w:val="hybridMultilevel"/>
    <w:tmpl w:val="43F22F14"/>
    <w:lvl w:ilvl="0" w:tplc="24402B8E">
      <w:start w:val="1"/>
      <w:numFmt w:val="decimal"/>
      <w:lvlText w:val="%1."/>
      <w:lvlJc w:val="left"/>
      <w:pPr>
        <w:ind w:left="720" w:hanging="360"/>
      </w:pPr>
      <w:rPr>
        <w:rFonts w:ascii="Calibri" w:eastAsia="SimSun"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442E1"/>
    <w:multiLevelType w:val="hybridMultilevel"/>
    <w:tmpl w:val="1E7E0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F7185"/>
    <w:multiLevelType w:val="hybridMultilevel"/>
    <w:tmpl w:val="DA5C9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94E54"/>
    <w:multiLevelType w:val="hybridMultilevel"/>
    <w:tmpl w:val="77D6C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20E0A"/>
    <w:multiLevelType w:val="hybridMultilevel"/>
    <w:tmpl w:val="E65CE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575C4"/>
    <w:multiLevelType w:val="hybridMultilevel"/>
    <w:tmpl w:val="3DCAE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00"/>
    <w:rsid w:val="00051A78"/>
    <w:rsid w:val="000A7076"/>
    <w:rsid w:val="001B1AEB"/>
    <w:rsid w:val="00215D4B"/>
    <w:rsid w:val="00276B47"/>
    <w:rsid w:val="004B7700"/>
    <w:rsid w:val="00537A9C"/>
    <w:rsid w:val="005406AA"/>
    <w:rsid w:val="005C4000"/>
    <w:rsid w:val="00611F7F"/>
    <w:rsid w:val="006B73BF"/>
    <w:rsid w:val="0074753C"/>
    <w:rsid w:val="007D6E6A"/>
    <w:rsid w:val="00871F0A"/>
    <w:rsid w:val="00940F28"/>
    <w:rsid w:val="009C0999"/>
    <w:rsid w:val="009E7740"/>
    <w:rsid w:val="00A35B1C"/>
    <w:rsid w:val="00B76361"/>
    <w:rsid w:val="00B801A4"/>
    <w:rsid w:val="00B86BF4"/>
    <w:rsid w:val="00BF0292"/>
    <w:rsid w:val="00C1131F"/>
    <w:rsid w:val="00CE06CA"/>
    <w:rsid w:val="00DD20DA"/>
    <w:rsid w:val="00F3484F"/>
    <w:rsid w:val="00F4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5CD77"/>
  <w15:chartTrackingRefBased/>
  <w15:docId w15:val="{4E8A069F-C75B-43D9-927A-D608CEDB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000"/>
    <w:rPr>
      <w:color w:val="0000FF"/>
      <w:u w:val="single"/>
    </w:rPr>
  </w:style>
  <w:style w:type="paragraph" w:styleId="ListParagraph">
    <w:name w:val="List Paragraph"/>
    <w:basedOn w:val="Normal"/>
    <w:uiPriority w:val="34"/>
    <w:qFormat/>
    <w:rsid w:val="00537A9C"/>
    <w:pPr>
      <w:ind w:left="720"/>
      <w:contextualSpacing/>
    </w:pPr>
  </w:style>
  <w:style w:type="paragraph" w:styleId="HTMLPreformatted">
    <w:name w:val="HTML Preformatted"/>
    <w:basedOn w:val="Normal"/>
    <w:link w:val="HTMLPreformattedChar"/>
    <w:uiPriority w:val="99"/>
    <w:unhideWhenUsed/>
    <w:rsid w:val="009E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E774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2356">
      <w:bodyDiv w:val="1"/>
      <w:marLeft w:val="0"/>
      <w:marRight w:val="0"/>
      <w:marTop w:val="0"/>
      <w:marBottom w:val="0"/>
      <w:divBdr>
        <w:top w:val="none" w:sz="0" w:space="0" w:color="auto"/>
        <w:left w:val="none" w:sz="0" w:space="0" w:color="auto"/>
        <w:bottom w:val="none" w:sz="0" w:space="0" w:color="auto"/>
        <w:right w:val="none" w:sz="0" w:space="0" w:color="auto"/>
      </w:divBdr>
    </w:div>
    <w:div w:id="310409569">
      <w:bodyDiv w:val="1"/>
      <w:marLeft w:val="0"/>
      <w:marRight w:val="0"/>
      <w:marTop w:val="0"/>
      <w:marBottom w:val="0"/>
      <w:divBdr>
        <w:top w:val="none" w:sz="0" w:space="0" w:color="auto"/>
        <w:left w:val="none" w:sz="0" w:space="0" w:color="auto"/>
        <w:bottom w:val="none" w:sz="0" w:space="0" w:color="auto"/>
        <w:right w:val="none" w:sz="0" w:space="0" w:color="auto"/>
      </w:divBdr>
    </w:div>
    <w:div w:id="385300349">
      <w:bodyDiv w:val="1"/>
      <w:marLeft w:val="0"/>
      <w:marRight w:val="0"/>
      <w:marTop w:val="0"/>
      <w:marBottom w:val="0"/>
      <w:divBdr>
        <w:top w:val="none" w:sz="0" w:space="0" w:color="auto"/>
        <w:left w:val="none" w:sz="0" w:space="0" w:color="auto"/>
        <w:bottom w:val="none" w:sz="0" w:space="0" w:color="auto"/>
        <w:right w:val="none" w:sz="0" w:space="0" w:color="auto"/>
      </w:divBdr>
    </w:div>
    <w:div w:id="1234778444">
      <w:bodyDiv w:val="1"/>
      <w:marLeft w:val="0"/>
      <w:marRight w:val="0"/>
      <w:marTop w:val="0"/>
      <w:marBottom w:val="0"/>
      <w:divBdr>
        <w:top w:val="none" w:sz="0" w:space="0" w:color="auto"/>
        <w:left w:val="none" w:sz="0" w:space="0" w:color="auto"/>
        <w:bottom w:val="none" w:sz="0" w:space="0" w:color="auto"/>
        <w:right w:val="none" w:sz="0" w:space="0" w:color="auto"/>
      </w:divBdr>
    </w:div>
    <w:div w:id="195986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1827F779.dotm</Template>
  <TotalTime>40</TotalTime>
  <Pages>2</Pages>
  <Words>1033</Words>
  <Characters>2895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23</cp:revision>
  <dcterms:created xsi:type="dcterms:W3CDTF">2019-04-01T15:52:00Z</dcterms:created>
  <dcterms:modified xsi:type="dcterms:W3CDTF">2019-04-01T17:59:00Z</dcterms:modified>
</cp:coreProperties>
</file>