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CB" w:rsidRDefault="00D1186B" w:rsidP="00D1186B">
      <w:pPr>
        <w:jc w:val="center"/>
        <w:rPr>
          <w:rFonts w:ascii="Arial" w:hAnsi="Arial" w:cs="Arial"/>
          <w:b/>
          <w:color w:val="000000" w:themeColor="text1"/>
          <w:sz w:val="22"/>
        </w:rPr>
      </w:pPr>
      <w:r w:rsidRPr="00EB65D7">
        <w:rPr>
          <w:rFonts w:ascii="Arial" w:hAnsi="Arial" w:cs="Arial"/>
          <w:b/>
          <w:color w:val="000000" w:themeColor="text1"/>
          <w:sz w:val="22"/>
        </w:rPr>
        <w:t>Table 2</w:t>
      </w:r>
      <w:r w:rsidR="008B0465" w:rsidRPr="00EB65D7">
        <w:rPr>
          <w:rFonts w:ascii="Arial" w:hAnsi="Arial" w:cs="Arial"/>
          <w:b/>
          <w:color w:val="000000" w:themeColor="text1"/>
          <w:sz w:val="22"/>
        </w:rPr>
        <w:t xml:space="preserve">. </w:t>
      </w:r>
      <w:bookmarkStart w:id="0" w:name="_GoBack"/>
      <w:bookmarkEnd w:id="0"/>
      <w:r w:rsidRPr="00EB65D7">
        <w:rPr>
          <w:rFonts w:ascii="Arial" w:hAnsi="Arial" w:cs="Arial"/>
          <w:b/>
          <w:color w:val="000000" w:themeColor="text1"/>
          <w:sz w:val="22"/>
        </w:rPr>
        <w:t xml:space="preserve">The methylation of </w:t>
      </w:r>
      <w:r w:rsidRPr="00862E4B">
        <w:rPr>
          <w:rFonts w:ascii="Arial" w:hAnsi="Arial" w:cs="Arial"/>
          <w:b/>
          <w:i/>
          <w:color w:val="000000" w:themeColor="text1"/>
          <w:sz w:val="22"/>
        </w:rPr>
        <w:t>ZNF132</w:t>
      </w:r>
      <w:r w:rsidRPr="00EB65D7">
        <w:rPr>
          <w:rFonts w:ascii="Arial" w:hAnsi="Arial" w:cs="Arial"/>
          <w:b/>
          <w:color w:val="000000" w:themeColor="text1"/>
          <w:sz w:val="22"/>
        </w:rPr>
        <w:t xml:space="preserve"> gene and control gene in ESCC</w:t>
      </w:r>
    </w:p>
    <w:p w:rsidR="00D1186B" w:rsidRDefault="00D1186B" w:rsidP="00D1186B">
      <w:pPr>
        <w:jc w:val="center"/>
        <w:rPr>
          <w:rFonts w:ascii="Arial" w:hAnsi="Arial" w:cs="Arial"/>
          <w:b/>
          <w:color w:val="000000" w:themeColor="text1"/>
          <w:sz w:val="22"/>
        </w:rPr>
      </w:pPr>
    </w:p>
    <w:tbl>
      <w:tblPr>
        <w:tblW w:w="9142" w:type="dxa"/>
        <w:jc w:val="center"/>
        <w:tblInd w:w="-196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024"/>
        <w:gridCol w:w="1134"/>
        <w:gridCol w:w="83"/>
        <w:gridCol w:w="1222"/>
        <w:gridCol w:w="1170"/>
        <w:gridCol w:w="1169"/>
        <w:gridCol w:w="1039"/>
        <w:gridCol w:w="1039"/>
        <w:gridCol w:w="1247"/>
      </w:tblGrid>
      <w:tr w:rsidR="00166378" w:rsidRPr="00166378" w:rsidTr="00B57FE0">
        <w:trPr>
          <w:gridBefore w:val="1"/>
          <w:wBefore w:w="15" w:type="dxa"/>
          <w:trHeight w:val="1517"/>
          <w:jc w:val="center"/>
        </w:trPr>
        <w:tc>
          <w:tcPr>
            <w:tcW w:w="1024" w:type="dxa"/>
            <w:tcBorders>
              <w:bottom w:val="single" w:sz="4" w:space="0" w:color="auto"/>
              <w:right w:val="nil"/>
            </w:tcBorders>
            <w:vAlign w:val="center"/>
          </w:tcPr>
          <w:p w:rsidR="00166378" w:rsidRPr="00166378" w:rsidRDefault="00166378" w:rsidP="00AC43AF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sz w:val="22"/>
              </w:rPr>
              <w:t>Gene name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center"/>
              <w:textAlignment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Mean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（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Case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）</w:t>
            </w:r>
          </w:p>
        </w:tc>
        <w:tc>
          <w:tcPr>
            <w:tcW w:w="1305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center"/>
              <w:textAlignment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Mean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（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Control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）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center"/>
              <w:textAlignment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EE0765">
              <w:rPr>
                <w:rFonts w:ascii="Arial" w:hAnsi="Arial" w:cs="Arial"/>
                <w:i/>
                <w:color w:val="000000" w:themeColor="text1"/>
                <w:kern w:val="0"/>
                <w:sz w:val="22"/>
              </w:rPr>
              <w:t>P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 xml:space="preserve"> value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  <w:vertAlign w:val="superscript"/>
              </w:rPr>
              <w:t>a</w:t>
            </w:r>
          </w:p>
        </w:tc>
        <w:tc>
          <w:tcPr>
            <w:tcW w:w="116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6378" w:rsidRPr="00166378" w:rsidRDefault="00166378" w:rsidP="00AC43AF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EE0765">
              <w:rPr>
                <w:rFonts w:ascii="Arial" w:hAnsi="Arial" w:cs="Arial"/>
                <w:i/>
                <w:color w:val="000000" w:themeColor="text1"/>
                <w:kern w:val="0"/>
                <w:sz w:val="22"/>
              </w:rPr>
              <w:t>P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 xml:space="preserve"> value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  <w:vertAlign w:val="superscript"/>
              </w:rPr>
              <w:t>b</w:t>
            </w:r>
          </w:p>
        </w:tc>
        <w:tc>
          <w:tcPr>
            <w:tcW w:w="10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Sensitivity</w:t>
            </w:r>
          </w:p>
        </w:tc>
        <w:tc>
          <w:tcPr>
            <w:tcW w:w="10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Specificity</w:t>
            </w: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sz w:val="22"/>
              </w:rPr>
              <w:t>Area Under Curve</w:t>
            </w:r>
            <w:r w:rsidRPr="00166378">
              <w:rPr>
                <w:rFonts w:ascii="Arial" w:hAnsi="Arial" w:cs="Arial"/>
                <w:color w:val="000000" w:themeColor="text1"/>
                <w:sz w:val="22"/>
              </w:rPr>
              <w:t>（</w:t>
            </w:r>
            <w:r w:rsidRPr="00166378">
              <w:rPr>
                <w:rFonts w:ascii="Arial" w:hAnsi="Arial" w:cs="Arial"/>
                <w:color w:val="000000" w:themeColor="text1"/>
                <w:sz w:val="22"/>
              </w:rPr>
              <w:t>AUC</w:t>
            </w:r>
            <w:r w:rsidRPr="00166378">
              <w:rPr>
                <w:rFonts w:ascii="Arial" w:hAnsi="Arial" w:cs="Arial"/>
                <w:color w:val="000000" w:themeColor="text1"/>
                <w:sz w:val="22"/>
              </w:rPr>
              <w:t>）</w:t>
            </w:r>
          </w:p>
        </w:tc>
      </w:tr>
      <w:tr w:rsidR="00166378" w:rsidRPr="00166378" w:rsidTr="00B57FE0">
        <w:trPr>
          <w:trHeight w:val="1017"/>
          <w:jc w:val="center"/>
        </w:trPr>
        <w:tc>
          <w:tcPr>
            <w:tcW w:w="1039" w:type="dxa"/>
            <w:gridSpan w:val="2"/>
            <w:tcBorders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ZNF132</w:t>
            </w:r>
          </w:p>
        </w:tc>
        <w:tc>
          <w:tcPr>
            <w:tcW w:w="121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0.36</w:t>
            </w:r>
          </w:p>
        </w:tc>
        <w:tc>
          <w:tcPr>
            <w:tcW w:w="1222" w:type="dxa"/>
            <w:tcBorders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0.11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2.2×10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  <w:vertAlign w:val="superscript"/>
              </w:rPr>
              <w:t>-16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2.2×10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  <w:vertAlign w:val="superscript"/>
              </w:rPr>
              <w:t>-16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70.8%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80.6%</w:t>
            </w:r>
          </w:p>
        </w:tc>
        <w:tc>
          <w:tcPr>
            <w:tcW w:w="1247" w:type="dxa"/>
            <w:tcBorders>
              <w:left w:val="nil"/>
              <w:bottom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0.82</w:t>
            </w:r>
          </w:p>
        </w:tc>
      </w:tr>
      <w:tr w:rsidR="00166378" w:rsidRPr="00166378" w:rsidTr="00B57FE0">
        <w:trPr>
          <w:trHeight w:val="520"/>
          <w:jc w:val="center"/>
        </w:trPr>
        <w:tc>
          <w:tcPr>
            <w:tcW w:w="103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LINE-1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0.55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0.73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sz w:val="22"/>
              </w:rPr>
              <w:t>2.16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×10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  <w:vertAlign w:val="superscript"/>
              </w:rPr>
              <w:t>-8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</w:p>
        </w:tc>
      </w:tr>
      <w:tr w:rsidR="00166378" w:rsidRPr="00166378" w:rsidTr="00B57FE0">
        <w:trPr>
          <w:trHeight w:val="541"/>
          <w:jc w:val="center"/>
        </w:trPr>
        <w:tc>
          <w:tcPr>
            <w:tcW w:w="1039" w:type="dxa"/>
            <w:gridSpan w:val="2"/>
            <w:tcBorders>
              <w:top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ChrM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0.03</w:t>
            </w:r>
          </w:p>
        </w:tc>
        <w:tc>
          <w:tcPr>
            <w:tcW w:w="1222" w:type="dxa"/>
            <w:tcBorders>
              <w:top w:val="nil"/>
              <w:left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0.02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166378">
              <w:rPr>
                <w:rFonts w:ascii="Arial" w:hAnsi="Arial" w:cs="Arial"/>
                <w:color w:val="000000" w:themeColor="text1"/>
                <w:sz w:val="22"/>
              </w:rPr>
              <w:t>2.59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</w:rPr>
              <w:t>×10</w:t>
            </w:r>
            <w:r w:rsidRPr="00166378">
              <w:rPr>
                <w:rFonts w:ascii="Arial" w:hAnsi="Arial" w:cs="Arial"/>
                <w:color w:val="000000" w:themeColor="text1"/>
                <w:kern w:val="0"/>
                <w:sz w:val="22"/>
                <w:vertAlign w:val="superscript"/>
              </w:rPr>
              <w:t>-1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</w:p>
        </w:tc>
        <w:tc>
          <w:tcPr>
            <w:tcW w:w="1247" w:type="dxa"/>
            <w:tcBorders>
              <w:top w:val="nil"/>
              <w:left w:val="nil"/>
            </w:tcBorders>
            <w:vAlign w:val="center"/>
          </w:tcPr>
          <w:p w:rsidR="00166378" w:rsidRPr="00166378" w:rsidRDefault="00166378" w:rsidP="00AC43AF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2"/>
              </w:rPr>
            </w:pPr>
          </w:p>
        </w:tc>
      </w:tr>
    </w:tbl>
    <w:p w:rsidR="00F23499" w:rsidRPr="00C45169" w:rsidRDefault="00D1186B" w:rsidP="00D1186B">
      <w:pPr>
        <w:rPr>
          <w:rFonts w:ascii="Arial" w:hAnsi="Arial" w:cs="Arial"/>
          <w:color w:val="000000" w:themeColor="text1"/>
          <w:sz w:val="22"/>
        </w:rPr>
      </w:pPr>
      <w:r w:rsidRPr="00EE0765">
        <w:rPr>
          <w:rFonts w:ascii="Arial" w:hAnsi="Arial" w:cs="Arial"/>
          <w:i/>
          <w:color w:val="000000" w:themeColor="text1"/>
          <w:sz w:val="22"/>
        </w:rPr>
        <w:t>P</w:t>
      </w:r>
      <w:r w:rsidRPr="00C45169">
        <w:rPr>
          <w:rFonts w:ascii="Arial" w:hAnsi="Arial" w:cs="Arial"/>
          <w:color w:val="000000" w:themeColor="text1"/>
          <w:sz w:val="22"/>
        </w:rPr>
        <w:t>-value</w:t>
      </w:r>
      <w:r w:rsidRPr="00C45169">
        <w:rPr>
          <w:rFonts w:ascii="Arial" w:hAnsi="Arial" w:cs="Arial"/>
          <w:color w:val="000000" w:themeColor="text1"/>
          <w:sz w:val="22"/>
          <w:vertAlign w:val="superscript"/>
        </w:rPr>
        <w:t>a</w:t>
      </w:r>
      <w:r w:rsidRPr="00C45169">
        <w:rPr>
          <w:rFonts w:ascii="Arial" w:hAnsi="Arial" w:cs="Arial"/>
          <w:color w:val="000000" w:themeColor="text1"/>
          <w:sz w:val="22"/>
        </w:rPr>
        <w:t xml:space="preserve"> </w:t>
      </w:r>
      <w:r w:rsidR="00F23499" w:rsidRPr="00C45169">
        <w:rPr>
          <w:rFonts w:ascii="Arial" w:hAnsi="Arial" w:cs="Arial"/>
          <w:color w:val="000000" w:themeColor="text1"/>
          <w:sz w:val="22"/>
        </w:rPr>
        <w:t>is calculated through the Wilcoxon rank-sum test followed by FDR (false discovery rate) adjustment for multiple correction</w:t>
      </w:r>
    </w:p>
    <w:p w:rsidR="00D1186B" w:rsidRDefault="00D1186B" w:rsidP="00D1186B">
      <w:pPr>
        <w:rPr>
          <w:rFonts w:ascii="Arial" w:hAnsi="Arial" w:cs="Arial"/>
          <w:color w:val="000000" w:themeColor="text1"/>
          <w:sz w:val="22"/>
        </w:rPr>
      </w:pPr>
      <w:r w:rsidRPr="00EE0765">
        <w:rPr>
          <w:rFonts w:ascii="Arial" w:hAnsi="Arial" w:cs="Arial"/>
          <w:i/>
          <w:color w:val="000000" w:themeColor="text1"/>
          <w:sz w:val="22"/>
        </w:rPr>
        <w:t>P</w:t>
      </w:r>
      <w:r w:rsidRPr="00C45169">
        <w:rPr>
          <w:rFonts w:ascii="Arial" w:hAnsi="Arial" w:cs="Arial"/>
          <w:color w:val="000000" w:themeColor="text1"/>
          <w:sz w:val="22"/>
        </w:rPr>
        <w:t>-value</w:t>
      </w:r>
      <w:r w:rsidRPr="00C45169">
        <w:rPr>
          <w:rFonts w:ascii="Arial" w:hAnsi="Arial" w:cs="Arial"/>
          <w:color w:val="000000" w:themeColor="text1"/>
          <w:sz w:val="22"/>
          <w:vertAlign w:val="superscript"/>
        </w:rPr>
        <w:t>b</w:t>
      </w:r>
      <w:r w:rsidRPr="00C45169">
        <w:rPr>
          <w:rFonts w:ascii="Arial" w:hAnsi="Arial" w:cs="Arial"/>
          <w:color w:val="000000" w:themeColor="text1"/>
          <w:sz w:val="22"/>
        </w:rPr>
        <w:t xml:space="preserve"> </w:t>
      </w:r>
      <w:r w:rsidR="00F23499" w:rsidRPr="00C45169">
        <w:rPr>
          <w:rFonts w:ascii="Arial" w:hAnsi="Arial" w:cs="Arial"/>
          <w:color w:val="000000" w:themeColor="text1"/>
          <w:sz w:val="22"/>
        </w:rPr>
        <w:t>determined by logistic regression</w:t>
      </w:r>
      <w:r w:rsidRPr="00C45169">
        <w:rPr>
          <w:rFonts w:ascii="Arial" w:hAnsi="Arial" w:cs="Arial"/>
          <w:color w:val="000000" w:themeColor="text1"/>
          <w:sz w:val="22"/>
        </w:rPr>
        <w:t>.</w:t>
      </w:r>
    </w:p>
    <w:p w:rsidR="00166378" w:rsidRDefault="00166378" w:rsidP="00D1186B">
      <w:pPr>
        <w:rPr>
          <w:rFonts w:ascii="Arial" w:hAnsi="Arial" w:cs="Arial"/>
          <w:color w:val="000000" w:themeColor="text1"/>
          <w:sz w:val="22"/>
        </w:rPr>
      </w:pPr>
    </w:p>
    <w:p w:rsidR="00166378" w:rsidRPr="00C45169" w:rsidRDefault="00166378" w:rsidP="00D1186B"/>
    <w:sectPr w:rsidR="00166378" w:rsidRPr="00C45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AE8" w:rsidRDefault="00B97AE8" w:rsidP="00D1186B">
      <w:r>
        <w:separator/>
      </w:r>
    </w:p>
  </w:endnote>
  <w:endnote w:type="continuationSeparator" w:id="0">
    <w:p w:rsidR="00B97AE8" w:rsidRDefault="00B97AE8" w:rsidP="00D1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AE8" w:rsidRDefault="00B97AE8" w:rsidP="00D1186B">
      <w:r>
        <w:separator/>
      </w:r>
    </w:p>
  </w:footnote>
  <w:footnote w:type="continuationSeparator" w:id="0">
    <w:p w:rsidR="00B97AE8" w:rsidRDefault="00B97AE8" w:rsidP="00D11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A1"/>
    <w:rsid w:val="00166378"/>
    <w:rsid w:val="001B0D88"/>
    <w:rsid w:val="00345B70"/>
    <w:rsid w:val="004D5C16"/>
    <w:rsid w:val="005246ED"/>
    <w:rsid w:val="00777A5E"/>
    <w:rsid w:val="00862E4B"/>
    <w:rsid w:val="008B0465"/>
    <w:rsid w:val="00B57FE0"/>
    <w:rsid w:val="00B97AE8"/>
    <w:rsid w:val="00BA5C13"/>
    <w:rsid w:val="00BB08F0"/>
    <w:rsid w:val="00C45169"/>
    <w:rsid w:val="00D1186B"/>
    <w:rsid w:val="00EE0765"/>
    <w:rsid w:val="00EE126B"/>
    <w:rsid w:val="00F23499"/>
    <w:rsid w:val="00F7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8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8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8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393</Characters>
  <Application>Microsoft Office Word</Application>
  <DocSecurity>0</DocSecurity>
  <Lines>3</Lines>
  <Paragraphs>1</Paragraphs>
  <ScaleCrop>false</ScaleCrop>
  <Company>微软中国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cp:lastPrinted>2018-04-28T07:54:00Z</cp:lastPrinted>
  <dcterms:created xsi:type="dcterms:W3CDTF">2018-04-28T00:35:00Z</dcterms:created>
  <dcterms:modified xsi:type="dcterms:W3CDTF">2018-06-28T13:27:00Z</dcterms:modified>
</cp:coreProperties>
</file>