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May 14st</w:t>
      </w:r>
      <w:proofErr w:type="gramStart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,2018</w:t>
      </w:r>
      <w:proofErr w:type="gramEnd"/>
    </w:p>
    <w:p w:rsid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Dear editor:</w:t>
      </w:r>
    </w:p>
    <w:p w:rsid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I would like to submit a manuscript titled ‘Identification of hyper-methylated tumor suppressor genes-based diagnostic panel for esophageal squamous cell carcinoma (ESCC) in a Chinese Han population’ for possible publication in Frontiers in Genetics. 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DNA methylation-based biomarkers </w:t>
      </w:r>
      <w:proofErr w:type="gramStart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have been suggested</w:t>
      </w:r>
      <w:proofErr w:type="gramEnd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 to be promising for early cancer diagnosis. However, a limited number of DNA methylation-based biomarkers for esophageal squamous cell carcinoma (ESCC), especially in Chinese Han populations </w:t>
      </w:r>
      <w:proofErr w:type="gramStart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have been identified and evaluated quantitatively</w:t>
      </w:r>
      <w:proofErr w:type="gramEnd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. To search for the early diagnostic biomarkers for ESCC, candidate tumor suppressor genes (N = 65) were selected through literature searching, and four public high-throughput DNA methylation microarray datasets including 136 samples totally were collected for initial confirmation. Targeted bisulfite sequencing </w:t>
      </w:r>
      <w:proofErr w:type="gramStart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was applied</w:t>
      </w:r>
      <w:proofErr w:type="gramEnd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 in an independent cohort of 94 pairs of ESCC and normal tissues from a Chinese Han population for eventual validation. In summary, four candidate genes (ADHFE1, EOMES, SALL1 and TFPI2) </w:t>
      </w:r>
      <w:proofErr w:type="gramStart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were identified and validated in the ESCC samples from a Chinese Han population</w:t>
      </w:r>
      <w:proofErr w:type="gramEnd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. All four candidate regions were validated to be significantly hyper-methylated in ESCC samples (ADHFE1, p = 1.70×10-3; EOMES, p = 2.90×10-9; SALL1, p = 3.90×10-7; TFPI2, p = 3.40×10-6). Logistic regression based prediction model shown a robust ESCC classification performance (Sensitivity = 66%, Specificity = 87%, AUC = 0.81). Moreover, advanced classification method had better performances (random forest an</w:t>
      </w:r>
      <w:bookmarkStart w:id="0" w:name="_GoBack"/>
      <w:bookmarkEnd w:id="0"/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d naive Bayes). Interestingly, the diagnostic performance could be improved in non-alcohol use subgroup (AUC = 0.84). In conclusion, we believed that methylation panels of ADHFE1, EOMES, SALL1 and TFPI2 could be an effe</w:t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ctive methylation </w:t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based assay for ESCC diagnosis.</w:t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I would greatly appreciate could you consider its suitability for publication in Frontiers in Genetics.</w:t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>
        <w:rPr>
          <w:rFonts w:ascii="Trebuchet MS" w:hAnsi="Trebuchet MS"/>
          <w:color w:val="3E3D40"/>
          <w:sz w:val="18"/>
          <w:szCs w:val="18"/>
          <w:shd w:val="clear" w:color="auto" w:fill="FFFFFF"/>
        </w:rPr>
        <w:t>Sincerely,</w:t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br/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Shicheng Guo, 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Department of Bioengineering, 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University of California at San Diego, 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9500 Gilman Drive, MC0412, La Jolla, CA 92093-0412. 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Telephone: 281-685-5882, 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 xml:space="preserve">Fax: 858-534-5722, </w:t>
      </w:r>
    </w:p>
    <w:p w:rsidR="00A51353" w:rsidRPr="00A51353" w:rsidRDefault="00A51353" w:rsidP="00A51353">
      <w:pPr>
        <w:rPr>
          <w:rFonts w:ascii="Trebuchet MS" w:hAnsi="Trebuchet MS"/>
          <w:color w:val="3E3D40"/>
          <w:sz w:val="18"/>
          <w:szCs w:val="18"/>
          <w:shd w:val="clear" w:color="auto" w:fill="FFFFFF"/>
        </w:rPr>
      </w:pPr>
      <w:r w:rsidRPr="00A51353">
        <w:rPr>
          <w:rFonts w:ascii="Trebuchet MS" w:hAnsi="Trebuchet MS"/>
          <w:color w:val="3E3D40"/>
          <w:sz w:val="18"/>
          <w:szCs w:val="18"/>
          <w:shd w:val="clear" w:color="auto" w:fill="FFFFFF"/>
        </w:rPr>
        <w:t>Email: scguo@ucsd.edu</w:t>
      </w:r>
    </w:p>
    <w:p w:rsidR="00E20020" w:rsidRDefault="00E20020" w:rsidP="00A51353"/>
    <w:sectPr w:rsidR="00E200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53"/>
    <w:rsid w:val="00597D13"/>
    <w:rsid w:val="00640762"/>
    <w:rsid w:val="00A51353"/>
    <w:rsid w:val="00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4BDF7"/>
  <w15:chartTrackingRefBased/>
  <w15:docId w15:val="{97EBBE5C-5184-4792-8252-D42A3290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353"/>
    <w:pPr>
      <w:spacing w:line="360" w:lineRule="auto"/>
      <w:jc w:val="both"/>
    </w:pPr>
    <w:rPr>
      <w:rFonts w:eastAsia="SimSun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A51353"/>
    <w:rPr>
      <w:rFonts w:eastAsia="SimSu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2018-09-19T01:14:00Z</dcterms:created>
  <dcterms:modified xsi:type="dcterms:W3CDTF">2018-09-19T01:22:00Z</dcterms:modified>
</cp:coreProperties>
</file>