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Combined miRNA and DNA methylation as a diagnosis panel for 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esophageal squamous cell carcinoma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t xml:space="preserve">Abstract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>Background：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   Although there are more biomarkers in the diagnosis of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esophageal squamous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cell carcinoma (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ESCC), but because of the lack of sufficient sens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itivity and specificity,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still can't meet the clinical requirements. Therefore, it is immensely important to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discover new biomarkers or combine several individually biomarkers to improve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diagnostic effect for ESCC.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>Methods：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   MiRNA-seq data obtained from the Cancer Genome Atlas (TCGA) cohort to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select differentially expressed miRNAs as our candidate miRNAs. Then quantitative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real-time RT-PCR (qRT-PCR) was carried out to compare the candidate miRNA levels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in 93 pairs of ESCC tissues and adjacent non-cancerous tissues,which further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screened for target miRNAs. MicroRNA expression levels were further analyzed in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regards to clinico-pathological features of esophageal cancer patient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s, 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and the 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miRNAs with prediction potential were identifed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>.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>Results：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Nine miRNAs selected from the TCGA were as candidated markers for further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validation. The qPCR results showed m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iR-30e-3p, miR-21-3p and miR-21-5p were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significantly differentially expressed between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93 paired of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ESCC and adjacent tissues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performing paired t test. </w:t>
      </w:r>
      <w:r>
        <w:rPr>
          <w:color w:val="FF0000"/>
          <w:position w:val="0"/>
          <w:sz w:val="24"/>
          <w:szCs w:val="24"/>
          <w:rFonts w:ascii="Times New Roman" w:eastAsia="宋体" w:hAnsi="宋体" w:hint="default"/>
        </w:rPr>
        <w:t>表达量与临床信息的结果。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ROC curve showed a strong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separation between the ESCC and paracancerous groups, with an AUC of 0.80.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>Conclusions：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We conclude that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the miR-30e-3p, miR-21-3p and miR-21-5p can form a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diagnosis panel for ESCC.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Keywords: Esophageal squamous cell carcinoma, miRNA, Biomarker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Background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8"/>
          <w:szCs w:val="28"/>
          <w:rFonts w:ascii="AdvPTimes" w:eastAsia="宋体" w:hAnsi="宋体" w:hint="default"/>
        </w:rPr>
        <w:t xml:space="preserve">   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Esophageal squamous cell carcinoma (ESCC) is the most common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histopathological subtype of various esophageal malignancies(PMID: 24834141).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The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global incidence of squamous cell cancer has more or less remained stable and it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represented 87% of all cases of esophageal cancer in 2012(PMID: 25320104)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China, it accounts for approximately 90% of oesophageal carcinomas, which is one of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the areas with the highest morbidity of esophageal cancer(PMID: 25651787). It was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estimated that about 477,900 new diagnoses and 375,000 deaths occurred in China in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2015(PMID: 26808342). Patients tend to present with dysphagia at a late stage and 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 result the overall 5-year survival is less that 15%. In contrast, tumors detected at an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early stage prior to lymph node spread have a survival in excess of 80%(PMID: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24013023). Hence, novel and reliable biomarkers to detect ESCC are urgently needed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for early intervention with the potential to reduce mortality of the disease.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MicroRNAs (miRNAs) are small, well-conserved, non-coding RNAs of 20-24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nucleotides that regulate gene expression by binding to 3’ UTR of their specific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target mRNAs, which leads to mRNA degradation or inhibition of translation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Studies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suggested that miRNAs can regulate about 30 % of genes in human genome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[reference], and it was found that about 50 % of miRNAs are located in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cancerassociated genomic region. Increasing investigations have confirmed that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miRNAs can function as tumor suppressors or oncogenes and play essential roles in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wide variety of physiological and pathological processes in various cancers, including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ESCC.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Further evidence supports that miRNAs are useful diagnostic and prognostic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markers in human cancer(PMID: 20595229). For example, miR-31 could serve as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potential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diagnostic and prognostic biomarker for ESCC(PMID: 21658006).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Many researches have showed that miR-21 play an important role in many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cancers, not only in diagnosis but also in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therapy. Studies have shown that aberrantly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high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miR-21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 expression can regulate cell cycle, apoptosis, invasion, proliferation, and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metastasis in several kinds of cancer. However, miR-21-3p which formed by its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>comple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mentary chain was less studied. miR-21-3p can repressed the process of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cancers which is similar to the miR-21-5p. However, it is unclear whether the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expression of miR-21-3p is altered in ESCC.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Regarding to the miR-30e-3p, study has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shown that the expression of which was related to the prognosis in esophageal cancer.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Otherwise, the diagnosis in esophageal cancer has not been reported.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In this stud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y, we 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screened diﬀerentially expressed miRNAs in EC by 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bioinformation. Then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we conducted the miR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NA profiles by qRT-PCR to identify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potential biomarkers for dianosis of ESCC.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As a result, we confirmed that the three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mi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>RNA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 were significant differences in expression between ESCC and adjacent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tissues. The relationship between clinical information and miRNAs expression was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analyzed.In addition, through performing ROC, w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 established a panel combining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three miRNAs for ESCC diagnosis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We hoped to determine molecular markers for </w:t>
      </w:r>
      <w:r>
        <w:rPr>
          <w:spacing w:val="0"/>
          <w:i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early diagnosis.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i w:val="0"/>
          <w:b w:val="0"/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t>Results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Identify miRNAs that were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 differentially expressed</w:t>
      </w:r>
      <w:r>
        <w:rPr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between ESCC and adjacent </w:t>
      </w:r>
      <w:r>
        <w:rPr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>tissues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Based on the microRNA-seq data of EC from TCGA database, we analyzed to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obtain each mature miRNA of each sample and then screened using two criteria: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abundance at least above 500 reads / millon; P&lt; 0.05 (Wilcoxon's rank sum test) . The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selected miRNAs were screened again by Random Forest.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Finally, w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 obtained 9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differentially expressed miRNAs between ESCC and adjacent tissues after analysis by </w:t>
      </w:r>
      <w:r>
        <w:rPr>
          <w:color w:val="FF0000"/>
          <w:position w:val="0"/>
          <w:sz w:val="24"/>
          <w:szCs w:val="24"/>
          <w:rFonts w:ascii="Times New Roman" w:eastAsia="宋体" w:hAnsi="宋体" w:hint="default"/>
        </w:rPr>
        <w:t xml:space="preserve">SAMR in R package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, including 6 up-regulated and 3 down-regulated . The up-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regulated miRNAs were hsa-miR-93-5p, hsa-miR-21-3p, hsa-miR-25-3p, hsa-miR-21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-5p, hsa-miR-181a-5p, and hsa-miR-103a-3p. while the down-regulated miRNAs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were hsa-miR-30d-5p, hsa-miR-30e-3p, and hsa-miR-29c-3p.(figure 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      </w:t>
      </w:r>
      <w:r>
        <w:rPr>
          <w:sz w:val="20"/>
        </w:rPr>
        <w:drawing>
          <wp:inline distT="0" distB="0" distL="0" distR="0">
            <wp:extent cx="3492500" cy="29019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5968_4394168/fImage18458514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902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24"/>
          <w:szCs w:val="24"/>
          <w:rFonts w:ascii="Times New Roman" w:eastAsia="宋体" w:hAnsi="宋体" w:hint="default"/>
        </w:rPr>
        <w:t xml:space="preserve">(临床信息与表达量之间的关系 table1)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Validation miRNAs by quantitative reverse transcription real-time PCR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To confirm the expression of selected candidate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d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miRNAs, we used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q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RT-PCR to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evaluate the nine miRNA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s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expression of 93 pairs of ESCC and adjacent tissues. The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ΔCt analysis method was used to identify differentially expressed miRNAs between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ESCC and paracancer tissues. Only three miRNAs, miR-30e-3p, miR-21-3p and miR-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21-5p, were significantly differentially expressed between ESCC and adjacent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tissues(P = 0.004, 0.0002 and 0.001, respectively). The mean relative expression of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miR-30e-3p, miR-21-3p and miR-21-5p in adjacent tissues were 0.12, 0.18 and 25.19,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respectively. The mean relative expression of miR-21-3p and miR-21-5p in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esophageal squamous cell carcinoma 0.072, 0.44 and 40.80.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The trends of up or down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of these three miRNAs were consistent with the results analyzed by TCGA data.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There was no difference in expression of the remaining 6 miRNAs.(figure 2)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Diagnostic Utility of miRNAs in ESCC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The diagnostic performance of the three miRNAs was evaluated by receiver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operating characteristic (ROC) curves. Firstly, the diagnostic effect of single miRNA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was calculated by logistic regression analysis. The sensitivity of miR-30e-3p, miR-21-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3p and miR-21-5p in the diagnosis of esophageal squamous cell carcinoma were 0.52,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0.74 and 0.45, respectively, and the specificity was 0.74, 0.57 and 0.83, respectively.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The corresponding areas under the ROC curve (AUCs) were 0.63, 0.66 and 0.65 for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miR-30e-3p, miR-21-3p and miR-21-5p, respectively. In order to improve the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diagnostic effect, we combined these three miRNA as a panel. A representation of the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data using an ROC curve showed a strong separation between the ESCC and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paracancerous groups, with an AUC of 0.80.  (figure 3)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302000" cy="2239645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5968_4394168/fImage20142816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240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宋体" w:hAnsi="宋体" w:hint="default"/>
        </w:rPr>
        <w:t>Discussion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ESCC is a common gastrointestinal cancer. Accurate judgments of ESCC are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important bases for clinicians to take a rational approach to the treatment of this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disease. The current clinical biomarkers for ESCC diagnosis are not ideal, as there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remains a lack of reliable biomarkers that can specifically distinguish between ESCC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patients and healthy people.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Many studies have found that miRNAs can act as biomarkers for the diagnosis,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prognosis, and treatment evaluation of cancers.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 review showed that four miRNAs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(miR-25, -99a, -133a and -133b) showed good potential as diagnostic markers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 the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present study, we quantified the expression levels of nine miRNAs by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qRT-PCR and 3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miRNAs were finally selected.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miR-30e-3p, a member of the miR-30 family and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negatively regulates Ubc9 and Bmi1 expression and suppresses growth of different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cancer cells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color w:val="000000"/>
          <w:position w:val="0"/>
          <w:sz w:val="13"/>
          <w:szCs w:val="13"/>
          <w:rFonts w:ascii="Times New Roman" w:eastAsia="Times New Roman" w:hAnsi="Times New Roman" w:hint="default"/>
        </w:rPr>
        <w:t xml:space="preserve">PMID: 24945821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.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Lost expression of </w:t>
      </w:r>
      <w:bookmarkStart w:id="1" w:name="OLE_LINK1"/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miR-30e-3p</w:t>
      </w:r>
      <w:bookmarkEnd w:id="1"/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was associated with lymph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node metastasis, a tumor size more than 3 cm, and advanced stages of NSCLC.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miR-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21-3p had been studied in some cancer, such as lung cancer, cervical cancer, ovarian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cancer, and oral cancer. In ovarian cancer, miR-21-3p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is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overexpressed and binds to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the 3-UTR of RBPMS, RCBTB1, and ZNF608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to effect the biological characteristics,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which indicating that the mi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R-21-3p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has the same biological effect in ESCC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>.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There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are many studies about miR-21-5p in cancers.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MiR-21 is an oncogenic miRNA that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modulates the expression of multiple cancer-related target genes such as PTEN,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TPM1, and PDCD and has been shown to be overexpressed in various human tumors </w:t>
      </w:r>
      <w:r>
        <w:rPr>
          <w:color w:val="000000"/>
          <w:position w:val="0"/>
          <w:sz w:val="11"/>
          <w:szCs w:val="11"/>
          <w:rFonts w:ascii="Times New Roman" w:eastAsia="Times New Roman" w:hAnsi="Times New Roman" w:hint="default"/>
        </w:rPr>
        <w:t>PMC3687369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. Although our observation of increased miR-21-5p expression in ESCC tissues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is consistent with previous reports, our results are the first to combine the three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miRNAs(miR-30e-3p, -21-3p and -21-5p) as a panel to diagnose the ESCC.The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expression levels of three miRNAs demonstrated AUC values of 0.80 , associated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with 62% sensitivity and 91% specificity, for discerning ESCC.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 conclusion, we demonstrated that 1) the exprssion of miR-30e-3pis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significantly overexpressed in ESCC compared with adjacent normal tissues, but the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exprssion of miR-21-3p and miR-21-5p in ESCC tissues are significantly lower than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 normal tissues, 2) the three miRNAs (miR-30e-3p, -21-3p and -21-5p) can be as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panel for the detction of esophageal squamous cell carcinoma in solid biopsies.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Further research is needed to investigate if these three markers could reliably be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analyzed in liquid biopsies, so that it may be developed as low invasive, early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detection biomarker for esophageal squamous cell carcinoma.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Conclusion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48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Combined with the TCGA data and our experimental results, we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demonstrated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that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the miR-30e-3p, miR-21-3p, miR-21-5p, KCNA3 and KCNA6 could form a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diagnosis panel for ESCC</w:t>
      </w:r>
      <w:r>
        <w:rPr>
          <w:color w:val="000000"/>
          <w:position w:val="0"/>
          <w:sz w:val="24"/>
          <w:szCs w:val="24"/>
          <w:rFonts w:ascii="Times New Roman" w:eastAsia="宋体" w:hAnsi="宋体" w:hint="default"/>
        </w:rPr>
        <w:t xml:space="preserve">.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Materials and Methods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autoSpaceDE w:val="1"/>
        <w:autoSpaceDN w:val="1"/>
      </w:pP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Biomarker discovery based on the public datasets. The miRNA expression data and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the corresponding medical information of the patients were downloaded from the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TCGA database, and there were a total of 200 samples (187 esophageal cancer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samples and 13 normal samples) and the medical information was for 169 patients.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These miRNA expression data were sequenced by Illumina HiSeq system and the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standardized miRNA data were level 3 data in the TCGA database. Firstly, these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miRNA data were standardized, and then the data with expression values zero were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removed. The miRNA data in level 3 were downloaded, which included a total of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1046 comments for the miRNA expression values. These miRNA data in level 3 had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already been standardized within the sample and the standardization between samples 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was performed using generalized linear model in an R language Limma package to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br/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eliminate batch eﬀects between samples.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 xml:space="preserve">Patients and samples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宋体" w:hAnsi="宋体" w:hint="default"/>
        </w:rPr>
        <w:t xml:space="preserve">  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 ESCC samples and the paired adjacent normal tissueswere obtained from xx. All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patients were pathologically diagnosed as ESCC using surgical specimens or biopsies.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None of the ESCC patients had received any anticancer treatment prior to sampling.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All data, including age, sex, invasion depth (T stage), lymph node metastasis (N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stage), distant metastasis (M stage), smoking and drinking habit were obtained from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clinical or pathologic records. All tissues were immediately frozen at -80 oC after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surgical resection.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    Written informed consent was obtained from all patients prior to the study. The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study protocol was approved by the ethics committees of Soochow University. The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study was performed in accordance with the Declaration of 1975 Helsinki and the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REMARK guidelines for biomarker studies</w:t>
      </w:r>
      <w:r>
        <w:rPr>
          <w:color w:val="auto"/>
          <w:position w:val="0"/>
          <w:sz w:val="21"/>
          <w:szCs w:val="21"/>
          <w:rFonts w:ascii="Times New Roman" w:eastAsia="宋体" w:hAnsi="宋体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宋体" w:hAnsi="宋体" w:hint="default"/>
        </w:rPr>
        <w:t xml:space="preserve">DNA and RNA isolation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宋体" w:hAnsi="宋体" w:hint="default"/>
        </w:rPr>
        <w:t xml:space="preserve">  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 DNA was extracted from the tissues of 94 paired samples using AllPrep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DNA/RNA Mini kit(QIAGEN,Germany) according to the manufacturer,s instructions.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Total RNA was extracted from the tissues of 93 paired samples using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Trizol(Invitrogen) according to the manufacturer’s instructions. The purity and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concentration of DNA and RNA were quantified using Nanodrop 2000 thermo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scientific spectrophotometer (NanoDrop Technologies, Wilmington, DE, USA).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16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宋体" w:hAnsi="宋体" w:hint="default"/>
        </w:rPr>
        <w:t>qRT-PCR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cDNAs were synthesized from total RNA using miDETECT A TrackTM miRNA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qPCR Start Kit (Bio-Rad, Hercules, CA). Total RNA was </w:t>
      </w:r>
      <w:bookmarkStart w:id="2" w:name="OLE_LINK2"/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>polyadenylat</w:t>
      </w:r>
      <w:bookmarkEnd w:id="2"/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ed and then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reverse transcribed with the miR reverse anchor primer(PMID: 18834857).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Quantitative real-time PCR was performed using SYBR Green Real Time PCR Kit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(TAKARA, Japan) and MiDETECT A TrackTM miRNA qPCR Primer (Bio-Rad,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Hercules, CA) on a Roche LightCycler480 (Roche Diagnostics, USA) according to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the manufacturer,s protocols. U6 was used as an internal control. The relative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expression was calculated using the 2-ΔCt method. All experiments were performed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in triplicate.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35"/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Briefly, the polyadenylation reaction was in 10 </w:t>
      </w:r>
      <w:bookmarkStart w:id="3" w:name="OLE_LINK3"/>
      <w:bookmarkStart w:id="4" w:name="OLE_LINK4"/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>μl</w:t>
      </w:r>
      <w:bookmarkEnd w:id="3"/>
      <w:bookmarkEnd w:id="4"/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 of solution, containing 1.5 μg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of extracted RNA, 2 μl of 5x poly(A) polymerase buffer, 1 μl of poly(A) polymerase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and added RNAase-free H2O up to 10 μl. The mixtures were incubated at 37°C for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60 min. Next, RT reactions were conducted at 42℃ for 60 min followed by 70℃ for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10 min with the mixture containing 4ul of RTase mix, 4ul of 5x RTase buffer, 2ul of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miDETECT A TrackTM Uni-RT Primer and 10ul of poly(A) Tailing product. Then 2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μl of 10-fold dilution cDNA was amplified using 5 μl of 2× SYBR Green Mix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(TAKARA, Japan), 1 μl of gene-specific primers, and 2 μl of nuclease-free water in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a final volume of 10 μl. The qRT-PCR reactions were carried out at 95℃ for 3 min,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followed by 40 cycles of 95℃ for 10 sec and 60℃ for 34 sec. The melting curve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analysis was added to assess the specificity of PCR products.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autoSpaceDE w:val="1"/>
        <w:autoSpaceDN w:val="1"/>
      </w:pPr>
      <w:r>
        <w:rPr>
          <w:spacing w:val="0"/>
          <w:b w:val="1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Statistical analysi</w:t>
      </w:r>
      <w:r>
        <w:rPr>
          <w:spacing w:val="0"/>
          <w:b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>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16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Wilcoxon test was used to compare the miRNA expression and methylation status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of each CpGsite of paired tissue samples. Further, differential methylation status in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tumor and normal tissues of the candidate CpGsites were tested with logistic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regression method. False discovery rate (FDR) correction was used for multiple test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correction. ROC curves and the area under the ROC curve analyzed by logistic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regression were used to evaluate the value of the identified miRNA and methylation </w:t>
      </w:r>
      <w:r>
        <w:rPr>
          <w:spacing w:val="0"/>
          <w:color w:val="000000"/>
          <w:position w:val="0"/>
          <w:sz w:val="24"/>
          <w:szCs w:val="24"/>
          <w:smallCaps w:val="0"/>
          <w:rFonts w:ascii="Times New Roman" w:eastAsia="宋体" w:hAnsi="宋体" w:hint="default"/>
        </w:rPr>
        <w:t xml:space="preserve">status in detecting ESCC</w:t>
      </w:r>
      <w:r>
        <w:rPr>
          <w:color w:val="auto"/>
          <w:position w:val="0"/>
          <w:sz w:val="21"/>
          <w:szCs w:val="21"/>
          <w:rFonts w:ascii="Times New Roman" w:eastAsia="宋体" w:hAnsi="宋体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Abbreviations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Acknowledgements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Competing interests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 xml:space="preserve">Authors’ contributions</w:t>
      </w:r>
    </w:p>
    <w:p>
      <w:pPr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outlineLvl w:val="1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Reference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dvP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151" w:type="character">
    <w:name w:val="Hyperlink"/>
    <w:basedOn w:val="PO2"/>
    <w:uiPriority w:val="151"/>
    <w:semiHidden/>
    <w:unhideWhenUsed/>
    <w:rPr>
      <w:color w:val="0000FF"/>
      <w:shd w:val="clear"/>
      <w:sz w:val="20"/>
      <w:szCs w:val="20"/>
      <w:u w:val="single"/>
      <w:w w:val="100"/>
    </w:rPr>
  </w:style>
  <w:style w:customStyle="1" w:styleId="PO152" w:type="character">
    <w:name w:val="apple-converted-space"/>
    <w:basedOn w:val="PO2"/>
    <w:uiPriority w:val="152"/>
  </w:style>
  <w:style w:styleId="PO153" w:type="paragraph">
    <w:name w:val="header"/>
    <w:basedOn w:val="PO1"/>
    <w:link w:val="PO154"/>
    <w:uiPriority w:val="153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4" w:type="character">
    <w:name w:val="页眉 Char"/>
    <w:basedOn w:val="PO2"/>
    <w:link w:val="PO153"/>
    <w:uiPriority w:val="154"/>
    <w:rPr>
      <w:rFonts w:ascii="Calibri" w:eastAsia="宋体" w:hAnsi="Calibri"/>
      <w:shd w:val="clear"/>
      <w:sz w:val="18"/>
      <w:szCs w:val="18"/>
      <w:w w:val="100"/>
    </w:rPr>
  </w:style>
  <w:style w:styleId="PO155" w:type="paragraph">
    <w:name w:val="footer"/>
    <w:basedOn w:val="PO1"/>
    <w:link w:val="PO156"/>
    <w:uiPriority w:val="155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6" w:type="character">
    <w:name w:val="页脚 Char"/>
    <w:basedOn w:val="PO2"/>
    <w:link w:val="PO155"/>
    <w:uiPriority w:val="156"/>
    <w:rPr>
      <w:rFonts w:ascii="Calibri" w:eastAsia="宋体" w:hAnsi="Calibri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45851441.jpeg"></Relationship><Relationship Id="rId6" Type="http://schemas.openxmlformats.org/officeDocument/2006/relationships/image" Target="media/fImage20142816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141</Lines>
  <LinksUpToDate>false</LinksUpToDate>
  <Pages>7</Pages>
  <Paragraphs>39</Paragraphs>
  <Words>2984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</dc:creator>
  <cp:lastModifiedBy/>
  <dcterms:modified xsi:type="dcterms:W3CDTF">2017-05-09T08:20:00Z</dcterms:modified>
</cp:coreProperties>
</file>