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>Ulrich Mahlknecht, MD, PhD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>Editor-in-Chief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>Clinical Epigenetics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EA20F8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6</w:t>
      </w:r>
      <w:r w:rsidR="00881B4E"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, 2014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>Dear Dr. Mahlknecht</w:t>
      </w:r>
      <w:r>
        <w:rPr>
          <w:rFonts w:ascii="Times New Roman" w:hAnsi="Times New Roman"/>
          <w:sz w:val="24"/>
          <w:szCs w:val="24"/>
        </w:rPr>
        <w:t>,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86F76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 xml:space="preserve">Thank you for your letter </w:t>
      </w:r>
      <w:r>
        <w:rPr>
          <w:rFonts w:ascii="Times New Roman" w:hAnsi="Times New Roman"/>
          <w:sz w:val="24"/>
          <w:szCs w:val="24"/>
        </w:rPr>
        <w:t>on</w:t>
      </w:r>
      <w:r w:rsidRPr="00BA4C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 6th</w:t>
      </w:r>
      <w:r w:rsidRPr="00BA4C00"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4</w:t>
      </w:r>
      <w:r w:rsidRPr="00BA4C00">
        <w:rPr>
          <w:rFonts w:ascii="Times New Roman" w:hAnsi="Times New Roman"/>
          <w:sz w:val="24"/>
          <w:szCs w:val="24"/>
        </w:rPr>
        <w:t xml:space="preserve"> regarding our manuscript entitled “Identification and validation of the methylation biomarkers of </w:t>
      </w:r>
      <w:r>
        <w:rPr>
          <w:rFonts w:ascii="Times New Roman" w:hAnsi="Times New Roman"/>
          <w:sz w:val="24"/>
          <w:szCs w:val="24"/>
        </w:rPr>
        <w:t>n</w:t>
      </w:r>
      <w:r w:rsidRPr="00BA4C00">
        <w:rPr>
          <w:rFonts w:ascii="Times New Roman" w:hAnsi="Times New Roman"/>
          <w:sz w:val="24"/>
          <w:szCs w:val="24"/>
        </w:rPr>
        <w:t>on-small cell lung cancer (NSCLC)”. Our appreciation also goes to the reviewers for their helpful comments. We have revised the manuscript following the reviewer’s comments and your instructions.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 xml:space="preserve"> </w:t>
      </w:r>
    </w:p>
    <w:p w:rsidR="000E654B" w:rsidRPr="00BA4C00" w:rsidRDefault="0090007F" w:rsidP="000E65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 xml:space="preserve">Enclosed please find the revised version of the manuscript along with a point by point description of our responses to the reviewer’s comments. </w:t>
      </w:r>
      <w:r w:rsidR="000E654B">
        <w:rPr>
          <w:rFonts w:ascii="Times New Roman" w:hAnsi="Times New Roman"/>
          <w:sz w:val="24"/>
          <w:szCs w:val="24"/>
        </w:rPr>
        <w:t>W</w:t>
      </w:r>
      <w:r w:rsidR="000E654B" w:rsidRPr="000322D5">
        <w:rPr>
          <w:rFonts w:ascii="Times New Roman" w:hAnsi="Times New Roman"/>
          <w:sz w:val="24"/>
          <w:szCs w:val="24"/>
        </w:rPr>
        <w:t>e have us</w:t>
      </w:r>
      <w:r w:rsidR="000E654B">
        <w:rPr>
          <w:rFonts w:ascii="Times New Roman" w:hAnsi="Times New Roman"/>
          <w:sz w:val="24"/>
          <w:szCs w:val="24"/>
        </w:rPr>
        <w:t>ed</w:t>
      </w:r>
      <w:r w:rsidR="000E654B" w:rsidRPr="000322D5">
        <w:rPr>
          <w:rFonts w:ascii="Times New Roman" w:hAnsi="Times New Roman"/>
          <w:sz w:val="24"/>
          <w:szCs w:val="24"/>
        </w:rPr>
        <w:t xml:space="preserve"> coloured text for all changes made in the revised manuscript.</w:t>
      </w:r>
    </w:p>
    <w:p w:rsidR="000E654B" w:rsidRDefault="000E654B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 xml:space="preserve">We hope that the manuscript is now acceptable for publication in Clinical Epigenetics. Thank you again for your </w:t>
      </w:r>
      <w:r>
        <w:rPr>
          <w:rFonts w:ascii="Times New Roman" w:hAnsi="Times New Roman"/>
          <w:sz w:val="24"/>
          <w:szCs w:val="24"/>
        </w:rPr>
        <w:t>information</w:t>
      </w:r>
      <w:r w:rsidRPr="00BA4C00">
        <w:rPr>
          <w:rFonts w:ascii="Times New Roman" w:hAnsi="Times New Roman"/>
          <w:sz w:val="24"/>
          <w:szCs w:val="24"/>
        </w:rPr>
        <w:t xml:space="preserve"> and editorial assistance.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Default="0090007F" w:rsidP="00CC2728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C00">
        <w:rPr>
          <w:rFonts w:ascii="Times New Roman" w:hAnsi="Times New Roman"/>
          <w:sz w:val="24"/>
          <w:szCs w:val="24"/>
        </w:rPr>
        <w:t>Sincerely yours,</w:t>
      </w:r>
    </w:p>
    <w:p w:rsidR="0090007F" w:rsidRPr="00BA4C00" w:rsidRDefault="0090007F" w:rsidP="00CC27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pStyle w:val="a5"/>
        <w:tabs>
          <w:tab w:val="left" w:pos="6480"/>
        </w:tabs>
        <w:spacing w:line="240" w:lineRule="auto"/>
        <w:rPr>
          <w:lang w:val="nl-NL"/>
        </w:rPr>
      </w:pPr>
      <w:r w:rsidRPr="00BA4C00">
        <w:rPr>
          <w:lang w:val="nl-NL"/>
        </w:rPr>
        <w:t xml:space="preserve">Jiucun Wang, Ph.D. </w:t>
      </w:r>
    </w:p>
    <w:p w:rsidR="0090007F" w:rsidRPr="00BA4C00" w:rsidRDefault="0090007F" w:rsidP="00CC2728">
      <w:pPr>
        <w:pStyle w:val="a5"/>
        <w:tabs>
          <w:tab w:val="left" w:pos="6480"/>
        </w:tabs>
        <w:spacing w:line="240" w:lineRule="auto"/>
        <w:rPr>
          <w:lang w:val="nl-NL"/>
        </w:rPr>
      </w:pPr>
      <w:r w:rsidRPr="00BA4C00">
        <w:rPr>
          <w:lang w:val="nl-NL"/>
        </w:rPr>
        <w:t>Professor</w:t>
      </w:r>
    </w:p>
    <w:p w:rsidR="0090007F" w:rsidRPr="00BA4C00" w:rsidRDefault="0090007F" w:rsidP="00CC2728">
      <w:pPr>
        <w:pStyle w:val="a5"/>
        <w:tabs>
          <w:tab w:val="left" w:pos="6480"/>
        </w:tabs>
        <w:spacing w:line="240" w:lineRule="auto"/>
      </w:pPr>
      <w:r w:rsidRPr="00BA4C00">
        <w:t>School of Life Sciences</w:t>
      </w:r>
      <w:r w:rsidRPr="00BA4C00">
        <w:tab/>
      </w:r>
      <w:r w:rsidRPr="00BA4C00">
        <w:tab/>
      </w:r>
    </w:p>
    <w:p w:rsidR="0090007F" w:rsidRPr="00BA4C00" w:rsidRDefault="0090007F" w:rsidP="00CC2728">
      <w:pPr>
        <w:pStyle w:val="a5"/>
        <w:tabs>
          <w:tab w:val="left" w:pos="6480"/>
        </w:tabs>
        <w:spacing w:line="240" w:lineRule="auto"/>
      </w:pPr>
      <w:r w:rsidRPr="00BA4C00">
        <w:t>Fudan University</w:t>
      </w:r>
      <w:r>
        <w:t xml:space="preserve"> Jiangwan Campus</w:t>
      </w:r>
      <w:r w:rsidRPr="00BA4C00">
        <w:tab/>
      </w:r>
    </w:p>
    <w:p w:rsidR="0090007F" w:rsidRPr="00BA4C00" w:rsidRDefault="0090007F" w:rsidP="00CC2728">
      <w:pPr>
        <w:pStyle w:val="a5"/>
        <w:spacing w:line="240" w:lineRule="auto"/>
      </w:pPr>
      <w:r>
        <w:t>2005 Songhu</w:t>
      </w:r>
      <w:r w:rsidRPr="00BA4C00">
        <w:t xml:space="preserve"> Road, Shanghai 20043</w:t>
      </w:r>
      <w:r>
        <w:t>8</w:t>
      </w:r>
    </w:p>
    <w:p w:rsidR="0090007F" w:rsidRPr="00BA4C00" w:rsidRDefault="0090007F" w:rsidP="00CC2728">
      <w:pPr>
        <w:pStyle w:val="a5"/>
        <w:spacing w:line="240" w:lineRule="auto"/>
      </w:pPr>
      <w:r w:rsidRPr="00BA4C00">
        <w:t>People’s Republic of China.</w:t>
      </w:r>
    </w:p>
    <w:p w:rsidR="0090007F" w:rsidRPr="00BA4C00" w:rsidRDefault="0090007F" w:rsidP="00CC2728">
      <w:pPr>
        <w:pStyle w:val="a5"/>
        <w:spacing w:line="240" w:lineRule="auto"/>
      </w:pPr>
      <w:r w:rsidRPr="00BA4C00">
        <w:t>Tel: (+) 86-21-5</w:t>
      </w:r>
      <w:r>
        <w:t>1630606</w:t>
      </w:r>
      <w:r w:rsidRPr="00BA4C00">
        <w:t xml:space="preserve"> </w:t>
      </w:r>
    </w:p>
    <w:p w:rsidR="0090007F" w:rsidRPr="00BA4C00" w:rsidRDefault="0090007F" w:rsidP="00CC2728">
      <w:pPr>
        <w:pStyle w:val="a5"/>
        <w:spacing w:line="240" w:lineRule="auto"/>
      </w:pPr>
      <w:r w:rsidRPr="00BA4C00">
        <w:t>Fax: (+) 86-21-5</w:t>
      </w:r>
      <w:r>
        <w:t>1630607</w:t>
      </w:r>
    </w:p>
    <w:p w:rsidR="0090007F" w:rsidRPr="00BA4C00" w:rsidRDefault="0090007F" w:rsidP="00CC2728">
      <w:pPr>
        <w:pStyle w:val="a5"/>
        <w:spacing w:line="240" w:lineRule="auto"/>
      </w:pPr>
      <w:r w:rsidRPr="00BA4C00">
        <w:t xml:space="preserve">E-mail: </w:t>
      </w:r>
      <w:hyperlink r:id="rId7" w:history="1">
        <w:r w:rsidRPr="00BA4C00">
          <w:rPr>
            <w:rStyle w:val="a6"/>
          </w:rPr>
          <w:t>jcwang@fudan.edu.cn</w:t>
        </w:r>
      </w:hyperlink>
    </w:p>
    <w:p w:rsidR="0090007F" w:rsidRDefault="0090007F" w:rsidP="00CC272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0007F" w:rsidRPr="00BA4C00" w:rsidRDefault="0090007F" w:rsidP="00CC2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A4C00">
        <w:rPr>
          <w:rFonts w:ascii="Times New Roman" w:hAnsi="Times New Roman"/>
          <w:b/>
          <w:sz w:val="28"/>
          <w:szCs w:val="28"/>
        </w:rPr>
        <w:lastRenderedPageBreak/>
        <w:t>Responses to Reviewer 1’s comments</w:t>
      </w:r>
    </w:p>
    <w:p w:rsidR="0090007F" w:rsidRPr="00334E73" w:rsidRDefault="0090007F" w:rsidP="00334E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044B7">
        <w:rPr>
          <w:rFonts w:ascii="Times New Roman" w:hAnsi="Times New Roman"/>
          <w:b/>
          <w:color w:val="FF0000"/>
          <w:sz w:val="24"/>
          <w:szCs w:val="24"/>
        </w:rPr>
        <w:t>Comment</w:t>
      </w:r>
      <w:r w:rsidR="00224726">
        <w:rPr>
          <w:rFonts w:ascii="Times New Roman" w:hAnsi="Times New Roman"/>
          <w:b/>
          <w:color w:val="FF0000"/>
          <w:sz w:val="24"/>
          <w:szCs w:val="24"/>
        </w:rPr>
        <w:t>:</w:t>
      </w:r>
      <w:r w:rsidRPr="00993845">
        <w:rPr>
          <w:rFonts w:ascii="Times New Roman" w:eastAsiaTheme="minorEastAsia" w:hAnsi="Times New Roman"/>
          <w:color w:val="FF0000"/>
          <w:sz w:val="24"/>
          <w:szCs w:val="24"/>
        </w:rPr>
        <w:t xml:space="preserve"> </w:t>
      </w:r>
      <w:r w:rsidR="00334E73" w:rsidRPr="00334E73">
        <w:rPr>
          <w:rFonts w:ascii="Times New Roman" w:hAnsi="Times New Roman"/>
          <w:color w:val="FF0000"/>
          <w:sz w:val="24"/>
          <w:szCs w:val="24"/>
        </w:rPr>
        <w:t>I would suggest that the authors could discuss the Multi-cellular issue a bit in the</w:t>
      </w:r>
      <w:r w:rsidR="00334E73" w:rsidRPr="00334E7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4E73" w:rsidRPr="00334E73">
        <w:rPr>
          <w:rFonts w:ascii="Times New Roman" w:hAnsi="Times New Roman"/>
          <w:color w:val="FF0000"/>
          <w:sz w:val="24"/>
          <w:szCs w:val="24"/>
        </w:rPr>
        <w:t>manuscript, not only mention this in the response letter to reviewers.</w:t>
      </w:r>
    </w:p>
    <w:p w:rsidR="00F5457A" w:rsidRDefault="00F5457A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0007F" w:rsidRP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EB0DFB">
        <w:rPr>
          <w:rFonts w:ascii="Times New Roman" w:hAnsi="Times New Roman"/>
          <w:b/>
          <w:sz w:val="24"/>
          <w:szCs w:val="24"/>
        </w:rPr>
        <w:t>Response: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34E73" w:rsidRPr="00334E73">
        <w:rPr>
          <w:rFonts w:ascii="Times New Roman" w:hAnsi="Times New Roman"/>
          <w:sz w:val="24"/>
          <w:szCs w:val="24"/>
        </w:rPr>
        <w:t>Th</w:t>
      </w:r>
      <w:r w:rsidR="00334E73">
        <w:rPr>
          <w:rFonts w:ascii="Times New Roman" w:eastAsiaTheme="minorEastAsia" w:hAnsi="Times New Roman"/>
          <w:sz w:val="24"/>
          <w:szCs w:val="24"/>
        </w:rPr>
        <w:t xml:space="preserve">anks for your suggestion. </w:t>
      </w:r>
      <w:r>
        <w:rPr>
          <w:rFonts w:ascii="Times New Roman" w:eastAsiaTheme="minorEastAsia" w:hAnsi="Times New Roman"/>
          <w:sz w:val="24"/>
          <w:szCs w:val="24"/>
        </w:rPr>
        <w:t>We have add</w:t>
      </w:r>
      <w:r w:rsidR="00FF59B9">
        <w:rPr>
          <w:rFonts w:ascii="Times New Roman" w:eastAsiaTheme="minorEastAsia" w:hAnsi="Times New Roman"/>
          <w:sz w:val="24"/>
          <w:szCs w:val="24"/>
        </w:rPr>
        <w:t>ed</w:t>
      </w:r>
      <w:r>
        <w:rPr>
          <w:rFonts w:ascii="Times New Roman" w:eastAsiaTheme="minorEastAsia" w:hAnsi="Times New Roman"/>
          <w:sz w:val="24"/>
          <w:szCs w:val="24"/>
        </w:rPr>
        <w:t xml:space="preserve"> the discus</w:t>
      </w:r>
      <w:r w:rsidRPr="00F5457A">
        <w:rPr>
          <w:rFonts w:ascii="Times New Roman" w:eastAsiaTheme="minorEastAsia" w:hAnsi="Times New Roman"/>
          <w:sz w:val="24"/>
          <w:szCs w:val="24"/>
        </w:rPr>
        <w:t>s</w:t>
      </w:r>
      <w:r w:rsidR="00334E73" w:rsidRPr="00F5457A">
        <w:rPr>
          <w:rFonts w:ascii="Times New Roman" w:hAnsi="Times New Roman"/>
          <w:sz w:val="24"/>
          <w:szCs w:val="24"/>
        </w:rPr>
        <w:t>ion about</w:t>
      </w:r>
      <w:r w:rsidR="00334E73" w:rsidRPr="00F5457A">
        <w:rPr>
          <w:rFonts w:ascii="Times New Roman" w:hAnsi="Times New Roman"/>
          <w:sz w:val="24"/>
          <w:szCs w:val="24"/>
        </w:rPr>
        <w:t xml:space="preserve"> the </w:t>
      </w:r>
      <w:r w:rsidR="00334E73" w:rsidRPr="00F5457A">
        <w:rPr>
          <w:rFonts w:ascii="Times New Roman" w:hAnsi="Times New Roman"/>
          <w:sz w:val="24"/>
          <w:szCs w:val="24"/>
        </w:rPr>
        <w:t>m</w:t>
      </w:r>
      <w:r w:rsidR="00334E73" w:rsidRPr="00F5457A">
        <w:rPr>
          <w:rFonts w:ascii="Times New Roman" w:hAnsi="Times New Roman"/>
          <w:sz w:val="24"/>
          <w:szCs w:val="24"/>
        </w:rPr>
        <w:t>ulti-cellular issue</w:t>
      </w:r>
      <w:r w:rsidR="00334E73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into the section of </w:t>
      </w:r>
      <w:r w:rsidR="00FF59B9">
        <w:rPr>
          <w:rFonts w:ascii="Times New Roman" w:eastAsiaTheme="minorEastAsia" w:hAnsi="Times New Roman"/>
          <w:sz w:val="24"/>
          <w:szCs w:val="24"/>
        </w:rPr>
        <w:t>D</w:t>
      </w:r>
      <w:r>
        <w:rPr>
          <w:rFonts w:ascii="Times New Roman" w:eastAsiaTheme="minorEastAsia" w:hAnsi="Times New Roman"/>
          <w:sz w:val="24"/>
          <w:szCs w:val="24"/>
        </w:rPr>
        <w:t xml:space="preserve">iscussion </w:t>
      </w:r>
      <w:r w:rsidR="002C3536">
        <w:rPr>
          <w:rFonts w:ascii="Times New Roman" w:eastAsiaTheme="minorEastAsia" w:hAnsi="Times New Roman"/>
          <w:sz w:val="24"/>
          <w:szCs w:val="24"/>
        </w:rPr>
        <w:t xml:space="preserve">in the revised manuscript </w:t>
      </w:r>
      <w:r>
        <w:rPr>
          <w:rFonts w:ascii="Times New Roman" w:eastAsiaTheme="minorEastAsia" w:hAnsi="Times New Roman"/>
          <w:sz w:val="24"/>
          <w:szCs w:val="24"/>
        </w:rPr>
        <w:t>with red mark</w:t>
      </w:r>
      <w:r w:rsidR="000955CA">
        <w:rPr>
          <w:rFonts w:ascii="Times New Roman" w:eastAsiaTheme="minorEastAsia" w:hAnsi="Times New Roman"/>
          <w:sz w:val="24"/>
          <w:szCs w:val="24"/>
        </w:rPr>
        <w:t>ed text</w:t>
      </w:r>
      <w:r>
        <w:rPr>
          <w:rFonts w:ascii="Times New Roman" w:eastAsiaTheme="minorEastAsia" w:hAnsi="Times New Roman"/>
          <w:sz w:val="24"/>
          <w:szCs w:val="24"/>
        </w:rPr>
        <w:t>.</w:t>
      </w:r>
    </w:p>
    <w:p w:rsidR="0090007F" w:rsidRPr="004A1648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Pr="00BA4C00" w:rsidRDefault="0090007F" w:rsidP="00CC27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A4C00">
        <w:rPr>
          <w:rFonts w:ascii="Times New Roman" w:hAnsi="Times New Roman"/>
          <w:b/>
          <w:sz w:val="28"/>
          <w:szCs w:val="28"/>
        </w:rPr>
        <w:t>Responses to Reviewer 2’s comments</w:t>
      </w:r>
    </w:p>
    <w:p w:rsidR="00063419" w:rsidRDefault="00063419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F5457A">
        <w:rPr>
          <w:rFonts w:ascii="Times New Roman" w:hAnsi="Times New Roman"/>
          <w:b/>
          <w:color w:val="FF0000"/>
          <w:sz w:val="24"/>
          <w:szCs w:val="24"/>
        </w:rPr>
        <w:t>Comment</w:t>
      </w:r>
      <w:r w:rsidR="00F5457A">
        <w:rPr>
          <w:rFonts w:ascii="Times New Roman" w:hAnsi="Times New Roman"/>
          <w:b/>
          <w:color w:val="FF0000"/>
          <w:sz w:val="24"/>
          <w:szCs w:val="24"/>
        </w:rPr>
        <w:t>:</w:t>
      </w:r>
      <w:r w:rsidRPr="001F562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:rsidR="00BE250F" w:rsidRPr="00BE250F" w:rsidRDefault="00BE250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color w:val="FF0000"/>
          <w:sz w:val="24"/>
          <w:szCs w:val="24"/>
        </w:rPr>
      </w:pP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I believe there must be a mistake either in the standard error calculation, or in the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data reported in Table 2.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 xml:space="preserve">For the SLC5A8 example, 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following the steps outlined in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 xml:space="preserve">http://www.bmj.com/content/343/bmj.d2304, the 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standard error should be 0.658.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Given log10(OR) of 3.80, the z score is 5.775 a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nd the corresponding p-value is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9E-7. Using log10 or logE doesn't matter here a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s long as we've been consistent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 xml:space="preserve">(the SE also reported in log10), because the log 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bases will cancel each other in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the z score.</w:t>
      </w:r>
    </w:p>
    <w:p w:rsidR="00063419" w:rsidRPr="00853663" w:rsidRDefault="00063419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color w:val="FF0000"/>
          <w:sz w:val="24"/>
          <w:szCs w:val="24"/>
        </w:rPr>
      </w:pPr>
    </w:p>
    <w:p w:rsidR="00063419" w:rsidRDefault="00BE250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color w:val="FF0000"/>
          <w:sz w:val="24"/>
          <w:szCs w:val="24"/>
        </w:rPr>
      </w:pP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I was not able to replicate the authors' calculati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on to get the standard error of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1.1515 using their equations 2-4 (in the co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ver letter) and data in Table 2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[log10OR=3.80, 95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% CI for log10OR=(2.51, 5.09)].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</w:p>
    <w:p w:rsidR="00063419" w:rsidRDefault="00063419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color w:val="FF0000"/>
          <w:sz w:val="24"/>
          <w:szCs w:val="24"/>
        </w:rPr>
      </w:pPr>
    </w:p>
    <w:p w:rsidR="0090007F" w:rsidRPr="00433141" w:rsidRDefault="00BE250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I'd ask the authors to review their calculations and if possible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, provide the output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of this SLC5A8 analysis. Assuming the authors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 xml:space="preserve"> obtained the results using the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equation 1 in their cover letter, the output of 's</w:t>
      </w:r>
      <w:r w:rsidR="00063419">
        <w:rPr>
          <w:rFonts w:ascii="Times New Roman" w:eastAsiaTheme="minorEastAsia" w:hAnsi="Times New Roman"/>
          <w:color w:val="FF0000"/>
          <w:sz w:val="24"/>
          <w:szCs w:val="24"/>
        </w:rPr>
        <w:t>ummary(glm)' in R would give us</w:t>
      </w:r>
      <w:r w:rsidR="00063419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t>all the details necessary to figure out what went wrong.</w:t>
      </w:r>
      <w:r w:rsidRPr="00BE250F">
        <w:rPr>
          <w:rFonts w:ascii="Times New Roman" w:eastAsiaTheme="minorEastAsia" w:hAnsi="Times New Roman"/>
          <w:color w:val="FF0000"/>
          <w:sz w:val="24"/>
          <w:szCs w:val="24"/>
        </w:rPr>
        <w:cr/>
      </w:r>
    </w:p>
    <w:p w:rsidR="002D19AA" w:rsidRDefault="0090007F" w:rsidP="00C346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F5457A">
        <w:rPr>
          <w:rFonts w:ascii="Times New Roman" w:hAnsi="Times New Roman"/>
          <w:b/>
          <w:color w:val="FF0000"/>
          <w:sz w:val="24"/>
          <w:szCs w:val="24"/>
        </w:rPr>
        <w:t xml:space="preserve">Response: </w:t>
      </w:r>
    </w:p>
    <w:p w:rsidR="00C3466F" w:rsidRPr="00C3466F" w:rsidRDefault="00E24B95" w:rsidP="00C346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C3466F">
        <w:rPr>
          <w:rFonts w:ascii="Times New Roman" w:hAnsi="Times New Roman"/>
          <w:color w:val="000000" w:themeColor="text1"/>
          <w:sz w:val="24"/>
          <w:szCs w:val="24"/>
        </w:rPr>
        <w:t>Thank</w:t>
      </w:r>
      <w:r w:rsidR="008C1FBA">
        <w:rPr>
          <w:rFonts w:ascii="Times New Roman" w:hAnsi="Times New Roman" w:hint="eastAsia"/>
          <w:color w:val="000000" w:themeColor="text1"/>
          <w:sz w:val="24"/>
          <w:szCs w:val="24"/>
        </w:rPr>
        <w:t>s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 so much for you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 careful check</w:t>
      </w:r>
      <w:r w:rsidR="00625E3F">
        <w:rPr>
          <w:rFonts w:ascii="Times New Roman" w:hAnsi="Times New Roman"/>
          <w:color w:val="000000" w:themeColor="text1"/>
          <w:sz w:val="24"/>
          <w:szCs w:val="24"/>
        </w:rPr>
        <w:t>ing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!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 We 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check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>ed Table 2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 xml:space="preserve"> again</w:t>
      </w:r>
      <w:r w:rsidR="00EB1C0F">
        <w:rPr>
          <w:rFonts w:ascii="Times New Roman" w:hAnsi="Times New Roman"/>
          <w:color w:val="000000" w:themeColor="text1"/>
          <w:sz w:val="24"/>
          <w:szCs w:val="24"/>
        </w:rPr>
        <w:t xml:space="preserve"> and re-analyzed the data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nd found there 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wa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s something wrong with the </w:t>
      </w:r>
      <w:r w:rsidR="002E718A"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footnote of Table 2. </w:t>
      </w:r>
      <w:r w:rsidR="00C3466F" w:rsidRPr="00C3466F">
        <w:rPr>
          <w:rFonts w:ascii="Times New Roman" w:hAnsi="Times New Roman"/>
          <w:color w:val="000000" w:themeColor="text1"/>
          <w:sz w:val="24"/>
          <w:szCs w:val="24"/>
        </w:rPr>
        <w:t>After the modification of the footnote of Table 2</w:t>
      </w:r>
      <w:r w:rsidR="008C1FBA">
        <w:rPr>
          <w:rFonts w:ascii="Times New Roman" w:hAnsi="Times New Roman"/>
          <w:color w:val="000000" w:themeColor="text1"/>
          <w:sz w:val="24"/>
          <w:szCs w:val="24"/>
        </w:rPr>
        <w:t>, al</w:t>
      </w:r>
      <w:r w:rsidR="00C3466F" w:rsidRPr="00C3466F">
        <w:rPr>
          <w:rFonts w:ascii="Times New Roman" w:hAnsi="Times New Roman"/>
          <w:color w:val="000000" w:themeColor="text1"/>
          <w:sz w:val="24"/>
          <w:szCs w:val="24"/>
        </w:rPr>
        <w:t>l the calculations met your deduction</w:t>
      </w:r>
      <w:r w:rsidR="00C3466F">
        <w:rPr>
          <w:rFonts w:ascii="Times New Roman" w:hAnsi="Times New Roman"/>
          <w:color w:val="000000" w:themeColor="text1"/>
          <w:sz w:val="24"/>
          <w:szCs w:val="24"/>
        </w:rPr>
        <w:t xml:space="preserve">. We thank you for your help again. </w:t>
      </w:r>
      <w:r w:rsidR="004D32BB">
        <w:rPr>
          <w:rFonts w:ascii="Times New Roman" w:hAnsi="Times New Roman"/>
          <w:color w:val="000000" w:themeColor="text1"/>
          <w:sz w:val="24"/>
          <w:szCs w:val="24"/>
        </w:rPr>
        <w:t xml:space="preserve">We have changed the </w:t>
      </w:r>
      <w:r w:rsidR="00CD2FD9">
        <w:rPr>
          <w:rFonts w:ascii="Times New Roman" w:hAnsi="Times New Roman"/>
          <w:color w:val="000000" w:themeColor="text1"/>
          <w:sz w:val="24"/>
          <w:szCs w:val="24"/>
        </w:rPr>
        <w:t>footnote of the t</w:t>
      </w:r>
      <w:r w:rsidR="004D32BB">
        <w:rPr>
          <w:rFonts w:ascii="Times New Roman" w:hAnsi="Times New Roman"/>
          <w:color w:val="000000" w:themeColor="text1"/>
          <w:sz w:val="24"/>
          <w:szCs w:val="24"/>
        </w:rPr>
        <w:t xml:space="preserve">able </w:t>
      </w:r>
      <w:r w:rsidR="001F6EE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and </w:t>
      </w:r>
      <w:r w:rsidR="00450193">
        <w:rPr>
          <w:rFonts w:ascii="Times New Roman" w:hAnsi="Times New Roman"/>
          <w:color w:val="000000" w:themeColor="text1"/>
          <w:sz w:val="24"/>
          <w:szCs w:val="24"/>
        </w:rPr>
        <w:t xml:space="preserve">incorporated </w:t>
      </w:r>
      <w:r w:rsidR="001F6EE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 </w:t>
      </w:r>
      <w:r w:rsidR="001F6EE4">
        <w:rPr>
          <w:rFonts w:ascii="Times New Roman" w:hAnsi="Times New Roman"/>
          <w:color w:val="000000" w:themeColor="text1"/>
          <w:sz w:val="24"/>
          <w:szCs w:val="24"/>
        </w:rPr>
        <w:t xml:space="preserve">corresponding </w:t>
      </w:r>
      <w:r w:rsidR="00EB1C0F">
        <w:rPr>
          <w:rFonts w:ascii="Times New Roman" w:hAnsi="Times New Roman"/>
          <w:color w:val="000000" w:themeColor="text1"/>
          <w:sz w:val="24"/>
          <w:szCs w:val="24"/>
        </w:rPr>
        <w:t>description</w:t>
      </w:r>
      <w:r w:rsidR="001F6EE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in the section of the Result </w:t>
      </w:r>
      <w:r w:rsidR="00CC6B4F">
        <w:rPr>
          <w:rFonts w:ascii="Times New Roman" w:eastAsiaTheme="minorEastAsia" w:hAnsi="Times New Roman"/>
          <w:sz w:val="24"/>
          <w:szCs w:val="24"/>
        </w:rPr>
        <w:t xml:space="preserve">in the revised </w:t>
      </w:r>
      <w:r w:rsidR="00CC6B4F">
        <w:rPr>
          <w:rFonts w:ascii="Times New Roman" w:eastAsiaTheme="minorEastAsia" w:hAnsi="Times New Roman"/>
          <w:sz w:val="24"/>
          <w:szCs w:val="24"/>
        </w:rPr>
        <w:t>version</w:t>
      </w:r>
      <w:r w:rsidR="00CC6B4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D32BB">
        <w:rPr>
          <w:rFonts w:ascii="Times New Roman" w:hAnsi="Times New Roman"/>
          <w:color w:val="000000" w:themeColor="text1"/>
          <w:sz w:val="24"/>
          <w:szCs w:val="24"/>
        </w:rPr>
        <w:t>with red colored text.</w:t>
      </w:r>
    </w:p>
    <w:p w:rsidR="00B42772" w:rsidRDefault="00B42772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42772" w:rsidRPr="00C3466F" w:rsidRDefault="00B42772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2772">
        <w:rPr>
          <w:rFonts w:ascii="Times New Roman" w:hAnsi="Times New Roman"/>
          <w:color w:val="000000" w:themeColor="text1"/>
          <w:sz w:val="24"/>
          <w:szCs w:val="24"/>
        </w:rPr>
        <w:t>Actually, P-value</w:t>
      </w:r>
      <w:r w:rsidRPr="00B42772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B42772">
        <w:rPr>
          <w:rFonts w:ascii="Times New Roman" w:hAnsi="Times New Roman"/>
          <w:color w:val="000000" w:themeColor="text1"/>
          <w:sz w:val="24"/>
          <w:szCs w:val="24"/>
        </w:rPr>
        <w:t xml:space="preserve"> is the bonferroni adjusted P-value 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which were based on paired </w:t>
      </w:r>
      <w:r w:rsidRPr="00C3466F">
        <w:rPr>
          <w:rFonts w:ascii="Times New Roman" w:hAnsi="Times New Roman"/>
          <w:i/>
          <w:color w:val="000000" w:themeColor="text1"/>
          <w:sz w:val="24"/>
          <w:szCs w:val="24"/>
        </w:rPr>
        <w:t>t</w:t>
      </w:r>
      <w:r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-test compared the intensity of the methylation signals between case and control. </w:t>
      </w:r>
      <w:r w:rsidR="00C3466F" w:rsidRPr="00C3466F">
        <w:rPr>
          <w:rFonts w:ascii="Times New Roman" w:hAnsi="Times New Roman"/>
          <w:color w:val="000000" w:themeColor="text1"/>
          <w:sz w:val="21"/>
          <w:szCs w:val="24"/>
        </w:rPr>
        <w:t>log</w:t>
      </w:r>
      <w:r w:rsidR="00C3466F" w:rsidRPr="00C3466F">
        <w:rPr>
          <w:rFonts w:ascii="Times New Roman" w:hAnsi="Times New Roman"/>
          <w:color w:val="000000" w:themeColor="text1"/>
          <w:sz w:val="21"/>
          <w:szCs w:val="24"/>
          <w:vertAlign w:val="subscript"/>
        </w:rPr>
        <w:t>10</w:t>
      </w:r>
      <w:r w:rsidR="00C3466F" w:rsidRPr="00C3466F">
        <w:rPr>
          <w:rFonts w:ascii="Times New Roman" w:hAnsi="Times New Roman"/>
          <w:color w:val="000000" w:themeColor="text1"/>
          <w:sz w:val="21"/>
          <w:szCs w:val="24"/>
        </w:rPr>
        <w:t xml:space="preserve">(OR) </w:t>
      </w:r>
      <w:r w:rsidR="00C3466F" w:rsidRPr="00C3466F">
        <w:rPr>
          <w:rFonts w:ascii="Times New Roman" w:hAnsi="Times New Roman"/>
          <w:color w:val="000000" w:themeColor="text1"/>
          <w:szCs w:val="24"/>
        </w:rPr>
        <w:t xml:space="preserve">and </w:t>
      </w:r>
      <w:r w:rsidR="00C3466F" w:rsidRPr="00C3466F">
        <w:rPr>
          <w:rFonts w:ascii="Times New Roman" w:hAnsi="Times New Roman"/>
          <w:color w:val="000000" w:themeColor="text1"/>
          <w:sz w:val="24"/>
          <w:szCs w:val="24"/>
        </w:rPr>
        <w:t>P-value</w:t>
      </w:r>
      <w:r w:rsidR="00C3466F" w:rsidRPr="00C3466F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b</w:t>
      </w:r>
      <w:r w:rsidR="00C3466F" w:rsidRPr="00C3466F">
        <w:rPr>
          <w:rFonts w:ascii="Times New Roman" w:hAnsi="Times New Roman"/>
          <w:color w:val="000000" w:themeColor="text1"/>
          <w:sz w:val="24"/>
          <w:szCs w:val="24"/>
        </w:rPr>
        <w:t xml:space="preserve"> represent log-transformed Odds ratio and </w:t>
      </w:r>
      <w:r w:rsidR="00D4384D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C3466F" w:rsidRPr="00C3466F">
        <w:rPr>
          <w:rFonts w:ascii="Times New Roman" w:hAnsi="Times New Roman"/>
          <w:color w:val="000000" w:themeColor="text1"/>
          <w:sz w:val="24"/>
          <w:szCs w:val="24"/>
        </w:rPr>
        <w:t>-value based on logistic regression adjusted by gender, age and smoking status.</w:t>
      </w:r>
    </w:p>
    <w:p w:rsidR="00B42772" w:rsidRDefault="00B42772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07F" w:rsidRDefault="00CC4F34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we have mentioned in our previous response, t</w:t>
      </w:r>
      <w:r w:rsidR="0090007F">
        <w:rPr>
          <w:rFonts w:ascii="Times New Roman" w:eastAsiaTheme="minorEastAsia" w:hAnsi="Times New Roman"/>
          <w:sz w:val="24"/>
          <w:szCs w:val="24"/>
        </w:rPr>
        <w:t xml:space="preserve">he beta and P-value were calculated by the logistic regression in the R code. </w:t>
      </w:r>
    </w:p>
    <w:p w:rsid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eastAsiaTheme="minorEastAsia" w:hAnsi="Times New Roman"/>
          <w:sz w:val="24"/>
          <w:szCs w:val="24"/>
        </w:rPr>
      </w:pPr>
      <w:r w:rsidRPr="003F0AE6">
        <w:rPr>
          <w:rFonts w:ascii="Times New Roman" w:eastAsiaTheme="minorEastAsia" w:hAnsi="Times New Roman"/>
          <w:sz w:val="24"/>
          <w:szCs w:val="24"/>
        </w:rPr>
        <w:t>glm&lt;- glm(</w:t>
      </w:r>
      <w:r>
        <w:rPr>
          <w:rFonts w:ascii="Times New Roman" w:eastAsiaTheme="minorEastAsia" w:hAnsi="Times New Roman"/>
          <w:sz w:val="24"/>
          <w:szCs w:val="24"/>
        </w:rPr>
        <w:t>y</w:t>
      </w:r>
      <w:r w:rsidRPr="003F0AE6">
        <w:rPr>
          <w:rFonts w:ascii="Times New Roman" w:eastAsiaTheme="minorEastAsia" w:hAnsi="Times New Roman"/>
          <w:sz w:val="24"/>
          <w:szCs w:val="24"/>
        </w:rPr>
        <w:t>~gender+age+</w:t>
      </w:r>
      <w:r w:rsidR="007070DB">
        <w:rPr>
          <w:rFonts w:ascii="Times New Roman" w:eastAsiaTheme="minorEastAsia" w:hAnsi="Times New Roman"/>
          <w:sz w:val="24"/>
          <w:szCs w:val="24"/>
        </w:rPr>
        <w:t>smoking+</w:t>
      </w:r>
      <w:r w:rsidRPr="003F0AE6">
        <w:rPr>
          <w:rFonts w:ascii="Times New Roman" w:eastAsiaTheme="minorEastAsia" w:hAnsi="Times New Roman"/>
          <w:sz w:val="24"/>
          <w:szCs w:val="24"/>
        </w:rPr>
        <w:t>x,data,family=binomial(logit)))</w:t>
      </w:r>
      <w:r>
        <w:rPr>
          <w:rFonts w:ascii="Times New Roman" w:eastAsiaTheme="minorEastAsia" w:hAnsi="Times New Roman"/>
          <w:sz w:val="24"/>
          <w:szCs w:val="24"/>
        </w:rPr>
        <w:t xml:space="preserve">   (1)</w:t>
      </w:r>
    </w:p>
    <w:p w:rsid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90007F" w:rsidRPr="00A54280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beta and </w:t>
      </w:r>
      <w:r>
        <w:rPr>
          <w:rFonts w:ascii="Times New Roman" w:eastAsiaTheme="minorEastAsia" w:hAnsi="Times New Roman"/>
          <w:sz w:val="24"/>
          <w:szCs w:val="24"/>
        </w:rPr>
        <w:t>the standard error (</w:t>
      </w:r>
      <w:r>
        <w:rPr>
          <w:rFonts w:ascii="Times New Roman" w:eastAsiaTheme="minorEastAsia" w:hAnsi="Times New Roman" w:hint="eastAsia"/>
          <w:sz w:val="24"/>
          <w:szCs w:val="24"/>
        </w:rPr>
        <w:t>se</w:t>
      </w:r>
      <w:r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were estimated </w:t>
      </w:r>
      <w:r>
        <w:rPr>
          <w:rFonts w:ascii="Times New Roman" w:eastAsiaTheme="minorEastAsia" w:hAnsi="Times New Roman"/>
          <w:sz w:val="24"/>
          <w:szCs w:val="24"/>
        </w:rPr>
        <w:t xml:space="preserve">by the 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above R </w:t>
      </w:r>
      <w:r>
        <w:rPr>
          <w:rFonts w:ascii="Times New Roman" w:eastAsiaTheme="minorEastAsia" w:hAnsi="Times New Roman"/>
          <w:sz w:val="24"/>
          <w:szCs w:val="24"/>
        </w:rPr>
        <w:t>code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. </w:t>
      </w:r>
      <w:r>
        <w:rPr>
          <w:rFonts w:ascii="Times New Roman" w:eastAsiaTheme="minorEastAsia" w:hAnsi="Times New Roman"/>
          <w:sz w:val="24"/>
          <w:szCs w:val="24"/>
        </w:rPr>
        <w:t>Be careful, the value in the column 4 is based on log10 rather than logE. We can calculate OR and the 95% CI of the OR by the following functions</w:t>
      </w:r>
      <w:r>
        <w:rPr>
          <w:rFonts w:ascii="Times New Roman" w:eastAsiaTheme="minorEastAsia" w:hAnsi="Times New Roman" w:hint="eastAsia"/>
          <w:sz w:val="24"/>
          <w:szCs w:val="24"/>
        </w:rPr>
        <w:t>.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90007F" w:rsidRPr="00EC5751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OR </w:t>
      </w:r>
      <w:r w:rsidRPr="00EC5751">
        <w:rPr>
          <w:rFonts w:ascii="Times New Roman" w:eastAsiaTheme="minorEastAsia" w:hAnsi="Times New Roman"/>
          <w:sz w:val="24"/>
          <w:szCs w:val="24"/>
        </w:rPr>
        <w:t xml:space="preserve">&lt;- </w:t>
      </w:r>
      <w:r>
        <w:rPr>
          <w:rFonts w:ascii="Times New Roman" w:eastAsiaTheme="minorEastAsia" w:hAnsi="Times New Roman"/>
          <w:sz w:val="24"/>
          <w:szCs w:val="24"/>
        </w:rPr>
        <w:t>exp(beta)                   (2)</w:t>
      </w:r>
    </w:p>
    <w:p w:rsidR="0090007F" w:rsidRPr="00EC5751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EC5751">
        <w:rPr>
          <w:rFonts w:ascii="Times New Roman" w:eastAsiaTheme="minorEastAsia" w:hAnsi="Times New Roman"/>
          <w:sz w:val="24"/>
          <w:szCs w:val="24"/>
        </w:rPr>
        <w:t xml:space="preserve">    Up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EC5751">
        <w:rPr>
          <w:rFonts w:ascii="Times New Roman" w:eastAsiaTheme="minorEastAsia" w:hAnsi="Times New Roman"/>
          <w:sz w:val="24"/>
          <w:szCs w:val="24"/>
        </w:rPr>
        <w:t>&lt;- exp(beta+1.96*se)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EC5751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          (3)</w:t>
      </w:r>
    </w:p>
    <w:p w:rsid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ascii="Times New Roman" w:eastAsiaTheme="minorEastAsia" w:hAnsi="Times New Roman"/>
          <w:sz w:val="24"/>
          <w:szCs w:val="24"/>
        </w:rPr>
      </w:pPr>
      <w:r w:rsidRPr="00EC5751">
        <w:rPr>
          <w:rFonts w:ascii="Times New Roman" w:eastAsiaTheme="minorEastAsia" w:hAnsi="Times New Roman"/>
          <w:sz w:val="24"/>
          <w:szCs w:val="24"/>
        </w:rPr>
        <w:t>Low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EC5751">
        <w:rPr>
          <w:rFonts w:ascii="Times New Roman" w:eastAsiaTheme="minorEastAsia" w:hAnsi="Times New Roman"/>
          <w:sz w:val="24"/>
          <w:szCs w:val="24"/>
        </w:rPr>
        <w:t>&lt;-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EC5751">
        <w:rPr>
          <w:rFonts w:ascii="Times New Roman" w:eastAsiaTheme="minorEastAsia" w:hAnsi="Times New Roman"/>
          <w:sz w:val="24"/>
          <w:szCs w:val="24"/>
        </w:rPr>
        <w:t>exp(beta-1.96*se)</w:t>
      </w:r>
      <w:r>
        <w:rPr>
          <w:rFonts w:ascii="Times New Roman" w:eastAsiaTheme="minorEastAsia" w:hAnsi="Times New Roman"/>
          <w:sz w:val="24"/>
          <w:szCs w:val="24"/>
        </w:rPr>
        <w:t xml:space="preserve">           (4)</w:t>
      </w:r>
    </w:p>
    <w:p w:rsidR="00D65A25" w:rsidRDefault="00D65A25" w:rsidP="008D51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hint="eastAsia"/>
          <w:sz w:val="24"/>
          <w:szCs w:val="24"/>
        </w:rPr>
      </w:pPr>
    </w:p>
    <w:p w:rsidR="00D65A25" w:rsidRDefault="00625E3F" w:rsidP="00CC2728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You can find our analysis process as the following: </w:t>
      </w:r>
    </w:p>
    <w:p w:rsidR="00893FCE" w:rsidRDefault="00893FCE" w:rsidP="00CC2728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893FCE" w:rsidRDefault="00893FCE" w:rsidP="00CC2728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ascii="Times New Roman" w:eastAsiaTheme="minorEastAsia" w:hAnsi="Times New Roman"/>
          <w:sz w:val="24"/>
          <w:szCs w:val="24"/>
        </w:rPr>
      </w:pPr>
      <w:r w:rsidRPr="00CC2728">
        <w:rPr>
          <w:rFonts w:ascii="Times New Roman" w:eastAsiaTheme="minorEastAsia" w:hAnsi="Times New Roman"/>
          <w:sz w:val="24"/>
          <w:szCs w:val="24"/>
        </w:rPr>
        <w:t>SLC5A8</w:t>
      </w:r>
      <w:r>
        <w:rPr>
          <w:rFonts w:ascii="Times New Roman" w:eastAsiaTheme="minorEastAsia" w:hAnsi="Times New Roman"/>
          <w:sz w:val="24"/>
          <w:szCs w:val="24"/>
        </w:rPr>
        <w:t xml:space="preserve"> is the 14</w:t>
      </w:r>
      <w:r w:rsidR="00D4384D">
        <w:rPr>
          <w:rFonts w:ascii="Times New Roman" w:eastAsiaTheme="minorEastAsia" w:hAnsi="Times New Roman"/>
          <w:sz w:val="24"/>
          <w:szCs w:val="24"/>
        </w:rPr>
        <w:t>th</w:t>
      </w:r>
      <w:r>
        <w:rPr>
          <w:rFonts w:ascii="Times New Roman" w:eastAsiaTheme="minorEastAsia" w:hAnsi="Times New Roman"/>
          <w:sz w:val="24"/>
          <w:szCs w:val="24"/>
        </w:rPr>
        <w:t xml:space="preserve"> column of the dataset.</w:t>
      </w:r>
    </w:p>
    <w:p w:rsidR="00893FCE" w:rsidRDefault="00893FCE" w:rsidP="00CC2728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D65A25" w:rsidRDefault="002C7F52" w:rsidP="00C3466F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5267325" cy="2743200"/>
            <wp:effectExtent l="19050" t="19050" r="28575" b="19050"/>
            <wp:docPr id="1" name="图片 1" descr="C:\Users\Gsc\Desktop\Screenshot from 2014-12-06 19_43_4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c\Desktop\Screenshot from 2014-12-06 19_43_4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4D32BB" w:rsidRDefault="002C7F52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You can find that the </w:t>
      </w:r>
      <w:r w:rsidRPr="002C7F52">
        <w:rPr>
          <w:rFonts w:ascii="Times New Roman" w:eastAsiaTheme="minorEastAsia" w:hAnsi="Times New Roman"/>
          <w:sz w:val="24"/>
          <w:szCs w:val="24"/>
        </w:rPr>
        <w:t xml:space="preserve">standard error </w:t>
      </w:r>
      <w:r>
        <w:rPr>
          <w:rFonts w:ascii="Times New Roman" w:eastAsiaTheme="minorEastAsia" w:hAnsi="Times New Roman"/>
          <w:sz w:val="24"/>
          <w:szCs w:val="24"/>
        </w:rPr>
        <w:t xml:space="preserve">is 1.515, the </w:t>
      </w:r>
      <w:r w:rsidRPr="002C7F52">
        <w:rPr>
          <w:rFonts w:ascii="Times New Roman" w:eastAsiaTheme="minorEastAsia" w:hAnsi="Times New Roman"/>
          <w:sz w:val="24"/>
          <w:szCs w:val="24"/>
        </w:rPr>
        <w:t xml:space="preserve">coefficient </w:t>
      </w:r>
      <w:r>
        <w:rPr>
          <w:rFonts w:ascii="Times New Roman" w:eastAsiaTheme="minorEastAsia" w:hAnsi="Times New Roman"/>
          <w:sz w:val="24"/>
          <w:szCs w:val="24"/>
        </w:rPr>
        <w:t xml:space="preserve">of the </w:t>
      </w:r>
      <w:r w:rsidRPr="00CC2728">
        <w:rPr>
          <w:rFonts w:ascii="Times New Roman" w:eastAsiaTheme="minorEastAsia" w:hAnsi="Times New Roman"/>
          <w:sz w:val="24"/>
          <w:szCs w:val="24"/>
        </w:rPr>
        <w:t xml:space="preserve">SLC5A8 is 8.748, </w:t>
      </w:r>
      <w:r w:rsidRPr="002C7F52">
        <w:rPr>
          <w:rFonts w:ascii="Times New Roman" w:eastAsiaTheme="minorEastAsia" w:hAnsi="Times New Roman"/>
          <w:sz w:val="24"/>
          <w:szCs w:val="24"/>
        </w:rPr>
        <w:t>the Z score is 5.773</w:t>
      </w:r>
      <w:r>
        <w:rPr>
          <w:rFonts w:ascii="Times New Roman" w:eastAsiaTheme="minorEastAsia" w:hAnsi="Times New Roman"/>
          <w:sz w:val="24"/>
          <w:szCs w:val="24"/>
        </w:rPr>
        <w:t xml:space="preserve"> and the corresponding P-value is 7.8</w:t>
      </w:r>
      <w:r w:rsidR="00D4384D">
        <w:rPr>
          <w:rFonts w:ascii="Times New Roman" w:eastAsiaTheme="minorEastAsia" w:hAnsi="Times New Roman"/>
          <w:sz w:val="24"/>
          <w:szCs w:val="24"/>
        </w:rPr>
        <w:t>0</w:t>
      </w:r>
      <w:r w:rsidRPr="00CC2728">
        <w:rPr>
          <w:rFonts w:ascii="Times New Roman" w:eastAsiaTheme="minorEastAsia" w:hAnsi="Times New Roman"/>
          <w:sz w:val="24"/>
          <w:szCs w:val="24"/>
        </w:rPr>
        <w:t>E-9</w:t>
      </w:r>
      <w:r w:rsidR="00257D42">
        <w:rPr>
          <w:rFonts w:ascii="Times New Roman" w:eastAsiaTheme="minorEastAsia" w:hAnsi="Times New Roman"/>
          <w:sz w:val="24"/>
          <w:szCs w:val="24"/>
        </w:rPr>
        <w:t xml:space="preserve"> (i.e. </w:t>
      </w:r>
      <w:r w:rsidR="00257D42" w:rsidRPr="00257D42">
        <w:rPr>
          <w:rFonts w:ascii="Times New Roman" w:eastAsiaTheme="minorEastAsia" w:hAnsi="Times New Roman"/>
          <w:sz w:val="24"/>
          <w:szCs w:val="24"/>
        </w:rPr>
        <w:t>2*(1-pnorm(</w:t>
      </w:r>
      <w:r w:rsidR="00257D42" w:rsidRPr="002C7F52">
        <w:rPr>
          <w:rFonts w:ascii="Times New Roman" w:eastAsiaTheme="minorEastAsia" w:hAnsi="Times New Roman"/>
          <w:sz w:val="24"/>
          <w:szCs w:val="24"/>
        </w:rPr>
        <w:t>5.773</w:t>
      </w:r>
      <w:r w:rsidR="00257D42" w:rsidRPr="00257D42">
        <w:rPr>
          <w:rFonts w:ascii="Times New Roman" w:eastAsiaTheme="minorEastAsia" w:hAnsi="Times New Roman"/>
          <w:sz w:val="24"/>
          <w:szCs w:val="24"/>
        </w:rPr>
        <w:t>))</w:t>
      </w:r>
      <w:r w:rsidR="00257D42">
        <w:rPr>
          <w:rFonts w:ascii="Times New Roman" w:eastAsiaTheme="minorEastAsia" w:hAnsi="Times New Roman"/>
          <w:sz w:val="24"/>
          <w:szCs w:val="24"/>
        </w:rPr>
        <w:t>)</w:t>
      </w:r>
      <w:r w:rsidR="004D32BB">
        <w:rPr>
          <w:rFonts w:ascii="Times New Roman" w:eastAsiaTheme="minorEastAsia" w:hAnsi="Times New Roman"/>
          <w:sz w:val="24"/>
          <w:szCs w:val="24"/>
        </w:rPr>
        <w:t>.</w:t>
      </w:r>
      <w:r w:rsidR="006E7F23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CC2728" w:rsidRDefault="00CC2728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CC2728" w:rsidRDefault="00CC2728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tbl>
      <w:tblPr>
        <w:tblW w:w="9702" w:type="dxa"/>
        <w:tblInd w:w="93" w:type="dxa"/>
        <w:tblLook w:val="04A0" w:firstRow="1" w:lastRow="0" w:firstColumn="1" w:lastColumn="0" w:noHBand="0" w:noVBand="1"/>
      </w:tblPr>
      <w:tblGrid>
        <w:gridCol w:w="1158"/>
        <w:gridCol w:w="1040"/>
        <w:gridCol w:w="1005"/>
        <w:gridCol w:w="1009"/>
        <w:gridCol w:w="2272"/>
        <w:gridCol w:w="1009"/>
        <w:gridCol w:w="864"/>
        <w:gridCol w:w="864"/>
        <w:gridCol w:w="849"/>
      </w:tblGrid>
      <w:tr w:rsidR="00CC2728" w:rsidRPr="00906B55" w:rsidTr="00BC0B10">
        <w:trPr>
          <w:trHeight w:val="300"/>
        </w:trPr>
        <w:tc>
          <w:tcPr>
            <w:tcW w:w="970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Table 2. Differential Methylation in NSCLCs</w:t>
            </w:r>
          </w:p>
        </w:tc>
      </w:tr>
      <w:tr w:rsidR="00CC2728" w:rsidRPr="00906B55" w:rsidTr="00BC0B10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 xml:space="preserve">　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906B55">
              <w:rPr>
                <w:rFonts w:ascii="Times New Roman" w:hAnsi="Times New Roman"/>
                <w:szCs w:val="24"/>
              </w:rPr>
              <w:t>AMP</w:t>
            </w:r>
          </w:p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Cs w:val="24"/>
              </w:rPr>
              <w:t>(</w:t>
            </w:r>
            <w:r w:rsidRPr="00906B55">
              <w:rPr>
                <w:rFonts w:ascii="Times New Roman" w:hAnsi="Times New Roman"/>
                <w:sz w:val="21"/>
                <w:szCs w:val="24"/>
              </w:rPr>
              <w:t>NSCLC</w:t>
            </w:r>
            <w:r w:rsidRPr="00906B55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906B55">
              <w:rPr>
                <w:rFonts w:ascii="Times New Roman" w:hAnsi="Times New Roman"/>
                <w:szCs w:val="24"/>
              </w:rPr>
              <w:t>AMP</w:t>
            </w:r>
          </w:p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Cs w:val="24"/>
              </w:rPr>
              <w:t>(</w:t>
            </w:r>
            <w:r w:rsidRPr="00906B55">
              <w:rPr>
                <w:rFonts w:ascii="Times New Roman" w:hAnsi="Times New Roman"/>
                <w:sz w:val="21"/>
                <w:szCs w:val="24"/>
              </w:rPr>
              <w:t>Control</w:t>
            </w:r>
            <w:r w:rsidRPr="00906B55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P-value</w:t>
            </w:r>
            <w:r w:rsidRPr="00906B55">
              <w:rPr>
                <w:rFonts w:ascii="Times New Roman" w:hAnsi="Times New Roman"/>
                <w:sz w:val="21"/>
                <w:szCs w:val="24"/>
                <w:vertAlign w:val="superscript"/>
              </w:rPr>
              <w:t>a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log</w:t>
            </w:r>
            <w:r w:rsidRPr="00906B55">
              <w:rPr>
                <w:rFonts w:ascii="Times New Roman" w:hAnsi="Times New Roman"/>
                <w:sz w:val="21"/>
                <w:szCs w:val="24"/>
                <w:vertAlign w:val="subscript"/>
              </w:rPr>
              <w:t>10</w:t>
            </w:r>
            <w:r w:rsidRPr="00906B55">
              <w:rPr>
                <w:rFonts w:ascii="Times New Roman" w:hAnsi="Times New Roman"/>
                <w:sz w:val="21"/>
                <w:szCs w:val="24"/>
              </w:rPr>
              <w:t>(OR) (95%CI)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P-value</w:t>
            </w:r>
            <w:r w:rsidRPr="00906B55">
              <w:rPr>
                <w:rFonts w:ascii="Times New Roman" w:hAnsi="Times New Roman"/>
                <w:sz w:val="21"/>
                <w:szCs w:val="24"/>
                <w:vertAlign w:val="superscript"/>
              </w:rPr>
              <w:t>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Sen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Spe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AUC</w:t>
            </w:r>
          </w:p>
        </w:tc>
      </w:tr>
      <w:tr w:rsidR="00CC2728" w:rsidRPr="00906B55" w:rsidTr="00BC0B10">
        <w:trPr>
          <w:trHeight w:val="2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i/>
                <w:iCs/>
                <w:sz w:val="21"/>
                <w:szCs w:val="24"/>
              </w:rPr>
            </w:pPr>
            <w:r w:rsidRPr="00906B55">
              <w:rPr>
                <w:rFonts w:ascii="Times New Roman" w:hAnsi="Times New Roman"/>
                <w:i/>
                <w:iCs/>
                <w:sz w:val="21"/>
                <w:szCs w:val="24"/>
              </w:rPr>
              <w:t>AGTR1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12.88%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4.48%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1.06E-07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3.49 (2.08, 4.91)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1.30E-06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59.73%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79.59%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0.71</w:t>
            </w:r>
          </w:p>
        </w:tc>
      </w:tr>
      <w:tr w:rsidR="00CC2728" w:rsidRPr="00906B55" w:rsidTr="00BC0B10">
        <w:trPr>
          <w:trHeight w:val="2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i/>
                <w:iCs/>
                <w:sz w:val="21"/>
                <w:szCs w:val="24"/>
              </w:rPr>
            </w:pPr>
            <w:r w:rsidRPr="00906B55">
              <w:rPr>
                <w:rFonts w:ascii="Times New Roman" w:hAnsi="Times New Roman"/>
                <w:i/>
                <w:iCs/>
                <w:sz w:val="21"/>
                <w:szCs w:val="24"/>
              </w:rPr>
              <w:t>GALR1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18.31%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2.91%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6.58E-09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2.56 (1.5, 3.63)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2.30E-06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46.98%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85.03%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0.67</w:t>
            </w:r>
          </w:p>
        </w:tc>
      </w:tr>
      <w:tr w:rsidR="00CC2728" w:rsidRPr="00906B55" w:rsidTr="00BC0B10">
        <w:trPr>
          <w:trHeight w:val="2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i/>
                <w:iCs/>
                <w:sz w:val="21"/>
                <w:szCs w:val="24"/>
              </w:rPr>
            </w:pPr>
            <w:r w:rsidRPr="00906B55">
              <w:rPr>
                <w:rFonts w:ascii="Times New Roman" w:hAnsi="Times New Roman"/>
                <w:i/>
                <w:iCs/>
                <w:sz w:val="21"/>
                <w:szCs w:val="24"/>
              </w:rPr>
              <w:t>NTSR1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9.37%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0.56%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1.09E-09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9.02 (5.48, 12.55)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5.90E-07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44.30%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94.56%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0.70</w:t>
            </w:r>
          </w:p>
        </w:tc>
      </w:tr>
      <w:tr w:rsidR="00CC2728" w:rsidRPr="00906B55" w:rsidTr="00BC0B10">
        <w:trPr>
          <w:trHeight w:val="2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i/>
                <w:iCs/>
                <w:sz w:val="21"/>
                <w:szCs w:val="24"/>
              </w:rPr>
            </w:pPr>
            <w:r w:rsidRPr="00906B55">
              <w:rPr>
                <w:rFonts w:ascii="Times New Roman" w:hAnsi="Times New Roman"/>
                <w:i/>
                <w:iCs/>
                <w:sz w:val="21"/>
                <w:szCs w:val="24"/>
              </w:rPr>
              <w:t>SLC5A8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25.59%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11.66%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4.77E-12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3.80 (2.51, 5.09)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8D513E">
              <w:rPr>
                <w:rFonts w:ascii="Times New Roman" w:hAnsi="Times New Roman"/>
                <w:color w:val="FF0000"/>
                <w:sz w:val="21"/>
                <w:szCs w:val="24"/>
              </w:rPr>
              <w:t>7.80E-09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52.35%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88.44%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0.67</w:t>
            </w:r>
          </w:p>
        </w:tc>
      </w:tr>
      <w:tr w:rsidR="00CC2728" w:rsidRPr="00906B55" w:rsidTr="00BC0B10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i/>
                <w:iCs/>
                <w:sz w:val="21"/>
                <w:szCs w:val="24"/>
              </w:rPr>
            </w:pPr>
            <w:r w:rsidRPr="00906B55">
              <w:rPr>
                <w:rFonts w:ascii="Times New Roman" w:hAnsi="Times New Roman"/>
                <w:i/>
                <w:iCs/>
                <w:sz w:val="21"/>
                <w:szCs w:val="24"/>
              </w:rPr>
              <w:t>ZMYND10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6.95%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12.82%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1.08E-07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-4.61 (-6.27, -2.95)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5.20E-08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73.15%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92.52%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0.80</w:t>
            </w:r>
          </w:p>
        </w:tc>
      </w:tr>
      <w:tr w:rsidR="00CC2728" w:rsidRPr="00906B55" w:rsidTr="00BC0B10">
        <w:trPr>
          <w:trHeight w:val="2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i/>
                <w:iCs/>
                <w:sz w:val="21"/>
                <w:szCs w:val="24"/>
              </w:rPr>
            </w:pPr>
            <w:r w:rsidRPr="00906B55">
              <w:rPr>
                <w:rFonts w:ascii="Times New Roman" w:hAnsi="Times New Roman"/>
                <w:i/>
                <w:iCs/>
                <w:sz w:val="21"/>
                <w:szCs w:val="24"/>
              </w:rPr>
              <w:t>LINE-1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72.10%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76.76%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2.39E-12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6E7F23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-10.3 (-13.5, -7.2)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6E7F23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1.80E-10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</w:t>
            </w:r>
          </w:p>
        </w:tc>
      </w:tr>
      <w:tr w:rsidR="00CC2728" w:rsidRPr="00906B55" w:rsidTr="00BC0B10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Reference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1.78%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1.83%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2.85E-01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6E7F23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-19.37 (-45.35, 6.62)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6E7F23">
            <w:pPr>
              <w:spacing w:after="0" w:line="240" w:lineRule="auto"/>
              <w:jc w:val="right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0.14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2728" w:rsidRPr="00906B55" w:rsidRDefault="00CC2728" w:rsidP="00CC2728">
            <w:pPr>
              <w:spacing w:after="0" w:line="240" w:lineRule="auto"/>
              <w:rPr>
                <w:rFonts w:ascii="Times New Roman" w:hAnsi="Times New Roman"/>
                <w:sz w:val="21"/>
                <w:szCs w:val="24"/>
              </w:rPr>
            </w:pPr>
            <w:r w:rsidRPr="00906B55">
              <w:rPr>
                <w:rFonts w:ascii="Times New Roman" w:hAnsi="Times New Roman"/>
                <w:sz w:val="21"/>
                <w:szCs w:val="24"/>
              </w:rPr>
              <w:t>-</w:t>
            </w:r>
          </w:p>
        </w:tc>
      </w:tr>
    </w:tbl>
    <w:p w:rsidR="00CC2728" w:rsidRPr="00A63793" w:rsidRDefault="00CC2728" w:rsidP="00CC27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A63793">
        <w:rPr>
          <w:rFonts w:ascii="Times New Roman" w:hAnsi="Times New Roman"/>
          <w:color w:val="FF0000"/>
          <w:sz w:val="24"/>
          <w:szCs w:val="24"/>
        </w:rPr>
        <w:lastRenderedPageBreak/>
        <w:t>Differential methylation analysis was conducted between 150 NSCLC and adjacent normal tissues. AMP: Average methylation percentage. P-value</w:t>
      </w:r>
      <w:r w:rsidRPr="00A63793">
        <w:rPr>
          <w:rFonts w:ascii="Times New Roman" w:hAnsi="Times New Roman"/>
          <w:color w:val="FF0000"/>
          <w:sz w:val="24"/>
          <w:szCs w:val="24"/>
          <w:vertAlign w:val="superscript"/>
        </w:rPr>
        <w:t>a</w:t>
      </w:r>
      <w:r w:rsidRPr="00A63793">
        <w:rPr>
          <w:rFonts w:ascii="Times New Roman" w:hAnsi="Times New Roman"/>
          <w:color w:val="FF0000"/>
          <w:sz w:val="24"/>
          <w:szCs w:val="24"/>
        </w:rPr>
        <w:t xml:space="preserve"> is the bonferroni adjusted P-value which were based on paired </w:t>
      </w:r>
      <w:r w:rsidRPr="00A63793">
        <w:rPr>
          <w:rFonts w:ascii="Times New Roman" w:hAnsi="Times New Roman"/>
          <w:i/>
          <w:color w:val="FF0000"/>
          <w:sz w:val="24"/>
          <w:szCs w:val="24"/>
        </w:rPr>
        <w:t>t</w:t>
      </w:r>
      <w:r w:rsidRPr="00A63793">
        <w:rPr>
          <w:rFonts w:ascii="Times New Roman" w:hAnsi="Times New Roman"/>
          <w:color w:val="FF0000"/>
          <w:sz w:val="24"/>
          <w:szCs w:val="24"/>
        </w:rPr>
        <w:t xml:space="preserve">-test compared the intensity of the methylation signals between case and control. </w:t>
      </w:r>
      <w:r w:rsidRPr="00A63793">
        <w:rPr>
          <w:rFonts w:ascii="Times New Roman" w:hAnsi="Times New Roman"/>
          <w:color w:val="FF0000"/>
          <w:sz w:val="21"/>
          <w:szCs w:val="24"/>
        </w:rPr>
        <w:t>log</w:t>
      </w:r>
      <w:r w:rsidRPr="00A63793">
        <w:rPr>
          <w:rFonts w:ascii="Times New Roman" w:hAnsi="Times New Roman"/>
          <w:color w:val="FF0000"/>
          <w:sz w:val="21"/>
          <w:szCs w:val="24"/>
          <w:vertAlign w:val="subscript"/>
        </w:rPr>
        <w:t>10</w:t>
      </w:r>
      <w:r w:rsidRPr="00A63793">
        <w:rPr>
          <w:rFonts w:ascii="Times New Roman" w:hAnsi="Times New Roman"/>
          <w:color w:val="FF0000"/>
          <w:sz w:val="21"/>
          <w:szCs w:val="24"/>
        </w:rPr>
        <w:t xml:space="preserve">(OR) </w:t>
      </w:r>
      <w:r w:rsidRPr="00A63793">
        <w:rPr>
          <w:rFonts w:ascii="Times New Roman" w:hAnsi="Times New Roman"/>
          <w:color w:val="FF0000"/>
          <w:szCs w:val="24"/>
        </w:rPr>
        <w:t xml:space="preserve">and </w:t>
      </w:r>
      <w:r w:rsidRPr="00A63793">
        <w:rPr>
          <w:rFonts w:ascii="Times New Roman" w:hAnsi="Times New Roman"/>
          <w:color w:val="FF0000"/>
          <w:sz w:val="24"/>
          <w:szCs w:val="24"/>
        </w:rPr>
        <w:t>P-value</w:t>
      </w:r>
      <w:r w:rsidRPr="00A63793">
        <w:rPr>
          <w:rFonts w:ascii="Times New Roman" w:hAnsi="Times New Roman"/>
          <w:color w:val="FF0000"/>
          <w:sz w:val="24"/>
          <w:szCs w:val="24"/>
          <w:vertAlign w:val="superscript"/>
        </w:rPr>
        <w:t>b</w:t>
      </w:r>
      <w:r w:rsidRPr="00A63793">
        <w:rPr>
          <w:rFonts w:ascii="Times New Roman" w:hAnsi="Times New Roman"/>
          <w:color w:val="FF0000"/>
          <w:sz w:val="24"/>
          <w:szCs w:val="24"/>
        </w:rPr>
        <w:t xml:space="preserve"> represent log-transformed Odds ratio and p-value based on logistic regression adjusted by gender, age and smoking status. Reference site was a C site that was not in CpG site, therefore, no or low methylated signal would be detected and non-significant association should be detected between cancer and normal tissues. Sensitivity, specificity and AUC were calculated by logistic regression prediction model without adjustment for gender, age and smoking status. </w:t>
      </w:r>
    </w:p>
    <w:p w:rsidR="00CC2728" w:rsidRPr="00906B55" w:rsidRDefault="00CC2728" w:rsidP="00CC2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2728" w:rsidRPr="00CC2728" w:rsidRDefault="00CC2728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CC2728" w:rsidRDefault="00CC2728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E24B95" w:rsidRDefault="00E24B95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E24B95" w:rsidRDefault="00E24B95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E24B95" w:rsidRDefault="00E24B95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E24B95" w:rsidRDefault="00E24B95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E24B95" w:rsidRDefault="00E24B95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90007F" w:rsidRDefault="0090007F" w:rsidP="00CC27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:rsidR="00936BDA" w:rsidRPr="0090007F" w:rsidRDefault="00936BDA" w:rsidP="00CC2728">
      <w:pPr>
        <w:spacing w:after="0" w:line="240" w:lineRule="auto"/>
      </w:pPr>
    </w:p>
    <w:sectPr w:rsidR="00936BDA" w:rsidRPr="0090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EC" w:rsidRDefault="001A6DEC" w:rsidP="0090007F">
      <w:pPr>
        <w:spacing w:after="0" w:line="240" w:lineRule="auto"/>
      </w:pPr>
      <w:r>
        <w:separator/>
      </w:r>
    </w:p>
  </w:endnote>
  <w:endnote w:type="continuationSeparator" w:id="0">
    <w:p w:rsidR="001A6DEC" w:rsidRDefault="001A6DEC" w:rsidP="0090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EC" w:rsidRDefault="001A6DEC" w:rsidP="0090007F">
      <w:pPr>
        <w:spacing w:after="0" w:line="240" w:lineRule="auto"/>
      </w:pPr>
      <w:r>
        <w:separator/>
      </w:r>
    </w:p>
  </w:footnote>
  <w:footnote w:type="continuationSeparator" w:id="0">
    <w:p w:rsidR="001A6DEC" w:rsidRDefault="001A6DEC" w:rsidP="0090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D0B2E"/>
    <w:multiLevelType w:val="hybridMultilevel"/>
    <w:tmpl w:val="7F64AB10"/>
    <w:lvl w:ilvl="0" w:tplc="E152A6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D5E91"/>
    <w:multiLevelType w:val="multilevel"/>
    <w:tmpl w:val="5F1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D9"/>
    <w:rsid w:val="00063419"/>
    <w:rsid w:val="000955CA"/>
    <w:rsid w:val="000E654B"/>
    <w:rsid w:val="001A6DEC"/>
    <w:rsid w:val="001C5F9D"/>
    <w:rsid w:val="001F6EE4"/>
    <w:rsid w:val="002139BD"/>
    <w:rsid w:val="00224726"/>
    <w:rsid w:val="00257D42"/>
    <w:rsid w:val="002A72D9"/>
    <w:rsid w:val="002C3536"/>
    <w:rsid w:val="002C7F52"/>
    <w:rsid w:val="002D19AA"/>
    <w:rsid w:val="002E6C48"/>
    <w:rsid w:val="002E718A"/>
    <w:rsid w:val="00317AE1"/>
    <w:rsid w:val="00322757"/>
    <w:rsid w:val="00333E88"/>
    <w:rsid w:val="00334E73"/>
    <w:rsid w:val="00386F76"/>
    <w:rsid w:val="00450193"/>
    <w:rsid w:val="00476E6D"/>
    <w:rsid w:val="004D32BB"/>
    <w:rsid w:val="00625E3F"/>
    <w:rsid w:val="006E7F23"/>
    <w:rsid w:val="007070DB"/>
    <w:rsid w:val="007C71EC"/>
    <w:rsid w:val="00853663"/>
    <w:rsid w:val="00881B4E"/>
    <w:rsid w:val="00893FCE"/>
    <w:rsid w:val="008C1FBA"/>
    <w:rsid w:val="008D513E"/>
    <w:rsid w:val="0090007F"/>
    <w:rsid w:val="00936BDA"/>
    <w:rsid w:val="00AE60CA"/>
    <w:rsid w:val="00B42772"/>
    <w:rsid w:val="00BB0BCF"/>
    <w:rsid w:val="00BE250F"/>
    <w:rsid w:val="00C3466F"/>
    <w:rsid w:val="00C529F6"/>
    <w:rsid w:val="00CA55E0"/>
    <w:rsid w:val="00CC2728"/>
    <w:rsid w:val="00CC4F34"/>
    <w:rsid w:val="00CC6B4F"/>
    <w:rsid w:val="00CD2FD9"/>
    <w:rsid w:val="00D4384D"/>
    <w:rsid w:val="00D65A25"/>
    <w:rsid w:val="00E24B95"/>
    <w:rsid w:val="00EA20F8"/>
    <w:rsid w:val="00EB1C0F"/>
    <w:rsid w:val="00F5457A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A451E-63B4-4F23-B7A0-1856888B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07F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0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07F"/>
    <w:rPr>
      <w:sz w:val="18"/>
      <w:szCs w:val="18"/>
    </w:rPr>
  </w:style>
  <w:style w:type="paragraph" w:styleId="a5">
    <w:name w:val="Body Text"/>
    <w:basedOn w:val="a"/>
    <w:link w:val="Char1"/>
    <w:rsid w:val="0090007F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Char1">
    <w:name w:val="正文文本 Char"/>
    <w:basedOn w:val="a0"/>
    <w:link w:val="a5"/>
    <w:rsid w:val="0090007F"/>
    <w:rPr>
      <w:rFonts w:ascii="Times New Roman" w:eastAsia="宋体" w:hAnsi="Times New Roman" w:cs="Times New Roman"/>
      <w:kern w:val="0"/>
      <w:sz w:val="24"/>
      <w:szCs w:val="20"/>
    </w:rPr>
  </w:style>
  <w:style w:type="character" w:styleId="a6">
    <w:name w:val="Hyperlink"/>
    <w:rsid w:val="009000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0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cwang@fudan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jcwang</cp:lastModifiedBy>
  <cp:revision>45</cp:revision>
  <dcterms:created xsi:type="dcterms:W3CDTF">2014-12-06T11:31:00Z</dcterms:created>
  <dcterms:modified xsi:type="dcterms:W3CDTF">2014-12-06T13:08:00Z</dcterms:modified>
</cp:coreProperties>
</file>