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E9" w:rsidRDefault="00F31EE9" w:rsidP="00F31EE9">
      <w:pPr>
        <w:pStyle w:val="a6"/>
        <w:spacing w:line="240" w:lineRule="auto"/>
        <w:rPr>
          <w:rFonts w:hint="eastAsia"/>
        </w:rPr>
      </w:pPr>
      <w:r w:rsidRPr="00FE332E">
        <w:t>Professor</w:t>
      </w:r>
      <w:r w:rsidRPr="00FE332E">
        <w:rPr>
          <w:rFonts w:hint="eastAsia"/>
        </w:rPr>
        <w:t xml:space="preserve"> </w:t>
      </w:r>
      <w:r w:rsidRPr="007A4767">
        <w:t xml:space="preserve">Ulrich </w:t>
      </w:r>
      <w:proofErr w:type="spellStart"/>
      <w:r w:rsidRPr="007A4767">
        <w:t>Mahlknecht</w:t>
      </w:r>
      <w:proofErr w:type="spellEnd"/>
    </w:p>
    <w:p w:rsidR="00F31EE9" w:rsidRPr="00FE332E" w:rsidRDefault="00F31EE9" w:rsidP="00F31EE9">
      <w:pPr>
        <w:pStyle w:val="a6"/>
        <w:spacing w:line="240" w:lineRule="auto"/>
        <w:rPr>
          <w:rFonts w:hint="eastAsia"/>
        </w:rPr>
      </w:pPr>
      <w:r w:rsidRPr="00FE332E">
        <w:rPr>
          <w:rFonts w:hint="eastAsia"/>
        </w:rPr>
        <w:t>E</w:t>
      </w:r>
      <w:r w:rsidRPr="00FE332E">
        <w:t>ditor</w:t>
      </w:r>
      <w:r w:rsidRPr="00FE332E">
        <w:rPr>
          <w:rFonts w:hint="eastAsia"/>
        </w:rPr>
        <w:t>-in Chief</w:t>
      </w:r>
    </w:p>
    <w:p w:rsidR="00F31EE9" w:rsidRDefault="00F31EE9" w:rsidP="00F31EE9">
      <w:pPr>
        <w:tabs>
          <w:tab w:val="left" w:pos="6360"/>
        </w:tabs>
        <w:rPr>
          <w:rFonts w:hint="eastAsia"/>
          <w:sz w:val="24"/>
        </w:rPr>
      </w:pPr>
      <w:r w:rsidRPr="00E13FE3">
        <w:rPr>
          <w:sz w:val="24"/>
        </w:rPr>
        <w:t>Clinical Epigenetics</w:t>
      </w:r>
    </w:p>
    <w:p w:rsidR="00F31EE9" w:rsidRPr="00D10A8C" w:rsidRDefault="00F31EE9" w:rsidP="00F31EE9">
      <w:pPr>
        <w:tabs>
          <w:tab w:val="left" w:pos="6360"/>
        </w:tabs>
        <w:ind w:firstLineChars="3100" w:firstLine="7440"/>
        <w:rPr>
          <w:rFonts w:hint="eastAsia"/>
          <w:sz w:val="24"/>
        </w:rPr>
      </w:pPr>
      <w:r>
        <w:rPr>
          <w:rFonts w:hint="eastAsia"/>
          <w:sz w:val="24"/>
        </w:rPr>
        <w:t>Nov 11st</w:t>
      </w:r>
      <w:r w:rsidRPr="00D10A8C">
        <w:rPr>
          <w:sz w:val="24"/>
        </w:rPr>
        <w:t>, 20</w:t>
      </w:r>
      <w:r w:rsidRPr="00D10A8C">
        <w:rPr>
          <w:rFonts w:hint="eastAsia"/>
          <w:sz w:val="24"/>
        </w:rPr>
        <w:t>1</w:t>
      </w:r>
      <w:r>
        <w:rPr>
          <w:rFonts w:hint="eastAsia"/>
          <w:sz w:val="24"/>
        </w:rPr>
        <w:t>3</w:t>
      </w:r>
    </w:p>
    <w:p w:rsidR="00F31EE9" w:rsidRPr="00D10A8C" w:rsidRDefault="00F31EE9" w:rsidP="00F31EE9">
      <w:pPr>
        <w:rPr>
          <w:sz w:val="24"/>
        </w:rPr>
      </w:pPr>
      <w:r w:rsidRPr="00D10A8C">
        <w:rPr>
          <w:sz w:val="24"/>
        </w:rPr>
        <w:t>Dear Professor</w:t>
      </w:r>
      <w:r w:rsidRPr="00B42F6B">
        <w:rPr>
          <w:rFonts w:hint="eastAsia"/>
          <w:sz w:val="24"/>
        </w:rPr>
        <w:t xml:space="preserve"> </w:t>
      </w:r>
      <w:proofErr w:type="spellStart"/>
      <w:r w:rsidRPr="007A4767">
        <w:rPr>
          <w:sz w:val="24"/>
        </w:rPr>
        <w:t>Mahlknecht</w:t>
      </w:r>
      <w:proofErr w:type="spellEnd"/>
      <w:r w:rsidRPr="00D10A8C">
        <w:rPr>
          <w:sz w:val="24"/>
        </w:rPr>
        <w:t>,</w:t>
      </w:r>
    </w:p>
    <w:p w:rsidR="00F31EE9" w:rsidRDefault="00F31EE9" w:rsidP="00F31EE9">
      <w:pPr>
        <w:rPr>
          <w:rFonts w:hint="eastAsia"/>
          <w:sz w:val="24"/>
        </w:rPr>
      </w:pPr>
    </w:p>
    <w:p w:rsidR="00F31EE9" w:rsidRPr="004730C4" w:rsidRDefault="00F31EE9" w:rsidP="00F31EE9">
      <w:pPr>
        <w:pStyle w:val="a6"/>
        <w:spacing w:line="240" w:lineRule="auto"/>
      </w:pPr>
      <w:r w:rsidRPr="00D10A8C">
        <w:t>Enclosed please find out our recent research paper entitled “</w:t>
      </w:r>
      <w:r w:rsidRPr="004730C4">
        <w:t>Diagnos</w:t>
      </w:r>
      <w:r w:rsidRPr="004730C4">
        <w:rPr>
          <w:rFonts w:hint="eastAsia"/>
        </w:rPr>
        <w:t>tic</w:t>
      </w:r>
      <w:r w:rsidRPr="004730C4">
        <w:t xml:space="preserve"> Role of APC Promoter Methylation in Non-Small Cell Lung Cancer</w:t>
      </w:r>
      <w:r w:rsidRPr="004730C4">
        <w:rPr>
          <w:rFonts w:hint="eastAsia"/>
        </w:rPr>
        <w:t xml:space="preserve"> (NSCLC)</w:t>
      </w:r>
      <w:r w:rsidRPr="004730C4">
        <w:t>: An Integrate-Analysis of Published Article</w:t>
      </w:r>
      <w:r w:rsidRPr="004730C4">
        <w:rPr>
          <w:rFonts w:hint="eastAsia"/>
        </w:rPr>
        <w:t>s</w:t>
      </w:r>
      <w:r w:rsidRPr="004730C4">
        <w:t xml:space="preserve"> and Microarray Data</w:t>
      </w:r>
      <w:r w:rsidRPr="00D10A8C">
        <w:t xml:space="preserve">”. </w:t>
      </w:r>
      <w:r w:rsidRPr="004730C4">
        <w:rPr>
          <w:rFonts w:hint="eastAsia"/>
        </w:rPr>
        <w:t xml:space="preserve">APC has been considered one of most important biomarker for early diagnosis of cancer while </w:t>
      </w:r>
      <w:r w:rsidRPr="004730C4">
        <w:t xml:space="preserve">there was still not yet any quantitative assessment </w:t>
      </w:r>
      <w:r w:rsidRPr="004730C4">
        <w:rPr>
          <w:rFonts w:hint="eastAsia"/>
        </w:rPr>
        <w:t xml:space="preserve">for the sensitivity and </w:t>
      </w:r>
      <w:r w:rsidRPr="004730C4">
        <w:t>specificity</w:t>
      </w:r>
      <w:r w:rsidRPr="004730C4">
        <w:rPr>
          <w:rFonts w:hint="eastAsia"/>
        </w:rPr>
        <w:t xml:space="preserve"> in NSCLC.</w:t>
      </w:r>
      <w:r w:rsidRPr="004730C4">
        <w:t xml:space="preserve"> In this report, </w:t>
      </w:r>
      <w:r w:rsidRPr="004730C4">
        <w:rPr>
          <w:rFonts w:hint="eastAsia"/>
        </w:rPr>
        <w:t xml:space="preserve">we </w:t>
      </w:r>
      <w:r w:rsidRPr="004730C4">
        <w:t xml:space="preserve">made a comprehensively assessment on the diagnosis ability of APC promoter </w:t>
      </w:r>
      <w:proofErr w:type="spellStart"/>
      <w:r w:rsidRPr="004730C4">
        <w:t>hypermethylation</w:t>
      </w:r>
      <w:proofErr w:type="spellEnd"/>
      <w:r w:rsidRPr="004730C4">
        <w:t xml:space="preserve"> in NSLCL with a combination of Meta-analysis and independent Microarray dataset from TCGA project.</w:t>
      </w:r>
      <w:r w:rsidRPr="004730C4">
        <w:rPr>
          <w:rFonts w:hint="eastAsia"/>
        </w:rPr>
        <w:t xml:space="preserve"> </w:t>
      </w:r>
      <w:r w:rsidRPr="004730C4">
        <w:t>Three cr</w:t>
      </w:r>
      <w:r w:rsidRPr="00AD41C7">
        <w:t>edible</w:t>
      </w:r>
      <w:r w:rsidRPr="00E603D9">
        <w:rPr>
          <w:rFonts w:hint="eastAsia"/>
        </w:rPr>
        <w:t xml:space="preserve"> </w:t>
      </w:r>
      <w:r w:rsidRPr="003049E5">
        <w:rPr>
          <w:rFonts w:hint="eastAsia"/>
        </w:rPr>
        <w:t>heterogeneity sources</w:t>
      </w:r>
      <w:r>
        <w:t xml:space="preserve"> to the association between </w:t>
      </w:r>
      <w:r w:rsidRPr="004730C4">
        <w:t>APC</w:t>
      </w:r>
      <w:r>
        <w:t xml:space="preserve"> methylation and NSCLC were identified, including primer set, proportion</w:t>
      </w:r>
      <w:r w:rsidRPr="003049E5">
        <w:rPr>
          <w:rFonts w:hint="eastAsia"/>
        </w:rPr>
        <w:t xml:space="preserve"> of </w:t>
      </w:r>
      <w:r w:rsidRPr="003049E5">
        <w:t>adenocarcinoma</w:t>
      </w:r>
      <w:r>
        <w:t xml:space="preserve"> in NSCLC samples. The present study show</w:t>
      </w:r>
      <w:r>
        <w:rPr>
          <w:rFonts w:hint="eastAsia"/>
        </w:rPr>
        <w:t>s</w:t>
      </w:r>
      <w:r>
        <w:t xml:space="preserve"> that t</w:t>
      </w:r>
      <w:r>
        <w:rPr>
          <w:rFonts w:hint="eastAsia"/>
        </w:rPr>
        <w:t xml:space="preserve">he </w:t>
      </w:r>
      <w:r w:rsidRPr="00AD41C7">
        <w:t xml:space="preserve">methylation </w:t>
      </w:r>
      <w:r w:rsidRPr="00AD41C7">
        <w:rPr>
          <w:rFonts w:hint="eastAsia"/>
        </w:rPr>
        <w:t xml:space="preserve">status of </w:t>
      </w:r>
      <w:r w:rsidRPr="004730C4">
        <w:rPr>
          <w:rFonts w:hint="eastAsia"/>
        </w:rPr>
        <w:t>APC</w:t>
      </w:r>
      <w:r w:rsidRPr="00AD41C7">
        <w:rPr>
          <w:rFonts w:hint="eastAsia"/>
        </w:rPr>
        <w:t xml:space="preserve"> </w:t>
      </w:r>
      <w:r w:rsidRPr="00AD41C7">
        <w:t>would be an excellent di</w:t>
      </w:r>
      <w:r w:rsidRPr="00AD41C7">
        <w:rPr>
          <w:rFonts w:hint="eastAsia"/>
        </w:rPr>
        <w:t>a</w:t>
      </w:r>
      <w:r w:rsidRPr="00AD41C7">
        <w:t>gnosis bioma</w:t>
      </w:r>
      <w:r w:rsidRPr="00AD41C7">
        <w:rPr>
          <w:rFonts w:hint="eastAsia"/>
        </w:rPr>
        <w:t>r</w:t>
      </w:r>
      <w:r w:rsidRPr="00AD41C7">
        <w:t>ker</w:t>
      </w:r>
      <w:r w:rsidRPr="0008002F">
        <w:t xml:space="preserve"> </w:t>
      </w:r>
      <w:r w:rsidRPr="00015A42">
        <w:t xml:space="preserve">in remote non-invasive media. In addition, </w:t>
      </w:r>
      <w:r w:rsidRPr="004730C4">
        <w:t>APC</w:t>
      </w:r>
      <w:r w:rsidRPr="00015A42">
        <w:t xml:space="preserve"> methylation test ha</w:t>
      </w:r>
      <w:r>
        <w:rPr>
          <w:rFonts w:hint="eastAsia"/>
        </w:rPr>
        <w:t>s</w:t>
      </w:r>
      <w:r w:rsidRPr="00015A42">
        <w:t xml:space="preserve"> better diagnosis ability in adenocarcinoma</w:t>
      </w:r>
      <w:r>
        <w:t xml:space="preserve"> </w:t>
      </w:r>
      <w:r w:rsidRPr="00015A42">
        <w:t xml:space="preserve">than </w:t>
      </w:r>
      <w:r>
        <w:rPr>
          <w:rFonts w:hint="eastAsia"/>
        </w:rPr>
        <w:t xml:space="preserve">that in </w:t>
      </w:r>
      <w:r w:rsidRPr="00015A42">
        <w:t>squamous cell carcinoma</w:t>
      </w:r>
      <w:r>
        <w:rPr>
          <w:rFonts w:hint="eastAsia"/>
        </w:rPr>
        <w:t>.</w:t>
      </w:r>
      <w:r w:rsidRPr="004730C4">
        <w:rPr>
          <w:rFonts w:hint="eastAsia"/>
        </w:rPr>
        <w:t xml:space="preserve"> </w:t>
      </w:r>
      <w:r w:rsidRPr="004730C4">
        <w:t xml:space="preserve">The study made a professional analysis for methylation diagnostic ability with </w:t>
      </w:r>
      <w:r>
        <w:t>summary receiver operating characteristic c</w:t>
      </w:r>
      <w:r w:rsidRPr="00D42295">
        <w:t>urve</w:t>
      </w:r>
      <w:r>
        <w:t xml:space="preserve"> (</w:t>
      </w:r>
      <w:r w:rsidRPr="004730C4">
        <w:t>SROC</w:t>
      </w:r>
      <w:r>
        <w:t>)</w:t>
      </w:r>
      <w:r w:rsidRPr="004730C4">
        <w:t xml:space="preserve"> and independently validation with methylation microarray data, which we believe, will become to a novel methodology and template for the future methylation meta</w:t>
      </w:r>
      <w:r w:rsidRPr="004730C4">
        <w:rPr>
          <w:rFonts w:hint="eastAsia"/>
        </w:rPr>
        <w:t>-</w:t>
      </w:r>
      <w:r w:rsidRPr="004730C4">
        <w:t>analysis.</w:t>
      </w:r>
    </w:p>
    <w:p w:rsidR="00F31EE9" w:rsidRPr="004730C4" w:rsidRDefault="00F31EE9" w:rsidP="00F31EE9">
      <w:pPr>
        <w:pStyle w:val="a6"/>
        <w:spacing w:line="240" w:lineRule="auto"/>
      </w:pPr>
    </w:p>
    <w:p w:rsidR="00F31EE9" w:rsidRDefault="00F31EE9" w:rsidP="00F31EE9">
      <w:pPr>
        <w:pStyle w:val="a6"/>
        <w:spacing w:line="240" w:lineRule="auto"/>
        <w:rPr>
          <w:rFonts w:hint="eastAsia"/>
        </w:rPr>
      </w:pPr>
      <w:r w:rsidRPr="00D10A8C">
        <w:t>I would greatly appreciate could you consider its suitability for publication in</w:t>
      </w:r>
      <w:r w:rsidRPr="00D10A8C">
        <w:rPr>
          <w:rFonts w:hint="eastAsia"/>
        </w:rPr>
        <w:t xml:space="preserve"> </w:t>
      </w:r>
      <w:r w:rsidRPr="00E13FE3">
        <w:t>Clinical Epigenetics</w:t>
      </w:r>
    </w:p>
    <w:p w:rsidR="00F31EE9" w:rsidRPr="001347DC" w:rsidRDefault="00F31EE9" w:rsidP="00F31EE9">
      <w:pPr>
        <w:pStyle w:val="a6"/>
        <w:spacing w:line="240" w:lineRule="auto"/>
      </w:pPr>
    </w:p>
    <w:p w:rsidR="00F31EE9" w:rsidRPr="00D10A8C" w:rsidRDefault="00F31EE9" w:rsidP="00F31EE9">
      <w:pPr>
        <w:pStyle w:val="a6"/>
        <w:spacing w:line="240" w:lineRule="auto"/>
        <w:rPr>
          <w:rFonts w:hint="eastAsia"/>
        </w:rPr>
      </w:pPr>
      <w:r w:rsidRPr="00D10A8C">
        <w:t xml:space="preserve">All authors have agreed the current version of the paper submitted here and myself as its </w:t>
      </w:r>
      <w:r>
        <w:rPr>
          <w:rFonts w:hint="eastAsia"/>
        </w:rPr>
        <w:t>c</w:t>
      </w:r>
      <w:r w:rsidRPr="00D10A8C">
        <w:t xml:space="preserve">orresponding author. The manuscript has not been and is not submitted to elsewhere for considering publication.  </w:t>
      </w:r>
    </w:p>
    <w:p w:rsidR="00F31EE9" w:rsidRPr="00D10A8C" w:rsidRDefault="00F31EE9" w:rsidP="00F31EE9">
      <w:pPr>
        <w:pStyle w:val="a6"/>
        <w:spacing w:line="240" w:lineRule="auto"/>
      </w:pPr>
    </w:p>
    <w:p w:rsidR="00F31EE9" w:rsidRPr="00D10A8C" w:rsidRDefault="00F31EE9" w:rsidP="00F31EE9">
      <w:pPr>
        <w:pStyle w:val="a6"/>
        <w:spacing w:line="240" w:lineRule="auto"/>
      </w:pPr>
      <w:r w:rsidRPr="00D10A8C">
        <w:t>Thank you very much for your consideration and help with handling the paper for us.</w:t>
      </w:r>
    </w:p>
    <w:p w:rsidR="00F31EE9" w:rsidRDefault="00F31EE9" w:rsidP="00F31EE9">
      <w:pPr>
        <w:pStyle w:val="a6"/>
        <w:spacing w:line="240" w:lineRule="auto"/>
        <w:rPr>
          <w:rFonts w:hint="eastAsia"/>
        </w:rPr>
      </w:pPr>
    </w:p>
    <w:p w:rsidR="00F31EE9" w:rsidRDefault="00F31EE9" w:rsidP="00F31EE9">
      <w:pPr>
        <w:pStyle w:val="a6"/>
        <w:spacing w:line="240" w:lineRule="auto"/>
        <w:rPr>
          <w:rFonts w:hint="eastAsia"/>
        </w:rPr>
      </w:pPr>
    </w:p>
    <w:p w:rsidR="00F31EE9" w:rsidRPr="004C7B5A" w:rsidRDefault="00F31EE9" w:rsidP="00F31EE9">
      <w:pPr>
        <w:pStyle w:val="a6"/>
        <w:spacing w:line="240" w:lineRule="auto"/>
      </w:pPr>
    </w:p>
    <w:p w:rsidR="00F31EE9" w:rsidRDefault="00F31EE9" w:rsidP="00F31EE9">
      <w:pPr>
        <w:pStyle w:val="a6"/>
        <w:spacing w:line="240" w:lineRule="auto"/>
        <w:rPr>
          <w:rFonts w:hint="eastAsia"/>
        </w:rPr>
      </w:pPr>
      <w:r w:rsidRPr="00D10A8C">
        <w:t>Sincerely,</w:t>
      </w:r>
    </w:p>
    <w:p w:rsidR="00F31EE9" w:rsidRDefault="00F31EE9" w:rsidP="00F31EE9">
      <w:pPr>
        <w:pStyle w:val="a6"/>
        <w:spacing w:line="240" w:lineRule="auto"/>
        <w:rPr>
          <w:rFonts w:hint="eastAsia"/>
        </w:rPr>
      </w:pPr>
    </w:p>
    <w:p w:rsidR="00F31EE9" w:rsidRDefault="00F31EE9" w:rsidP="00F31EE9">
      <w:pPr>
        <w:pStyle w:val="a6"/>
        <w:spacing w:line="240" w:lineRule="auto"/>
      </w:pPr>
      <w:proofErr w:type="gramStart"/>
      <w:r>
        <w:t>Jiu-</w:t>
      </w:r>
      <w:proofErr w:type="spellStart"/>
      <w:r>
        <w:t>Cun</w:t>
      </w:r>
      <w:proofErr w:type="spellEnd"/>
      <w:r>
        <w:t xml:space="preserve"> Wang, Ph.D.</w:t>
      </w:r>
      <w:proofErr w:type="gramEnd"/>
      <w:r>
        <w:t xml:space="preserve"> </w:t>
      </w:r>
    </w:p>
    <w:p w:rsidR="00F31EE9" w:rsidRDefault="00F31EE9" w:rsidP="00F31EE9">
      <w:pPr>
        <w:pStyle w:val="a6"/>
        <w:spacing w:line="240" w:lineRule="auto"/>
      </w:pPr>
      <w:r>
        <w:t>Professor,</w:t>
      </w:r>
    </w:p>
    <w:p w:rsidR="00F31EE9" w:rsidRDefault="00F31EE9" w:rsidP="00F31EE9">
      <w:pPr>
        <w:pStyle w:val="a6"/>
        <w:spacing w:line="240" w:lineRule="auto"/>
      </w:pPr>
      <w:r>
        <w:t>School of Life Sciences</w:t>
      </w:r>
      <w:r>
        <w:tab/>
      </w:r>
      <w:r>
        <w:tab/>
      </w:r>
    </w:p>
    <w:p w:rsidR="00F31EE9" w:rsidRDefault="00F31EE9" w:rsidP="00F31EE9">
      <w:pPr>
        <w:pStyle w:val="a6"/>
        <w:spacing w:line="240" w:lineRule="auto"/>
      </w:pPr>
      <w:proofErr w:type="spellStart"/>
      <w:r>
        <w:t>Fudan</w:t>
      </w:r>
      <w:proofErr w:type="spellEnd"/>
      <w:r>
        <w:t xml:space="preserve"> University, </w:t>
      </w:r>
      <w:r>
        <w:tab/>
      </w:r>
    </w:p>
    <w:p w:rsidR="00F31EE9" w:rsidRDefault="00F31EE9" w:rsidP="00F31EE9">
      <w:pPr>
        <w:pStyle w:val="a6"/>
        <w:spacing w:line="240" w:lineRule="auto"/>
      </w:pPr>
      <w:r>
        <w:t>220 Handan Road, Shanghai 200433</w:t>
      </w:r>
    </w:p>
    <w:p w:rsidR="00F31EE9" w:rsidRDefault="00F31EE9" w:rsidP="00F31EE9">
      <w:pPr>
        <w:pStyle w:val="a6"/>
        <w:spacing w:line="240" w:lineRule="auto"/>
      </w:pPr>
      <w:proofErr w:type="gramStart"/>
      <w:r>
        <w:lastRenderedPageBreak/>
        <w:t>People’s Republic of China.</w:t>
      </w:r>
      <w:proofErr w:type="gramEnd"/>
    </w:p>
    <w:p w:rsidR="00F31EE9" w:rsidRDefault="00F31EE9" w:rsidP="00F31EE9">
      <w:pPr>
        <w:pStyle w:val="a6"/>
        <w:spacing w:line="240" w:lineRule="auto"/>
      </w:pPr>
      <w:r>
        <w:t xml:space="preserve">Tel: (+) 86-21-55665499 </w:t>
      </w:r>
    </w:p>
    <w:p w:rsidR="00F31EE9" w:rsidRDefault="00F31EE9" w:rsidP="00F31EE9">
      <w:pPr>
        <w:pStyle w:val="a6"/>
        <w:spacing w:line="240" w:lineRule="auto"/>
      </w:pPr>
      <w:r>
        <w:t>Fax: (+) 86-21-55664885</w:t>
      </w:r>
    </w:p>
    <w:p w:rsidR="00F31EE9" w:rsidRDefault="00F31EE9" w:rsidP="00F31EE9">
      <w:pPr>
        <w:pStyle w:val="a6"/>
        <w:spacing w:line="240" w:lineRule="auto"/>
        <w:rPr>
          <w:rFonts w:hint="eastAsia"/>
        </w:rPr>
      </w:pPr>
      <w:r>
        <w:t>E-mail: jcwang@fudan.edu.cn</w:t>
      </w:r>
    </w:p>
    <w:p w:rsidR="00F31EE9" w:rsidRDefault="00F31EE9" w:rsidP="003436A1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="Arial" w:hint="eastAsia"/>
          <w:color w:val="000000"/>
          <w:shd w:val="clear" w:color="auto" w:fill="FFFFFF"/>
        </w:rPr>
      </w:pPr>
    </w:p>
    <w:p w:rsidR="00F31EE9" w:rsidRDefault="00F31EE9" w:rsidP="003436A1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="Arial" w:hint="eastAsia"/>
          <w:color w:val="000000"/>
          <w:shd w:val="clear" w:color="auto" w:fill="FFFFFF"/>
        </w:rPr>
      </w:pPr>
    </w:p>
    <w:p w:rsidR="00F31EE9" w:rsidRDefault="00F31EE9" w:rsidP="003436A1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="Arial" w:hint="eastAsia"/>
          <w:color w:val="000000"/>
          <w:shd w:val="clear" w:color="auto" w:fill="FFFFFF"/>
        </w:rPr>
      </w:pPr>
    </w:p>
    <w:p w:rsidR="00F31EE9" w:rsidRDefault="00F31EE9" w:rsidP="00F31EE9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="Arial" w:hint="eastAsia"/>
          <w:color w:val="000000"/>
          <w:shd w:val="clear" w:color="auto" w:fill="FFFFFF"/>
        </w:rPr>
      </w:pPr>
      <w:r w:rsidRPr="003436A1">
        <w:rPr>
          <w:rFonts w:asciiTheme="minorHAnsi" w:hAnsiTheme="minorHAnsi" w:cs="Arial"/>
          <w:color w:val="000000"/>
          <w:shd w:val="clear" w:color="auto" w:fill="FFFFFF"/>
        </w:rPr>
        <w:t>T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he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survival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time of Non-small cell lung cancer could be significantly increased if NSCLC could be diagnosis in the early stage. DNA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methylat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ion has been considered one of most promising biomarkers for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early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detection for NSCLC.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I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ntegration analysis to inter-platform genome-wide DNA methylation </w:t>
      </w:r>
      <w:proofErr w:type="spellStart"/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>datastes</w:t>
      </w:r>
      <w:proofErr w:type="spellEnd"/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with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appreciated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data normalization and batch effect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elimination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could provide optimal biomarker combination in a large sample population to obtain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maximum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diagnosis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efficiency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.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W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ith this approach, we identified a 5 gene signature including </w:t>
      </w:r>
      <w:r w:rsidRPr="003436A1">
        <w:rPr>
          <w:rFonts w:asciiTheme="minorHAnsi" w:hAnsiTheme="minorHAnsi" w:cs="Arial"/>
          <w:i/>
          <w:color w:val="000000"/>
          <w:shd w:val="clear" w:color="auto" w:fill="FFFFFF"/>
        </w:rPr>
        <w:t>AGTR1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r w:rsidRPr="003436A1">
        <w:rPr>
          <w:rFonts w:asciiTheme="minorHAnsi" w:hAnsiTheme="minorHAnsi" w:cs="Arial"/>
          <w:i/>
          <w:color w:val="000000"/>
          <w:shd w:val="clear" w:color="auto" w:fill="FFFFFF"/>
        </w:rPr>
        <w:t>GALR1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r w:rsidRPr="003436A1">
        <w:rPr>
          <w:rFonts w:asciiTheme="minorHAnsi" w:hAnsiTheme="minorHAnsi" w:cs="Arial"/>
          <w:i/>
          <w:color w:val="000000"/>
          <w:shd w:val="clear" w:color="auto" w:fill="FFFFFF"/>
        </w:rPr>
        <w:t>SLC5A8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r w:rsidRPr="003436A1">
        <w:rPr>
          <w:rFonts w:asciiTheme="minorHAnsi" w:hAnsiTheme="minorHAnsi" w:cs="Arial"/>
          <w:i/>
          <w:color w:val="000000"/>
          <w:shd w:val="clear" w:color="auto" w:fill="FFFFFF"/>
        </w:rPr>
        <w:t>ZMYND10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 xml:space="preserve"> and </w:t>
      </w:r>
      <w:r w:rsidRPr="003436A1">
        <w:rPr>
          <w:rFonts w:asciiTheme="minorHAnsi" w:hAnsiTheme="minorHAnsi" w:cs="Arial"/>
          <w:i/>
          <w:color w:val="000000"/>
          <w:shd w:val="clear" w:color="auto" w:fill="FFFFFF"/>
        </w:rPr>
        <w:t>NTSR1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,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which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could provide highly diagnosis sensitivity and specificity.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I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t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demonstrates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 that computational biomarker selection combined with independent sample validation would be a promising strategy for diagnosis biomarker </w:t>
      </w:r>
      <w:r w:rsidRPr="003436A1">
        <w:rPr>
          <w:rFonts w:asciiTheme="minorHAnsi" w:hAnsiTheme="minorHAnsi" w:cs="Arial"/>
          <w:color w:val="000000"/>
          <w:shd w:val="clear" w:color="auto" w:fill="FFFFFF"/>
        </w:rPr>
        <w:t>identification</w:t>
      </w:r>
      <w:r w:rsidRPr="003436A1">
        <w:rPr>
          <w:rFonts w:asciiTheme="minorHAnsi" w:hAnsiTheme="minorHAnsi" w:cs="Arial" w:hint="eastAsia"/>
          <w:color w:val="000000"/>
          <w:shd w:val="clear" w:color="auto" w:fill="FFFFFF"/>
        </w:rPr>
        <w:t xml:space="preserve">. </w:t>
      </w:r>
    </w:p>
    <w:p w:rsidR="00F31EE9" w:rsidRPr="00F31EE9" w:rsidRDefault="00F31EE9" w:rsidP="003436A1">
      <w:pPr>
        <w:pStyle w:val="a5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hd w:val="clear" w:color="auto" w:fill="FFFFFF"/>
        </w:rPr>
      </w:pPr>
      <w:bookmarkStart w:id="0" w:name="_GoBack"/>
      <w:bookmarkEnd w:id="0"/>
    </w:p>
    <w:p w:rsidR="0010268F" w:rsidRPr="003436A1" w:rsidRDefault="0010268F">
      <w:pPr>
        <w:rPr>
          <w:sz w:val="24"/>
          <w:szCs w:val="24"/>
        </w:rPr>
      </w:pPr>
    </w:p>
    <w:sectPr w:rsidR="0010268F" w:rsidRPr="0034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A2" w:rsidRDefault="00D66AA2" w:rsidP="00E9677D">
      <w:r>
        <w:separator/>
      </w:r>
    </w:p>
  </w:endnote>
  <w:endnote w:type="continuationSeparator" w:id="0">
    <w:p w:rsidR="00D66AA2" w:rsidRDefault="00D66AA2" w:rsidP="00E9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A2" w:rsidRDefault="00D66AA2" w:rsidP="00E9677D">
      <w:r>
        <w:separator/>
      </w:r>
    </w:p>
  </w:footnote>
  <w:footnote w:type="continuationSeparator" w:id="0">
    <w:p w:rsidR="00D66AA2" w:rsidRDefault="00D66AA2" w:rsidP="00E96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0C"/>
    <w:rsid w:val="0010268F"/>
    <w:rsid w:val="003436A1"/>
    <w:rsid w:val="004212FC"/>
    <w:rsid w:val="00B1390C"/>
    <w:rsid w:val="00D66AA2"/>
    <w:rsid w:val="00E9677D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4</cp:revision>
  <dcterms:created xsi:type="dcterms:W3CDTF">2014-05-12T21:24:00Z</dcterms:created>
  <dcterms:modified xsi:type="dcterms:W3CDTF">2014-05-31T20:51:00Z</dcterms:modified>
</cp:coreProperties>
</file>