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58183" w14:textId="77777777" w:rsidR="001B6E12" w:rsidRPr="00D10A8C" w:rsidRDefault="001B6E12" w:rsidP="001B6E12">
      <w:pPr>
        <w:jc w:val="both"/>
        <w:rPr>
          <w:sz w:val="24"/>
          <w:szCs w:val="24"/>
        </w:rPr>
      </w:pPr>
      <w:r w:rsidRPr="00D10A8C">
        <w:rPr>
          <w:sz w:val="24"/>
          <w:szCs w:val="24"/>
        </w:rPr>
        <w:t>Professor</w:t>
      </w:r>
      <w:r w:rsidRPr="00D10A8C">
        <w:rPr>
          <w:rFonts w:hint="eastAsia"/>
          <w:sz w:val="24"/>
          <w:szCs w:val="24"/>
        </w:rPr>
        <w:t xml:space="preserve"> </w:t>
      </w:r>
      <w:r w:rsidRPr="00D10A8C">
        <w:rPr>
          <w:sz w:val="24"/>
          <w:szCs w:val="24"/>
        </w:rPr>
        <w:t>Kenneth C. Anderson</w:t>
      </w:r>
      <w:bookmarkStart w:id="0" w:name="_GoBack"/>
      <w:bookmarkEnd w:id="0"/>
      <w:r w:rsidRPr="00D10A8C">
        <w:rPr>
          <w:sz w:val="24"/>
          <w:szCs w:val="24"/>
        </w:rPr>
        <w:t xml:space="preserve">  </w:t>
      </w:r>
    </w:p>
    <w:p w14:paraId="77400F86" w14:textId="77777777" w:rsidR="007C0439" w:rsidRDefault="001B6E12" w:rsidP="007C0439">
      <w:pPr>
        <w:rPr>
          <w:sz w:val="24"/>
          <w:szCs w:val="24"/>
        </w:rPr>
      </w:pPr>
      <w:r w:rsidRPr="00D10A8C">
        <w:rPr>
          <w:rFonts w:hint="eastAsia"/>
          <w:sz w:val="24"/>
          <w:szCs w:val="24"/>
        </w:rPr>
        <w:t>E</w:t>
      </w:r>
      <w:r w:rsidRPr="00D10A8C">
        <w:rPr>
          <w:sz w:val="24"/>
          <w:szCs w:val="24"/>
        </w:rPr>
        <w:t>ditor</w:t>
      </w:r>
      <w:r w:rsidRPr="00D10A8C">
        <w:rPr>
          <w:rFonts w:hint="eastAsia"/>
          <w:sz w:val="24"/>
          <w:szCs w:val="24"/>
        </w:rPr>
        <w:t>-in Chief</w:t>
      </w:r>
      <w:bookmarkStart w:id="1" w:name="OLE_LINK23"/>
      <w:bookmarkStart w:id="2" w:name="OLE_LINK24"/>
    </w:p>
    <w:p w14:paraId="625E933A" w14:textId="6AB06857" w:rsidR="001B6E12" w:rsidRPr="007C0439" w:rsidRDefault="001B6E12" w:rsidP="007C0439">
      <w:pPr>
        <w:rPr>
          <w:sz w:val="24"/>
        </w:rPr>
      </w:pPr>
      <w:r w:rsidRPr="00D10A8C">
        <w:rPr>
          <w:rFonts w:hint="eastAsia"/>
          <w:sz w:val="24"/>
          <w:szCs w:val="24"/>
        </w:rPr>
        <w:t>Clinical Cancer Research</w:t>
      </w:r>
      <w:r w:rsidR="007C0439">
        <w:rPr>
          <w:sz w:val="24"/>
          <w:szCs w:val="24"/>
        </w:rPr>
        <w:t xml:space="preserve">                     </w:t>
      </w:r>
      <w:r w:rsidR="006D77F3">
        <w:rPr>
          <w:sz w:val="24"/>
          <w:szCs w:val="24"/>
        </w:rPr>
        <w:t xml:space="preserve">               </w:t>
      </w:r>
      <w:r w:rsidR="007C0439" w:rsidRPr="00D10A8C">
        <w:rPr>
          <w:rFonts w:hint="eastAsia"/>
          <w:sz w:val="24"/>
        </w:rPr>
        <w:t>2</w:t>
      </w:r>
      <w:r w:rsidR="007C0439">
        <w:rPr>
          <w:sz w:val="24"/>
        </w:rPr>
        <w:t>9</w:t>
      </w:r>
      <w:r w:rsidR="007C0439">
        <w:rPr>
          <w:sz w:val="24"/>
          <w:vertAlign w:val="superscript"/>
        </w:rPr>
        <w:t>ed</w:t>
      </w:r>
      <w:r w:rsidR="007C0439" w:rsidRPr="00D10A8C">
        <w:rPr>
          <w:sz w:val="24"/>
        </w:rPr>
        <w:t xml:space="preserve"> </w:t>
      </w:r>
      <w:r w:rsidR="007C0439">
        <w:rPr>
          <w:rFonts w:hint="eastAsia"/>
          <w:sz w:val="24"/>
        </w:rPr>
        <w:t>J</w:t>
      </w:r>
      <w:r w:rsidR="007C0439">
        <w:rPr>
          <w:sz w:val="24"/>
        </w:rPr>
        <w:t>une</w:t>
      </w:r>
      <w:r w:rsidR="007C0439" w:rsidRPr="00D10A8C">
        <w:rPr>
          <w:sz w:val="24"/>
        </w:rPr>
        <w:t>, 20</w:t>
      </w:r>
      <w:r w:rsidR="007C0439" w:rsidRPr="00D10A8C">
        <w:rPr>
          <w:rFonts w:hint="eastAsia"/>
          <w:sz w:val="24"/>
        </w:rPr>
        <w:t>1</w:t>
      </w:r>
      <w:r w:rsidR="007C0439">
        <w:rPr>
          <w:rFonts w:hint="eastAsia"/>
          <w:sz w:val="24"/>
        </w:rPr>
        <w:t>3</w:t>
      </w:r>
    </w:p>
    <w:bookmarkEnd w:id="1"/>
    <w:bookmarkEnd w:id="2"/>
    <w:p w14:paraId="41E3CAFA" w14:textId="77777777" w:rsidR="00AE0438" w:rsidRDefault="00AE0438" w:rsidP="00AE0438">
      <w:pPr>
        <w:ind w:firstLineChars="200" w:firstLine="440"/>
        <w:rPr>
          <w:rFonts w:ascii="Times New Roman" w:hAnsi="Times New Roman"/>
          <w:lang w:eastAsia="zh-CN"/>
        </w:rPr>
      </w:pPr>
      <w:r w:rsidRPr="00C7725C">
        <w:rPr>
          <w:rFonts w:ascii="Times New Roman" w:hAnsi="Times New Roman"/>
        </w:rPr>
        <w:t xml:space="preserve">On behalf of my co-authors, I am submitting the enclosed material </w:t>
      </w:r>
      <w:r w:rsidRPr="00C7725C">
        <w:rPr>
          <w:rFonts w:ascii="Times New Roman" w:hAnsi="Times New Roman"/>
          <w:lang w:eastAsia="zh-CN"/>
        </w:rPr>
        <w:t>“</w:t>
      </w:r>
      <w:r w:rsidRPr="00C7725C">
        <w:rPr>
          <w:rFonts w:ascii="Times New Roman" w:hAnsi="Times New Roman"/>
          <w:i/>
          <w:lang w:eastAsia="zh-CN"/>
        </w:rPr>
        <w:t>Diagnos</w:t>
      </w:r>
      <w:r w:rsidRPr="00C7725C">
        <w:rPr>
          <w:rFonts w:ascii="Times New Roman" w:hAnsi="Times New Roman" w:hint="eastAsia"/>
          <w:i/>
          <w:lang w:eastAsia="zh-CN"/>
        </w:rPr>
        <w:t>tic</w:t>
      </w:r>
      <w:r w:rsidRPr="00C7725C">
        <w:rPr>
          <w:rFonts w:ascii="Times New Roman" w:hAnsi="Times New Roman"/>
          <w:i/>
          <w:lang w:eastAsia="zh-CN"/>
        </w:rPr>
        <w:t xml:space="preserve"> Role of APC Promoter Methylation in Non-Small Cell Lung Cancer</w:t>
      </w:r>
      <w:r w:rsidRPr="00C7725C">
        <w:rPr>
          <w:rFonts w:ascii="Times New Roman" w:hAnsi="Times New Roman" w:hint="eastAsia"/>
          <w:i/>
          <w:lang w:eastAsia="zh-CN"/>
        </w:rPr>
        <w:t xml:space="preserve"> (NSCLC)</w:t>
      </w:r>
      <w:r w:rsidRPr="00C7725C">
        <w:rPr>
          <w:rFonts w:ascii="Times New Roman" w:hAnsi="Times New Roman"/>
          <w:i/>
          <w:lang w:eastAsia="zh-CN"/>
        </w:rPr>
        <w:t>: A Integrate-Analysis of Published Article</w:t>
      </w:r>
      <w:r w:rsidRPr="00C7725C">
        <w:rPr>
          <w:rFonts w:ascii="Times New Roman" w:hAnsi="Times New Roman" w:hint="eastAsia"/>
          <w:i/>
          <w:lang w:eastAsia="zh-CN"/>
        </w:rPr>
        <w:t>s</w:t>
      </w:r>
      <w:r w:rsidRPr="00C7725C">
        <w:rPr>
          <w:rFonts w:ascii="Times New Roman" w:hAnsi="Times New Roman"/>
          <w:i/>
          <w:lang w:eastAsia="zh-CN"/>
        </w:rPr>
        <w:t xml:space="preserve"> and Microarray Data</w:t>
      </w:r>
      <w:r w:rsidRPr="00C7725C">
        <w:rPr>
          <w:rFonts w:ascii="Times New Roman" w:hAnsi="Times New Roman"/>
          <w:lang w:eastAsia="zh-CN"/>
        </w:rPr>
        <w:t>”</w:t>
      </w:r>
      <w:r w:rsidRPr="00C7725C">
        <w:rPr>
          <w:rFonts w:ascii="Times New Roman" w:hAnsi="Times New Roman" w:hint="eastAsia"/>
          <w:lang w:eastAsia="zh-CN"/>
        </w:rPr>
        <w:t xml:space="preserve"> </w:t>
      </w:r>
      <w:r w:rsidRPr="00C7725C">
        <w:rPr>
          <w:rFonts w:ascii="Times New Roman" w:hAnsi="Times New Roman"/>
        </w:rPr>
        <w:t>for possible publication in</w:t>
      </w:r>
      <w:r w:rsidRPr="00C7725C">
        <w:rPr>
          <w:rFonts w:ascii="Times New Roman" w:hAnsi="Times New Roman" w:hint="eastAsia"/>
          <w:lang w:eastAsia="zh-CN"/>
        </w:rPr>
        <w:t xml:space="preserve"> </w:t>
      </w:r>
      <w:r w:rsidR="005C2C22">
        <w:rPr>
          <w:rFonts w:ascii="Times New Roman" w:hAnsi="Times New Roman" w:hint="eastAsia"/>
          <w:i/>
          <w:lang w:eastAsia="zh-CN"/>
        </w:rPr>
        <w:t>Clinical Cancer Research</w:t>
      </w:r>
      <w:r w:rsidRPr="00C7725C">
        <w:rPr>
          <w:rFonts w:ascii="Times New Roman" w:hAnsi="Times New Roman"/>
        </w:rPr>
        <w:t xml:space="preserve">. It has not been submitted for publication nor has it been published in whole or in part elsewhere. I attest to the fact that all authors listed on the title page have read the manuscript, attest to the validity and legitimacy of the data and its interpretation, and agree to its submission to </w:t>
      </w:r>
      <w:r w:rsidR="00573F7B">
        <w:rPr>
          <w:rFonts w:ascii="Times New Roman" w:hAnsi="Times New Roman" w:hint="eastAsia"/>
          <w:i/>
          <w:lang w:eastAsia="zh-CN"/>
        </w:rPr>
        <w:t>Clinical Cancer Research</w:t>
      </w:r>
      <w:r w:rsidRPr="00C7725C">
        <w:rPr>
          <w:rFonts w:ascii="Times New Roman" w:hAnsi="Times New Roman"/>
        </w:rPr>
        <w:t xml:space="preserve">. </w:t>
      </w:r>
    </w:p>
    <w:p w14:paraId="5AEEAE50" w14:textId="77777777" w:rsidR="007F7F10" w:rsidRDefault="00AE0438" w:rsidP="00D509E4">
      <w:pPr>
        <w:spacing w:after="0"/>
        <w:ind w:firstLineChars="200" w:firstLine="440"/>
      </w:pPr>
      <w:r>
        <w:rPr>
          <w:rFonts w:cs="Arial" w:hint="eastAsia"/>
          <w:lang w:eastAsia="zh-CN"/>
        </w:rPr>
        <w:t xml:space="preserve">APC has been considered one of most important biomarker for early diagnosis </w:t>
      </w:r>
      <w:r w:rsidR="007B2582">
        <w:rPr>
          <w:rFonts w:cs="Arial" w:hint="eastAsia"/>
          <w:lang w:eastAsia="zh-CN"/>
        </w:rPr>
        <w:t xml:space="preserve">of cancer </w:t>
      </w:r>
      <w:r>
        <w:rPr>
          <w:rFonts w:cs="Arial" w:hint="eastAsia"/>
          <w:lang w:eastAsia="zh-CN"/>
        </w:rPr>
        <w:t xml:space="preserve">while </w:t>
      </w:r>
      <w:r w:rsidRPr="009E58FC">
        <w:rPr>
          <w:rFonts w:cs="Arial"/>
        </w:rPr>
        <w:t>there was still not ye</w:t>
      </w:r>
      <w:r>
        <w:rPr>
          <w:rFonts w:cs="Arial"/>
        </w:rPr>
        <w:t xml:space="preserve">t any quantitative assessment </w:t>
      </w:r>
      <w:r>
        <w:rPr>
          <w:rFonts w:cs="Arial" w:hint="eastAsia"/>
          <w:lang w:eastAsia="zh-CN"/>
        </w:rPr>
        <w:t xml:space="preserve">for the sensitivity and </w:t>
      </w:r>
      <w:r>
        <w:rPr>
          <w:rFonts w:cs="Arial"/>
          <w:lang w:eastAsia="zh-CN"/>
        </w:rPr>
        <w:t>specificity</w:t>
      </w:r>
      <w:r>
        <w:rPr>
          <w:rFonts w:cs="Arial" w:hint="eastAsia"/>
          <w:lang w:eastAsia="zh-CN"/>
        </w:rPr>
        <w:t xml:space="preserve"> in NSCLC. </w:t>
      </w:r>
      <w:r w:rsidRPr="009E58FC">
        <w:rPr>
          <w:rFonts w:cs="Arial"/>
        </w:rPr>
        <w:t xml:space="preserve">We systematically integrate </w:t>
      </w:r>
      <w:r w:rsidRPr="00AF5F13">
        <w:rPr>
          <w:rFonts w:cs="Arial"/>
        </w:rPr>
        <w:t>3298</w:t>
      </w:r>
      <w:r>
        <w:rPr>
          <w:rFonts w:cs="Arial" w:hint="eastAsia"/>
          <w:lang w:eastAsia="zh-CN"/>
        </w:rPr>
        <w:t xml:space="preserve"> NSCLC and its counterparts from </w:t>
      </w:r>
      <w:r w:rsidRPr="009E58FC">
        <w:rPr>
          <w:rFonts w:cs="Arial"/>
        </w:rPr>
        <w:t xml:space="preserve">published </w:t>
      </w:r>
      <w:r>
        <w:rPr>
          <w:rFonts w:cs="Arial" w:hint="eastAsia"/>
        </w:rPr>
        <w:t>a</w:t>
      </w:r>
      <w:r w:rsidRPr="009E58FC">
        <w:rPr>
          <w:rFonts w:cs="Arial"/>
        </w:rPr>
        <w:t>rticle</w:t>
      </w:r>
      <w:r>
        <w:rPr>
          <w:rFonts w:cs="Arial" w:hint="eastAsia"/>
        </w:rPr>
        <w:t>s</w:t>
      </w:r>
      <w:r w:rsidRPr="009E58FC">
        <w:rPr>
          <w:rFonts w:cs="Arial"/>
        </w:rPr>
        <w:t xml:space="preserve"> and DNA methylation </w:t>
      </w:r>
      <w:r>
        <w:rPr>
          <w:rFonts w:cs="Arial" w:hint="eastAsia"/>
        </w:rPr>
        <w:t>m</w:t>
      </w:r>
      <w:r>
        <w:rPr>
          <w:rFonts w:cs="Arial"/>
        </w:rPr>
        <w:t xml:space="preserve">icroarray </w:t>
      </w:r>
      <w:r>
        <w:rPr>
          <w:rFonts w:cs="Arial" w:hint="eastAsia"/>
        </w:rPr>
        <w:t>d</w:t>
      </w:r>
      <w:r w:rsidRPr="009E58FC">
        <w:rPr>
          <w:rFonts w:cs="Arial"/>
        </w:rPr>
        <w:t>ata to discover the association between DNA methylation and NSCLC.</w:t>
      </w:r>
      <w:r>
        <w:rPr>
          <w:rFonts w:cs="Arial" w:hint="eastAsia"/>
          <w:lang w:eastAsia="zh-CN"/>
        </w:rPr>
        <w:t xml:space="preserve"> </w:t>
      </w:r>
      <w:r w:rsidRPr="009E58FC">
        <w:rPr>
          <w:rFonts w:cs="Arial"/>
        </w:rPr>
        <w:t xml:space="preserve">A significant </w:t>
      </w:r>
      <w:r w:rsidRPr="003049E5">
        <w:t xml:space="preserve">association was observed between APC promoter methylation and Lung cancer, with an aggregated odds ratio (OR) of 3.79 (95%CI 2.22, 6.45) </w:t>
      </w:r>
      <w:r w:rsidRPr="003049E5">
        <w:rPr>
          <w:rFonts w:hint="eastAsia"/>
        </w:rPr>
        <w:t>in</w:t>
      </w:r>
      <w:r w:rsidRPr="003049E5">
        <w:t xml:space="preserve"> random effect model. Pooled sensitivity and specificity were 0.548(95%CI</w:t>
      </w:r>
      <w:r w:rsidRPr="003049E5">
        <w:rPr>
          <w:rFonts w:hint="eastAsia"/>
        </w:rPr>
        <w:t xml:space="preserve">: </w:t>
      </w:r>
      <w:r w:rsidRPr="003049E5">
        <w:t>0.42</w:t>
      </w:r>
      <w:r w:rsidRPr="003049E5">
        <w:rPr>
          <w:rFonts w:hint="eastAsia"/>
        </w:rPr>
        <w:t>-</w:t>
      </w:r>
      <w:r w:rsidRPr="003049E5">
        <w:t>0.6</w:t>
      </w:r>
      <w:r w:rsidRPr="003049E5">
        <w:rPr>
          <w:rFonts w:hint="eastAsia"/>
        </w:rPr>
        <w:t>7</w:t>
      </w:r>
      <w:r w:rsidRPr="003049E5">
        <w:t>,</w:t>
      </w:r>
      <w:r w:rsidRPr="003049E5">
        <w:rPr>
          <w:rFonts w:hint="eastAsia"/>
        </w:rPr>
        <w:t xml:space="preserve"> </w:t>
      </w:r>
      <w:r w:rsidRPr="003049E5">
        <w:t>P&lt;0.0001) and 0.776(95%CI</w:t>
      </w:r>
      <w:r w:rsidRPr="003049E5">
        <w:rPr>
          <w:rFonts w:hint="eastAsia"/>
        </w:rPr>
        <w:t xml:space="preserve">: </w:t>
      </w:r>
      <w:r w:rsidRPr="003049E5">
        <w:t>0.62-0.8</w:t>
      </w:r>
      <w:r w:rsidRPr="003049E5">
        <w:rPr>
          <w:rFonts w:hint="eastAsia"/>
        </w:rPr>
        <w:t>8</w:t>
      </w:r>
      <w:r w:rsidRPr="003049E5">
        <w:t>, P&lt;0.0001)</w:t>
      </w:r>
      <w:r w:rsidRPr="003049E5">
        <w:rPr>
          <w:rFonts w:hint="eastAsia"/>
        </w:rPr>
        <w:t xml:space="preserve">, </w:t>
      </w:r>
      <w:r w:rsidRPr="003049E5">
        <w:t>respectively.</w:t>
      </w:r>
      <w:r w:rsidR="00D10CAA" w:rsidRPr="003049E5">
        <w:t xml:space="preserve"> </w:t>
      </w:r>
      <w:r w:rsidR="00D10CAA" w:rsidRPr="003049E5">
        <w:t>The AUC</w:t>
      </w:r>
      <w:r w:rsidR="00D10CAA" w:rsidRPr="003049E5">
        <w:rPr>
          <w:rFonts w:hint="eastAsia"/>
        </w:rPr>
        <w:t xml:space="preserve"> of the </w:t>
      </w:r>
      <w:r w:rsidR="00D10CAA" w:rsidRPr="003049E5">
        <w:t xml:space="preserve">APC </w:t>
      </w:r>
      <w:r w:rsidR="00D10CAA" w:rsidRPr="003049E5">
        <w:rPr>
          <w:rFonts w:hint="eastAsia"/>
        </w:rPr>
        <w:t>methylation test in NSCLC was 0.6</w:t>
      </w:r>
      <w:r w:rsidR="00D10CAA" w:rsidRPr="003049E5">
        <w:t xml:space="preserve">4, meanwhile larger AUC were found in serum </w:t>
      </w:r>
      <w:r w:rsidR="00D10CAA" w:rsidRPr="003049E5">
        <w:rPr>
          <w:rFonts w:hint="eastAsia"/>
        </w:rPr>
        <w:t xml:space="preserve">group </w:t>
      </w:r>
      <w:r w:rsidR="00D10CAA" w:rsidRPr="003049E5">
        <w:t>(0.67) than in tissues</w:t>
      </w:r>
      <w:r w:rsidR="00D10CAA" w:rsidRPr="003049E5">
        <w:rPr>
          <w:rFonts w:hint="eastAsia"/>
        </w:rPr>
        <w:t xml:space="preserve"> </w:t>
      </w:r>
      <w:r w:rsidR="00D10CAA" w:rsidRPr="003049E5">
        <w:t>(0.64).</w:t>
      </w:r>
      <w:r w:rsidRPr="003049E5">
        <w:rPr>
          <w:rFonts w:hint="eastAsia"/>
        </w:rPr>
        <w:t xml:space="preserve"> And we found the specific of CpG site, </w:t>
      </w:r>
      <w:r w:rsidR="00D10CAA" w:rsidRPr="003049E5">
        <w:t>ratio</w:t>
      </w:r>
      <w:r w:rsidRPr="003049E5">
        <w:rPr>
          <w:rFonts w:hint="eastAsia"/>
        </w:rPr>
        <w:t xml:space="preserve"> of </w:t>
      </w:r>
      <w:r w:rsidRPr="003049E5">
        <w:t>adenocarcinoma</w:t>
      </w:r>
      <w:r w:rsidRPr="003049E5">
        <w:rPr>
          <w:rFonts w:hint="eastAsia"/>
        </w:rPr>
        <w:t xml:space="preserve"> to</w:t>
      </w:r>
      <w:r w:rsidRPr="00D10617">
        <w:t xml:space="preserve"> </w:t>
      </w:r>
      <w:r w:rsidRPr="003049E5">
        <w:t>squamous cell carcinoma</w:t>
      </w:r>
      <w:r w:rsidRPr="003049E5">
        <w:rPr>
          <w:rFonts w:hint="eastAsia"/>
        </w:rPr>
        <w:t xml:space="preserve"> and </w:t>
      </w:r>
      <w:r w:rsidR="006E0257" w:rsidRPr="003049E5">
        <w:t>control type(</w:t>
      </w:r>
      <w:r w:rsidRPr="003049E5">
        <w:t>heterogeneous or autogenous</w:t>
      </w:r>
      <w:r w:rsidR="006E0257" w:rsidRPr="003049E5">
        <w:t>)</w:t>
      </w:r>
      <w:r w:rsidRPr="003049E5">
        <w:t xml:space="preserve"> </w:t>
      </w:r>
      <w:r w:rsidRPr="003049E5">
        <w:rPr>
          <w:rFonts w:hint="eastAsia"/>
        </w:rPr>
        <w:t>were most important heterogeneity sources</w:t>
      </w:r>
      <w:r w:rsidRPr="003049E5">
        <w:t xml:space="preserve">. </w:t>
      </w:r>
      <w:r w:rsidRPr="003049E5">
        <w:rPr>
          <w:rFonts w:hint="eastAsia"/>
        </w:rPr>
        <w:t>G</w:t>
      </w:r>
      <w:r w:rsidRPr="003049E5">
        <w:t>ender, TNM stage</w:t>
      </w:r>
      <w:r w:rsidRPr="003049E5">
        <w:rPr>
          <w:rFonts w:hint="eastAsia"/>
        </w:rPr>
        <w:t>, methylation detection methods, tissue or serum s</w:t>
      </w:r>
      <w:r w:rsidRPr="003049E5">
        <w:t>howed no significant associations with APC methylation in</w:t>
      </w:r>
      <w:r w:rsidRPr="003049E5">
        <w:rPr>
          <w:rFonts w:hint="eastAsia"/>
        </w:rPr>
        <w:t xml:space="preserve"> NSCLC diagnosis</w:t>
      </w:r>
      <w:r w:rsidRPr="003049E5">
        <w:t>.</w:t>
      </w:r>
      <w:r w:rsidRPr="003049E5">
        <w:rPr>
          <w:rFonts w:hint="eastAsia"/>
        </w:rPr>
        <w:t xml:space="preserve"> </w:t>
      </w:r>
      <w:r w:rsidR="00647B64" w:rsidRPr="003049E5">
        <w:t xml:space="preserve">Therefore, </w:t>
      </w:r>
      <w:r w:rsidR="00647B64" w:rsidRPr="00A4694C">
        <w:t>APC promoter hypermethylation would be a promising dignosis biomarker, and better diagnosis efficiency were found for APC methylation test in serum group than that in tissue group, suggesting APC promoter hypermethylation would be an excellent dignosis biomaker in remote non-invasive media.</w:t>
      </w:r>
    </w:p>
    <w:p w14:paraId="11A21692" w14:textId="77777777" w:rsidR="00A23799" w:rsidRPr="003049E5" w:rsidRDefault="00DB2F2A" w:rsidP="00D509E4">
      <w:pPr>
        <w:spacing w:after="0"/>
        <w:ind w:firstLineChars="200" w:firstLine="440"/>
      </w:pPr>
      <w:r w:rsidRPr="003049E5">
        <w:rPr>
          <w:rFonts w:hint="eastAsia"/>
        </w:rPr>
        <w:t>Meta-</w:t>
      </w:r>
      <w:r w:rsidRPr="003049E5">
        <w:t>analysis for the diagnosis role of methylation biomarker</w:t>
      </w:r>
      <w:r w:rsidR="00341B6F" w:rsidRPr="003049E5">
        <w:t xml:space="preserve"> is </w:t>
      </w:r>
      <w:r w:rsidRPr="003049E5">
        <w:t>booming gradually</w:t>
      </w:r>
      <w:r w:rsidR="00D33343" w:rsidRPr="003049E5">
        <w:t xml:space="preserve"> (EJHG, BJC, IJC etc)</w:t>
      </w:r>
      <w:r w:rsidR="00D977F0" w:rsidRPr="003049E5">
        <w:t xml:space="preserve">, along with substantial relevant articles increasing. </w:t>
      </w:r>
      <w:r w:rsidR="00F6558B" w:rsidRPr="003049E5">
        <w:t xml:space="preserve">However, </w:t>
      </w:r>
      <w:r w:rsidR="00C8725D" w:rsidRPr="003049E5">
        <w:t>all these meta-analysis were conducted imitately to the traditional meta-analysis to SNP-risk associated related meta-analsis. The present study made a comprehensive and professional analysis for methylation diagnostic ability with SROC and independently validation w</w:t>
      </w:r>
      <w:r w:rsidR="00301C3E" w:rsidRPr="003049E5">
        <w:t>ith methylation microarray data, which we believe, will become to a novel methodology and template for the future methylation meta analysis.</w:t>
      </w:r>
    </w:p>
    <w:p w14:paraId="12489AE9" w14:textId="77777777" w:rsidR="00AE0438" w:rsidRPr="00CF374B" w:rsidRDefault="00AE0438" w:rsidP="00AE0438">
      <w:pPr>
        <w:ind w:firstLineChars="200" w:firstLine="440"/>
        <w:rPr>
          <w:rFonts w:cs="Arial"/>
        </w:rPr>
      </w:pPr>
      <w:r w:rsidRPr="00C7725C">
        <w:rPr>
          <w:rFonts w:ascii="Times New Roman" w:hAnsi="Times New Roman"/>
          <w:lang w:eastAsia="zh-CN"/>
        </w:rPr>
        <w:t>We certify that we have participated sufficiently in the work to take public responsibility for the appropriateness of the experimental design and method, and the collection, analysis, and interpretation of the data.</w:t>
      </w:r>
    </w:p>
    <w:p w14:paraId="066B9525" w14:textId="77777777" w:rsidR="00AE0438" w:rsidRPr="00C7725C" w:rsidRDefault="00AE0438" w:rsidP="00AE0438">
      <w:pPr>
        <w:rPr>
          <w:rFonts w:ascii="Times New Roman" w:hAnsi="Times New Roman"/>
          <w:lang w:eastAsia="zh-CN"/>
        </w:rPr>
      </w:pPr>
      <w:r w:rsidRPr="00C7725C">
        <w:rPr>
          <w:rFonts w:ascii="Times New Roman" w:hAnsi="Times New Roman"/>
          <w:lang w:eastAsia="zh-CN"/>
        </w:rPr>
        <w:t>Best Regards.</w:t>
      </w:r>
    </w:p>
    <w:p w14:paraId="68455E44" w14:textId="77777777" w:rsidR="00AE0438" w:rsidRPr="00C7725C" w:rsidRDefault="00AE0438" w:rsidP="00AE0438">
      <w:pPr>
        <w:rPr>
          <w:rFonts w:ascii="Times New Roman" w:hAnsi="Times New Roman"/>
          <w:lang w:eastAsia="zh-CN"/>
        </w:rPr>
      </w:pPr>
      <w:r w:rsidRPr="00C7725C">
        <w:rPr>
          <w:rFonts w:ascii="Times New Roman" w:hAnsi="Times New Roman"/>
          <w:lang w:eastAsia="zh-CN"/>
        </w:rPr>
        <w:t>Yours Sincerely,</w:t>
      </w:r>
    </w:p>
    <w:p w14:paraId="483E4EE3" w14:textId="77777777" w:rsidR="00AE0438" w:rsidRPr="00C7725C" w:rsidRDefault="00AE0438" w:rsidP="00AE0438">
      <w:pPr>
        <w:rPr>
          <w:rFonts w:ascii="Times New Roman" w:hAnsi="Times New Roman"/>
          <w:lang w:eastAsia="zh-CN"/>
        </w:rPr>
      </w:pPr>
      <w:r w:rsidRPr="00C7725C">
        <w:rPr>
          <w:rFonts w:ascii="Times New Roman" w:hAnsi="Times New Roman"/>
        </w:rPr>
        <w:t>Name of the corresp</w:t>
      </w:r>
      <w:r>
        <w:rPr>
          <w:rFonts w:ascii="Times New Roman" w:hAnsi="Times New Roman"/>
        </w:rPr>
        <w:t xml:space="preserve">onding </w:t>
      </w:r>
      <w:r>
        <w:rPr>
          <w:rFonts w:ascii="Times New Roman" w:hAnsi="Times New Roman" w:hint="eastAsia"/>
          <w:lang w:eastAsia="zh-CN"/>
        </w:rPr>
        <w:t>a</w:t>
      </w:r>
      <w:r w:rsidRPr="00C7725C">
        <w:rPr>
          <w:rFonts w:ascii="Times New Roman" w:hAnsi="Times New Roman"/>
        </w:rPr>
        <w:t>uthor</w:t>
      </w:r>
      <w:r>
        <w:rPr>
          <w:rFonts w:ascii="Times New Roman" w:hAnsi="Times New Roman" w:hint="eastAsia"/>
          <w:lang w:eastAsia="zh-CN"/>
        </w:rPr>
        <w:t xml:space="preserve"> </w:t>
      </w:r>
      <w:r w:rsidRPr="00C7725C">
        <w:rPr>
          <w:rFonts w:ascii="Times New Roman" w:hAnsi="Times New Roman" w:hint="eastAsia"/>
          <w:lang w:eastAsia="zh-CN"/>
        </w:rPr>
        <w:t>: Juncun Wang</w:t>
      </w:r>
    </w:p>
    <w:p w14:paraId="196541CB" w14:textId="77777777" w:rsidR="00AE0438" w:rsidRDefault="00AE0438" w:rsidP="00AE0438">
      <w:pPr>
        <w:rPr>
          <w:rFonts w:ascii="Times New Roman" w:hAnsi="Times New Roman"/>
          <w:lang w:eastAsia="zh-CN"/>
        </w:rPr>
      </w:pPr>
      <w:r w:rsidRPr="00C7725C">
        <w:rPr>
          <w:rFonts w:ascii="Times New Roman" w:hAnsi="Times New Roman"/>
          <w:lang w:eastAsia="zh-CN"/>
        </w:rPr>
        <w:t>May 12, 2013</w:t>
      </w:r>
    </w:p>
    <w:sectPr w:rsidR="00AE0438" w:rsidSect="00F27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77769" w14:textId="77777777" w:rsidR="00D10CAA" w:rsidRDefault="00D10CAA" w:rsidP="00D10CAA">
      <w:pPr>
        <w:spacing w:after="0" w:line="240" w:lineRule="auto"/>
      </w:pPr>
      <w:r>
        <w:separator/>
      </w:r>
    </w:p>
  </w:endnote>
  <w:endnote w:type="continuationSeparator" w:id="0">
    <w:p w14:paraId="222300E6" w14:textId="77777777" w:rsidR="00D10CAA" w:rsidRDefault="00D10CAA" w:rsidP="00D10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FB0BD" w14:textId="77777777" w:rsidR="00D10CAA" w:rsidRDefault="00D10CAA" w:rsidP="00D10CAA">
      <w:pPr>
        <w:spacing w:after="0" w:line="240" w:lineRule="auto"/>
      </w:pPr>
      <w:r>
        <w:separator/>
      </w:r>
    </w:p>
  </w:footnote>
  <w:footnote w:type="continuationSeparator" w:id="0">
    <w:p w14:paraId="5A5F8C81" w14:textId="77777777" w:rsidR="00D10CAA" w:rsidRDefault="00D10CAA" w:rsidP="00D10C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B50"/>
    <w:rsid w:val="000140AC"/>
    <w:rsid w:val="00054AD8"/>
    <w:rsid w:val="001211F1"/>
    <w:rsid w:val="00136EB0"/>
    <w:rsid w:val="001B25A0"/>
    <w:rsid w:val="001B6E12"/>
    <w:rsid w:val="0029531C"/>
    <w:rsid w:val="00301C3E"/>
    <w:rsid w:val="003049E5"/>
    <w:rsid w:val="00341B6F"/>
    <w:rsid w:val="00365CDA"/>
    <w:rsid w:val="00403EA1"/>
    <w:rsid w:val="00405AAF"/>
    <w:rsid w:val="0044208D"/>
    <w:rsid w:val="004F6B1F"/>
    <w:rsid w:val="00573F7B"/>
    <w:rsid w:val="005A5CCC"/>
    <w:rsid w:val="005B5924"/>
    <w:rsid w:val="005C2C22"/>
    <w:rsid w:val="00647B64"/>
    <w:rsid w:val="00673B57"/>
    <w:rsid w:val="006A1AB3"/>
    <w:rsid w:val="006D77F3"/>
    <w:rsid w:val="006E0257"/>
    <w:rsid w:val="006E1FEA"/>
    <w:rsid w:val="0070485F"/>
    <w:rsid w:val="007B2582"/>
    <w:rsid w:val="007C0439"/>
    <w:rsid w:val="007F7F10"/>
    <w:rsid w:val="008E626C"/>
    <w:rsid w:val="00952C7C"/>
    <w:rsid w:val="009B41BE"/>
    <w:rsid w:val="00A22B68"/>
    <w:rsid w:val="00A23799"/>
    <w:rsid w:val="00A45D4F"/>
    <w:rsid w:val="00AC7C72"/>
    <w:rsid w:val="00AE0438"/>
    <w:rsid w:val="00B01B50"/>
    <w:rsid w:val="00B7104C"/>
    <w:rsid w:val="00C8725D"/>
    <w:rsid w:val="00D10CAA"/>
    <w:rsid w:val="00D33343"/>
    <w:rsid w:val="00D509E4"/>
    <w:rsid w:val="00D55858"/>
    <w:rsid w:val="00D70817"/>
    <w:rsid w:val="00D977F0"/>
    <w:rsid w:val="00DB2F2A"/>
    <w:rsid w:val="00E12B12"/>
    <w:rsid w:val="00E616F1"/>
    <w:rsid w:val="00EA1F23"/>
    <w:rsid w:val="00F6558B"/>
    <w:rsid w:val="00F9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08888"/>
  <w15:docId w15:val="{28180C12-22AB-4B0A-8E8A-627521D3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438"/>
    <w:pPr>
      <w:spacing w:after="200" w:line="276" w:lineRule="auto"/>
    </w:pPr>
    <w:rPr>
      <w:rFonts w:ascii="Calibri" w:eastAsia="宋体"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0CA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10CAA"/>
    <w:rPr>
      <w:rFonts w:ascii="Calibri" w:eastAsia="宋体" w:hAnsi="Calibri" w:cs="Times New Roman"/>
      <w:kern w:val="0"/>
      <w:sz w:val="18"/>
      <w:szCs w:val="18"/>
      <w:lang w:eastAsia="en-US"/>
    </w:rPr>
  </w:style>
  <w:style w:type="paragraph" w:styleId="a4">
    <w:name w:val="footer"/>
    <w:basedOn w:val="a"/>
    <w:link w:val="Char0"/>
    <w:uiPriority w:val="99"/>
    <w:unhideWhenUsed/>
    <w:rsid w:val="00D10CAA"/>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10CAA"/>
    <w:rPr>
      <w:rFonts w:ascii="Calibri" w:eastAsia="宋体" w:hAnsi="Calibri" w:cs="Times New Roman"/>
      <w:kern w:val="0"/>
      <w:sz w:val="18"/>
      <w:szCs w:val="18"/>
      <w:lang w:eastAsia="en-US"/>
    </w:rPr>
  </w:style>
  <w:style w:type="character" w:styleId="a5">
    <w:name w:val="annotation reference"/>
    <w:rsid w:val="001B6E12"/>
    <w:rPr>
      <w:sz w:val="21"/>
      <w:szCs w:val="21"/>
    </w:rPr>
  </w:style>
  <w:style w:type="paragraph" w:styleId="a6">
    <w:name w:val="annotation text"/>
    <w:basedOn w:val="a"/>
    <w:link w:val="Char1"/>
    <w:rsid w:val="001B6E12"/>
    <w:pPr>
      <w:spacing w:after="0" w:line="240" w:lineRule="auto"/>
    </w:pPr>
    <w:rPr>
      <w:rFonts w:ascii="Times New Roman" w:hAnsi="Times New Roman"/>
      <w:sz w:val="20"/>
      <w:szCs w:val="20"/>
      <w:lang w:eastAsia="zh-CN"/>
    </w:rPr>
  </w:style>
  <w:style w:type="character" w:customStyle="1" w:styleId="Char1">
    <w:name w:val="批注文字 Char"/>
    <w:basedOn w:val="a0"/>
    <w:link w:val="a6"/>
    <w:rsid w:val="001B6E12"/>
    <w:rPr>
      <w:rFonts w:ascii="Times New Roman" w:eastAsia="宋体" w:hAnsi="Times New Roman" w:cs="Times New Roman"/>
      <w:kern w:val="0"/>
      <w:sz w:val="20"/>
      <w:szCs w:val="20"/>
    </w:rPr>
  </w:style>
  <w:style w:type="paragraph" w:styleId="a7">
    <w:name w:val="Balloon Text"/>
    <w:basedOn w:val="a"/>
    <w:link w:val="Char2"/>
    <w:uiPriority w:val="99"/>
    <w:semiHidden/>
    <w:unhideWhenUsed/>
    <w:rsid w:val="001B6E12"/>
    <w:pPr>
      <w:spacing w:after="0" w:line="240" w:lineRule="auto"/>
    </w:pPr>
    <w:rPr>
      <w:sz w:val="18"/>
      <w:szCs w:val="18"/>
    </w:rPr>
  </w:style>
  <w:style w:type="character" w:customStyle="1" w:styleId="Char2">
    <w:name w:val="批注框文本 Char"/>
    <w:basedOn w:val="a0"/>
    <w:link w:val="a7"/>
    <w:uiPriority w:val="99"/>
    <w:semiHidden/>
    <w:rsid w:val="001B6E12"/>
    <w:rPr>
      <w:rFonts w:ascii="Calibri" w:eastAsia="宋体" w:hAnsi="Calibri" w:cs="Times New Roman"/>
      <w:kern w:val="0"/>
      <w:sz w:val="18"/>
      <w:szCs w:val="18"/>
      <w:lang w:eastAsia="en-US"/>
    </w:rPr>
  </w:style>
  <w:style w:type="paragraph" w:styleId="a8">
    <w:name w:val="annotation subject"/>
    <w:basedOn w:val="a6"/>
    <w:next w:val="a6"/>
    <w:link w:val="Char3"/>
    <w:uiPriority w:val="99"/>
    <w:semiHidden/>
    <w:unhideWhenUsed/>
    <w:rsid w:val="00A45D4F"/>
    <w:pPr>
      <w:spacing w:after="200" w:line="276" w:lineRule="auto"/>
    </w:pPr>
    <w:rPr>
      <w:rFonts w:ascii="Calibri" w:hAnsi="Calibri"/>
      <w:b/>
      <w:bCs/>
      <w:sz w:val="22"/>
      <w:szCs w:val="22"/>
      <w:lang w:eastAsia="en-US"/>
    </w:rPr>
  </w:style>
  <w:style w:type="character" w:customStyle="1" w:styleId="Char3">
    <w:name w:val="批注主题 Char"/>
    <w:basedOn w:val="Char1"/>
    <w:link w:val="a8"/>
    <w:uiPriority w:val="99"/>
    <w:semiHidden/>
    <w:rsid w:val="00A45D4F"/>
    <w:rPr>
      <w:rFonts w:ascii="Calibri" w:eastAsia="宋体" w:hAnsi="Calibri" w:cs="Times New Roman"/>
      <w:b/>
      <w:bCs/>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32</cp:revision>
  <dcterms:created xsi:type="dcterms:W3CDTF">2013-05-12T12:27:00Z</dcterms:created>
  <dcterms:modified xsi:type="dcterms:W3CDTF">2013-06-30T06:53:00Z</dcterms:modified>
</cp:coreProperties>
</file>