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9A6" w:rsidRPr="005319A6" w:rsidRDefault="005319A6" w:rsidP="005319A6">
      <w:pPr>
        <w:autoSpaceDE w:val="0"/>
        <w:autoSpaceDN w:val="0"/>
        <w:adjustRightInd w:val="0"/>
        <w:jc w:val="left"/>
        <w:rPr>
          <w:rFonts w:ascii="Calibri" w:eastAsia="华文楷体" w:hAnsi="Calibri" w:cs="Arial"/>
          <w:kern w:val="0"/>
          <w:sz w:val="22"/>
        </w:rPr>
      </w:pPr>
      <w:r w:rsidRPr="005319A6">
        <w:rPr>
          <w:rFonts w:ascii="Calibri" w:eastAsia="华文楷体" w:hAnsi="Calibri" w:cs="Arial"/>
          <w:kern w:val="0"/>
          <w:sz w:val="22"/>
        </w:rPr>
        <w:t>Table 1, Basic characteristics of studies included</w:t>
      </w:r>
    </w:p>
    <w:tbl>
      <w:tblPr>
        <w:tblpPr w:leftFromText="180" w:rightFromText="180" w:vertAnchor="page" w:horzAnchor="margin" w:tblpY="2191"/>
        <w:tblW w:w="14174" w:type="dxa"/>
        <w:tblLook w:val="04A0" w:firstRow="1" w:lastRow="0" w:firstColumn="1" w:lastColumn="0" w:noHBand="0" w:noVBand="1"/>
      </w:tblPr>
      <w:tblGrid>
        <w:gridCol w:w="2821"/>
        <w:gridCol w:w="985"/>
        <w:gridCol w:w="932"/>
        <w:gridCol w:w="894"/>
        <w:gridCol w:w="830"/>
        <w:gridCol w:w="1010"/>
        <w:gridCol w:w="988"/>
        <w:gridCol w:w="1153"/>
        <w:gridCol w:w="1239"/>
        <w:gridCol w:w="1460"/>
        <w:gridCol w:w="1097"/>
        <w:gridCol w:w="765"/>
      </w:tblGrid>
      <w:tr w:rsidR="00867AEA" w:rsidRPr="005319A6" w:rsidTr="00867AEA">
        <w:trPr>
          <w:trHeight w:val="948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Author (Published Year)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Sample Type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Age</w:t>
            </w: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vertAlign w:val="superscript"/>
              </w:rPr>
              <w:t>a</w:t>
            </w:r>
            <w:proofErr w:type="spellEnd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 (years)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Stages I 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Stages</w:t>
            </w:r>
          </w:p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I+II %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Gender (M/F)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Patients</w:t>
            </w:r>
          </w:p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(M+/M-)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Control (M+/M-)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Methods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Aim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Multiple </w:t>
            </w: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Targe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  <w:r w:rsidRPr="00926DC7">
              <w:rPr>
                <w:rFonts w:ascii="Calibri" w:eastAsia="Arial Unicode MS" w:hAnsi="Calibri" w:cs="Arial" w:hint="eastAsia"/>
                <w:color w:val="000000"/>
                <w:kern w:val="0"/>
                <w:sz w:val="22"/>
                <w:highlight w:val="red"/>
              </w:rPr>
              <w:t>Ad2Sc</w:t>
            </w: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b/>
                <w:color w:val="FF0000"/>
                <w:kern w:val="0"/>
                <w:sz w:val="22"/>
                <w:highlight w:val="yellow"/>
              </w:rPr>
            </w:pPr>
            <w:r w:rsidRPr="005319A6">
              <w:rPr>
                <w:rFonts w:ascii="Calibri" w:eastAsia="Arial Unicode MS" w:hAnsi="Calibri" w:cs="Arial"/>
                <w:b/>
                <w:color w:val="FF0000"/>
                <w:kern w:val="0"/>
                <w:sz w:val="22"/>
                <w:highlight w:val="yellow"/>
              </w:rPr>
              <w:t>Zhang</w:t>
            </w:r>
            <w:r w:rsidRPr="005319A6">
              <w:rPr>
                <w:rFonts w:ascii="Calibri" w:eastAsia="Arial Unicode MS" w:hAnsi="Calibri" w:cs="Arial"/>
                <w:b/>
                <w:i/>
                <w:iCs/>
                <w:color w:val="FF0000"/>
                <w:kern w:val="0"/>
                <w:sz w:val="22"/>
                <w:highlight w:val="yellow"/>
              </w:rPr>
              <w:t xml:space="preserve"> </w:t>
            </w:r>
            <w:r w:rsidRPr="005319A6">
              <w:rPr>
                <w:rFonts w:ascii="Calibri" w:eastAsia="Arial Unicode MS" w:hAnsi="Calibri" w:cs="Arial"/>
                <w:b/>
                <w:color w:val="FF0000"/>
                <w:kern w:val="0"/>
                <w:sz w:val="22"/>
                <w:highlight w:val="yellow"/>
              </w:rPr>
              <w:t>et al (2011,China)</w:t>
            </w:r>
            <w:r w:rsidRPr="005319A6">
              <w:rPr>
                <w:rFonts w:ascii="Calibri" w:eastAsia="Arial Unicode MS" w:hAnsi="Calibri" w:cs="Arial"/>
                <w:b/>
                <w:color w:val="FF0000"/>
                <w:kern w:val="0"/>
                <w:sz w:val="22"/>
                <w:highlight w:val="yellow"/>
                <w:vertAlign w:val="super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32.05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74.36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 29/39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44/34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10/68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FF0000"/>
                <w:kern w:val="0"/>
                <w:sz w:val="22"/>
                <w:highlight w:val="yellow"/>
              </w:rPr>
            </w:pPr>
            <w:r w:rsidRPr="005319A6">
              <w:rPr>
                <w:rFonts w:ascii="Calibri" w:eastAsia="Arial Unicode MS" w:hAnsi="Calibri" w:cs="Arial"/>
                <w:color w:val="FF0000"/>
                <w:kern w:val="0"/>
                <w:sz w:val="22"/>
                <w:highlight w:val="yellow"/>
              </w:rPr>
              <w:t>Wang et al (2008, China)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 17/28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19/9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1/11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3-D PCR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FF0000"/>
                <w:kern w:val="0"/>
                <w:sz w:val="22"/>
                <w:highlight w:val="yellow"/>
              </w:rPr>
            </w:pPr>
            <w:r w:rsidRPr="005319A6">
              <w:rPr>
                <w:rFonts w:ascii="Calibri" w:eastAsia="Arial Unicode MS" w:hAnsi="Calibri" w:cs="Arial"/>
                <w:color w:val="FF0000"/>
                <w:kern w:val="0"/>
                <w:sz w:val="22"/>
                <w:highlight w:val="yellow"/>
              </w:rPr>
              <w:t>Jin et al (2009, Japan)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66.7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 17/24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27/45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22/41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MethyLight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Non-diagnose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FF0000"/>
                <w:kern w:val="0"/>
                <w:sz w:val="22"/>
                <w:highlight w:val="yellow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FF0000"/>
                <w:kern w:val="0"/>
                <w:sz w:val="22"/>
                <w:highlight w:val="yellow"/>
              </w:rPr>
              <w:t>Feng</w:t>
            </w:r>
            <w:proofErr w:type="spellEnd"/>
            <w:r w:rsidRPr="005319A6">
              <w:rPr>
                <w:rFonts w:ascii="Calibri" w:eastAsia="Arial Unicode MS" w:hAnsi="Calibri" w:cs="Arial"/>
                <w:color w:val="FF0000"/>
                <w:kern w:val="0"/>
                <w:sz w:val="22"/>
                <w:highlight w:val="yellow"/>
              </w:rPr>
              <w:t xml:space="preserve"> et al (2008, USA)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64.3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42.86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78.00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 26/49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26/23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21/28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MethyLight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yellow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yellow"/>
              </w:rPr>
              <w:t>Brabender</w:t>
            </w:r>
            <w:proofErr w:type="spellEnd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yellow"/>
              </w:rPr>
              <w:t xml:space="preserve"> et al (2001, USA)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63.3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49.45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 69/91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86/5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80/11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q</w:t>
            </w:r>
            <w:r w:rsidRPr="005319A6">
              <w:rPr>
                <w:rFonts w:ascii="Calibri" w:eastAsia="Arial Unicode MS" w:hAnsi="Calibri" w:cs="Arial" w:hint="eastAsia"/>
                <w:color w:val="000000"/>
                <w:kern w:val="0"/>
                <w:sz w:val="22"/>
              </w:rPr>
              <w:t>MSP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Non-diagnose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SIngle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yellow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yellow"/>
              </w:rPr>
              <w:t>Virmani</w:t>
            </w:r>
            <w:proofErr w:type="spellEnd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yellow"/>
              </w:rPr>
              <w:t xml:space="preserve"> et al (2001, USA)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22/26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0/18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  <w:t>Yanagawa</w:t>
            </w:r>
            <w:proofErr w:type="spellEnd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  <w:t xml:space="preserve"> et al (2003, Japan)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 67.3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66.67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74.67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 18/25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28/47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36/39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  <w:t>Topaloglu</w:t>
            </w:r>
            <w:proofErr w:type="spellEnd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  <w:t xml:space="preserve"> et al (2004, USA)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54.84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83.87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17/14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5/17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qMSP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  <w:t>Kim et al (2007, Korea)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56.57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74.00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 64/79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48/41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33/66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MSP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Non-diagnose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  <w:t>Vallbohmer</w:t>
            </w:r>
            <w:proofErr w:type="spellEnd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  <w:t xml:space="preserve"> et al (2006, USA)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49.45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70.00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 69/91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86/5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80/3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PCR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Non-diagnose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  <w:t>Lin et al (2009, China)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61.1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100.00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100.00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 20/31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49/75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  <w:t>Shivapurkar</w:t>
            </w:r>
            <w:proofErr w:type="spellEnd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  <w:t xml:space="preserve"> et al (2007, USA)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35/5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23/17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q</w:t>
            </w:r>
            <w:r w:rsidRPr="005319A6">
              <w:rPr>
                <w:rFonts w:ascii="Calibri" w:eastAsia="Arial Unicode MS" w:hAnsi="Calibri" w:cs="Arial" w:hint="eastAsia"/>
                <w:color w:val="000000"/>
                <w:kern w:val="0"/>
                <w:sz w:val="22"/>
              </w:rPr>
              <w:t>MSP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Cyan"/>
              </w:rPr>
              <w:t>Suzuki et al (2006, Japan)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tissue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34.00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 33/49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53/97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3/57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Non-diagnose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b/>
                <w:color w:val="000000"/>
                <w:kern w:val="0"/>
                <w:sz w:val="22"/>
                <w:highlight w:val="darkYellow"/>
              </w:rPr>
            </w:pPr>
            <w:r w:rsidRPr="005319A6">
              <w:rPr>
                <w:rFonts w:ascii="Calibri" w:eastAsia="Arial Unicode MS" w:hAnsi="Calibri" w:cs="Arial"/>
                <w:b/>
                <w:color w:val="000000"/>
                <w:kern w:val="0"/>
                <w:sz w:val="22"/>
                <w:highlight w:val="darkYellow"/>
              </w:rPr>
              <w:t>Zhang et al (2011, China)</w:t>
            </w:r>
            <w:r w:rsidRPr="005319A6">
              <w:rPr>
                <w:rFonts w:ascii="Calibri" w:eastAsia="Arial Unicode MS" w:hAnsi="Calibri" w:cs="Arial"/>
                <w:b/>
                <w:color w:val="000000"/>
                <w:kern w:val="0"/>
                <w:sz w:val="22"/>
                <w:highlight w:val="darkYellow"/>
                <w:vertAlign w:val="superscript"/>
              </w:rPr>
              <w:t xml:space="preserve">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serum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54/56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5/45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Yellow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Yellow"/>
              </w:rPr>
              <w:t>Pan et al (2009,China)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serum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 17/26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40/38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0/31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qMSP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Yellow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Yellow"/>
              </w:rPr>
              <w:t>Begum et al (2011, USA)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serum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 xml:space="preserve"> 10/19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12/64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3/27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qMSP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3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Yellow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Yellow"/>
              </w:rPr>
              <w:t>Rykova</w:t>
            </w:r>
            <w:proofErr w:type="spellEnd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Yellow"/>
              </w:rPr>
              <w:t xml:space="preserve"> et al (2004, Russia)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serum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3/6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0/16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MSP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  <w:tr w:rsidR="00867AEA" w:rsidRPr="005319A6" w:rsidTr="00867AEA">
        <w:trPr>
          <w:trHeight w:val="24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Yellow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Yellow"/>
              </w:rPr>
              <w:t>Usadel</w:t>
            </w:r>
            <w:proofErr w:type="spellEnd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darkYellow"/>
              </w:rPr>
              <w:t xml:space="preserve"> et al (2002, USA)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serum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64.2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42/47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0/50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proofErr w:type="spellStart"/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qMSP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Diagnose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7AEA" w:rsidRPr="005319A6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</w:rPr>
            </w:pPr>
            <w:r w:rsidRPr="005319A6">
              <w:rPr>
                <w:rFonts w:ascii="Calibri" w:eastAsia="Arial Unicode MS" w:hAnsi="Calibri" w:cs="Arial"/>
                <w:color w:val="000000"/>
                <w:kern w:val="0"/>
                <w:sz w:val="22"/>
              </w:rPr>
              <w:t>Single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67AEA" w:rsidRPr="00926DC7" w:rsidRDefault="00867AEA" w:rsidP="005319A6">
            <w:pPr>
              <w:widowControl/>
              <w:jc w:val="center"/>
              <w:rPr>
                <w:rFonts w:ascii="Calibri" w:eastAsia="Arial Unicode MS" w:hAnsi="Calibri" w:cs="Arial"/>
                <w:color w:val="000000"/>
                <w:kern w:val="0"/>
                <w:sz w:val="22"/>
                <w:highlight w:val="red"/>
              </w:rPr>
            </w:pPr>
          </w:p>
        </w:tc>
      </w:tr>
    </w:tbl>
    <w:p w:rsidR="006A1AB3" w:rsidRDefault="006A1AB3" w:rsidP="004864FF">
      <w:pPr>
        <w:autoSpaceDE w:val="0"/>
        <w:autoSpaceDN w:val="0"/>
        <w:adjustRightInd w:val="0"/>
        <w:jc w:val="left"/>
        <w:rPr>
          <w:rFonts w:ascii="Calibri" w:eastAsia="华文楷体" w:hAnsi="Calibri" w:cs="Arial" w:hint="eastAsia"/>
          <w:kern w:val="0"/>
          <w:sz w:val="22"/>
        </w:rPr>
      </w:pPr>
    </w:p>
    <w:p w:rsidR="004864FF" w:rsidRPr="005319A6" w:rsidRDefault="00E16E52" w:rsidP="004864FF">
      <w:pPr>
        <w:autoSpaceDE w:val="0"/>
        <w:autoSpaceDN w:val="0"/>
        <w:adjustRightInd w:val="0"/>
        <w:jc w:val="left"/>
        <w:rPr>
          <w:rFonts w:ascii="Calibri" w:eastAsia="华文楷体" w:hAnsi="Calibri" w:cs="Arial"/>
          <w:kern w:val="0"/>
          <w:sz w:val="22"/>
        </w:rPr>
      </w:pPr>
      <w:r>
        <w:rPr>
          <w:rFonts w:ascii="Calibri" w:eastAsia="Arial Unicode MS" w:hAnsi="Calibri" w:cs="Arial" w:hint="eastAsia"/>
          <w:color w:val="000000"/>
          <w:kern w:val="0"/>
          <w:sz w:val="22"/>
        </w:rPr>
        <w:t>我们需要将这个信息补上，</w:t>
      </w:r>
      <w:bookmarkStart w:id="0" w:name="_GoBack"/>
      <w:bookmarkEnd w:id="0"/>
      <w:r w:rsidR="004864FF">
        <w:rPr>
          <w:rFonts w:ascii="Calibri" w:eastAsia="Arial Unicode MS" w:hAnsi="Calibri" w:cs="Arial" w:hint="eastAsia"/>
          <w:color w:val="000000"/>
          <w:kern w:val="0"/>
          <w:sz w:val="22"/>
        </w:rPr>
        <w:t>Ad2Sc</w:t>
      </w:r>
      <w:r w:rsidR="004864FF">
        <w:rPr>
          <w:rFonts w:ascii="Calibri" w:eastAsia="Arial Unicode MS" w:hAnsi="Calibri" w:cs="Arial" w:hint="eastAsia"/>
          <w:color w:val="000000"/>
          <w:kern w:val="0"/>
          <w:sz w:val="22"/>
        </w:rPr>
        <w:t xml:space="preserve"> </w:t>
      </w:r>
      <w:r w:rsidR="004864FF">
        <w:rPr>
          <w:rFonts w:ascii="Calibri" w:eastAsia="Arial Unicode MS" w:hAnsi="Calibri" w:cs="Arial" w:hint="eastAsia"/>
          <w:color w:val="000000"/>
          <w:kern w:val="0"/>
          <w:sz w:val="22"/>
        </w:rPr>
        <w:t>是指文章中的</w:t>
      </w:r>
      <w:r w:rsidR="004864FF">
        <w:rPr>
          <w:rFonts w:ascii="Calibri" w:eastAsia="Arial Unicode MS" w:hAnsi="Calibri" w:cs="Arial" w:hint="eastAsia"/>
          <w:color w:val="000000"/>
          <w:kern w:val="0"/>
          <w:sz w:val="22"/>
        </w:rPr>
        <w:t>Case</w:t>
      </w:r>
      <w:r w:rsidR="004864FF">
        <w:rPr>
          <w:rFonts w:ascii="Calibri" w:eastAsia="Arial Unicode MS" w:hAnsi="Calibri" w:cs="Arial" w:hint="eastAsia"/>
          <w:color w:val="000000"/>
          <w:kern w:val="0"/>
          <w:sz w:val="22"/>
        </w:rPr>
        <w:t>中，腺癌</w:t>
      </w:r>
      <w:r w:rsidR="004864FF">
        <w:rPr>
          <w:rFonts w:ascii="Calibri" w:eastAsia="Arial Unicode MS" w:hAnsi="Calibri" w:cs="Arial" w:hint="eastAsia"/>
          <w:color w:val="000000"/>
          <w:kern w:val="0"/>
          <w:sz w:val="22"/>
        </w:rPr>
        <w:t>/</w:t>
      </w:r>
      <w:r w:rsidR="004864FF">
        <w:rPr>
          <w:rFonts w:ascii="Calibri" w:eastAsia="Arial Unicode MS" w:hAnsi="Calibri" w:cs="Arial" w:hint="eastAsia"/>
          <w:color w:val="000000"/>
          <w:kern w:val="0"/>
          <w:sz w:val="22"/>
        </w:rPr>
        <w:t>鳞癌的比值。</w:t>
      </w:r>
      <w:r w:rsidR="00561A3C">
        <w:rPr>
          <w:rFonts w:ascii="Calibri" w:eastAsia="Arial Unicode MS" w:hAnsi="Calibri" w:cs="Arial" w:hint="eastAsia"/>
          <w:color w:val="000000"/>
          <w:kern w:val="0"/>
          <w:sz w:val="22"/>
        </w:rPr>
        <w:t xml:space="preserve"> </w:t>
      </w:r>
      <w:r w:rsidR="00561A3C">
        <w:rPr>
          <w:rFonts w:ascii="Calibri" w:eastAsia="Arial Unicode MS" w:hAnsi="Calibri" w:cs="Arial" w:hint="eastAsia"/>
          <w:color w:val="000000"/>
          <w:kern w:val="0"/>
          <w:sz w:val="22"/>
        </w:rPr>
        <w:t>没有相关信息的用</w:t>
      </w:r>
      <w:r w:rsidR="00561A3C">
        <w:rPr>
          <w:rFonts w:ascii="Calibri" w:eastAsia="Arial Unicode MS" w:hAnsi="Calibri" w:cs="Arial" w:hint="eastAsia"/>
          <w:color w:val="000000"/>
          <w:kern w:val="0"/>
          <w:sz w:val="22"/>
        </w:rPr>
        <w:t>NA</w:t>
      </w:r>
      <w:r w:rsidR="007B6510">
        <w:rPr>
          <w:rFonts w:ascii="Calibri" w:eastAsia="Arial Unicode MS" w:hAnsi="Calibri" w:cs="Arial" w:hint="eastAsia"/>
          <w:color w:val="000000"/>
          <w:kern w:val="0"/>
          <w:sz w:val="22"/>
        </w:rPr>
        <w:t>指示</w:t>
      </w:r>
    </w:p>
    <w:sectPr w:rsidR="004864FF" w:rsidRPr="005319A6" w:rsidSect="005319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C61" w:rsidRDefault="00FB5C61" w:rsidP="005319A6">
      <w:r>
        <w:separator/>
      </w:r>
    </w:p>
  </w:endnote>
  <w:endnote w:type="continuationSeparator" w:id="0">
    <w:p w:rsidR="00FB5C61" w:rsidRDefault="00FB5C61" w:rsidP="0053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C61" w:rsidRDefault="00FB5C61" w:rsidP="005319A6">
      <w:r>
        <w:separator/>
      </w:r>
    </w:p>
  </w:footnote>
  <w:footnote w:type="continuationSeparator" w:id="0">
    <w:p w:rsidR="00FB5C61" w:rsidRDefault="00FB5C61" w:rsidP="00531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F2"/>
    <w:rsid w:val="000140AC"/>
    <w:rsid w:val="001211F1"/>
    <w:rsid w:val="001B25A0"/>
    <w:rsid w:val="002B32F2"/>
    <w:rsid w:val="00403EA1"/>
    <w:rsid w:val="00405AAF"/>
    <w:rsid w:val="0044208D"/>
    <w:rsid w:val="004864FF"/>
    <w:rsid w:val="004F6B1F"/>
    <w:rsid w:val="005319A6"/>
    <w:rsid w:val="00561A3C"/>
    <w:rsid w:val="005B5924"/>
    <w:rsid w:val="006A1AB3"/>
    <w:rsid w:val="006E1FEA"/>
    <w:rsid w:val="0070485F"/>
    <w:rsid w:val="007B6510"/>
    <w:rsid w:val="00867AEA"/>
    <w:rsid w:val="00926DC7"/>
    <w:rsid w:val="00952C7C"/>
    <w:rsid w:val="009B41BE"/>
    <w:rsid w:val="00A22B68"/>
    <w:rsid w:val="00AC7C72"/>
    <w:rsid w:val="00D55858"/>
    <w:rsid w:val="00D70817"/>
    <w:rsid w:val="00E16E52"/>
    <w:rsid w:val="00E616F1"/>
    <w:rsid w:val="00EA1F23"/>
    <w:rsid w:val="00F9494F"/>
    <w:rsid w:val="00FB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9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9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9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9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8</cp:revision>
  <dcterms:created xsi:type="dcterms:W3CDTF">2013-05-24T00:22:00Z</dcterms:created>
  <dcterms:modified xsi:type="dcterms:W3CDTF">2013-05-24T00:27:00Z</dcterms:modified>
</cp:coreProperties>
</file>