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867D" w14:textId="77777777" w:rsidR="00B6678A" w:rsidRPr="001D03A8" w:rsidRDefault="00B6678A" w:rsidP="00B6678A">
      <w:pPr>
        <w:spacing w:line="360" w:lineRule="auto"/>
        <w:jc w:val="center"/>
        <w:rPr>
          <w:rFonts w:asciiTheme="majorHAnsi" w:hAnsiTheme="majorHAnsi" w:cs="Arial"/>
          <w:b/>
          <w:color w:val="000000" w:themeColor="text1"/>
          <w:sz w:val="22"/>
        </w:rPr>
      </w:pPr>
      <w:r w:rsidRPr="00DE7370">
        <w:rPr>
          <w:rFonts w:asciiTheme="majorHAnsi" w:hAnsiTheme="majorHAnsi" w:cs="Arial"/>
          <w:b/>
          <w:color w:val="FF0000"/>
          <w:sz w:val="22"/>
        </w:rPr>
        <w:t>Table 1.</w:t>
      </w:r>
      <w:r w:rsidRPr="001D03A8">
        <w:rPr>
          <w:rFonts w:asciiTheme="majorHAnsi" w:hAnsiTheme="majorHAnsi" w:cs="Arial"/>
          <w:b/>
          <w:color w:val="000000" w:themeColor="text1"/>
          <w:sz w:val="22"/>
        </w:rPr>
        <w:t xml:space="preserve"> Characteristics of eligible studies considered in the report</w:t>
      </w:r>
    </w:p>
    <w:tbl>
      <w:tblPr>
        <w:tblW w:w="15822" w:type="dxa"/>
        <w:tblLook w:val="04A0" w:firstRow="1" w:lastRow="0" w:firstColumn="1" w:lastColumn="0" w:noHBand="0" w:noVBand="1"/>
      </w:tblPr>
      <w:tblGrid>
        <w:gridCol w:w="1605"/>
        <w:gridCol w:w="1071"/>
        <w:gridCol w:w="718"/>
        <w:gridCol w:w="898"/>
        <w:gridCol w:w="898"/>
        <w:gridCol w:w="1387"/>
        <w:gridCol w:w="872"/>
        <w:gridCol w:w="848"/>
        <w:gridCol w:w="992"/>
        <w:gridCol w:w="1428"/>
        <w:gridCol w:w="992"/>
        <w:gridCol w:w="1228"/>
        <w:gridCol w:w="846"/>
        <w:gridCol w:w="2039"/>
      </w:tblGrid>
      <w:tr w:rsidR="00B6678A" w:rsidRPr="00A25F29" w14:paraId="79C6FFD4" w14:textId="77777777" w:rsidTr="00F16C2A">
        <w:trPr>
          <w:trHeight w:val="270"/>
        </w:trPr>
        <w:tc>
          <w:tcPr>
            <w:tcW w:w="160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D52116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Author</w:t>
            </w:r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62FAE5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Sample</w:t>
            </w:r>
          </w:p>
          <w:p w14:paraId="473FFBFB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Type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2AF63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Age</w:t>
            </w:r>
            <w:r w:rsidRPr="001D03A8">
              <w:rPr>
                <w:rFonts w:asciiTheme="minorHAnsi" w:hAnsiTheme="minorHAnsi" w:cs="Arial"/>
                <w:color w:val="000000" w:themeColor="text1"/>
                <w:sz w:val="18"/>
                <w:vertAlign w:val="superscript"/>
              </w:rPr>
              <w:t>a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F55AF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Stage</w:t>
            </w:r>
          </w:p>
          <w:p w14:paraId="778709FD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I%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73303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Stage</w:t>
            </w:r>
          </w:p>
          <w:p w14:paraId="4D8CB68E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(I+II)%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455D5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Gender</w:t>
            </w:r>
          </w:p>
          <w:p w14:paraId="1A9D839B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Ratio</w:t>
            </w:r>
          </w:p>
        </w:tc>
        <w:tc>
          <w:tcPr>
            <w:tcW w:w="87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CE7FC4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Patients</w:t>
            </w:r>
          </w:p>
          <w:p w14:paraId="38084D5B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(M/T)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C7D04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Control</w:t>
            </w:r>
          </w:p>
          <w:p w14:paraId="75A4DDF0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(M/T)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33812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Methods</w:t>
            </w:r>
          </w:p>
        </w:tc>
        <w:tc>
          <w:tcPr>
            <w:tcW w:w="14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EAFC5B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Aim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E00586" w14:textId="77777777" w:rsidR="00F16C2A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Multiple</w:t>
            </w:r>
          </w:p>
          <w:p w14:paraId="4940D70C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target</w:t>
            </w: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6BA61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>C</w:t>
            </w: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ontrol</w:t>
            </w: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 xml:space="preserve"> </w:t>
            </w: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design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8FEF7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Ad</w:t>
            </w:r>
            <w:r>
              <w:rPr>
                <w:rFonts w:asciiTheme="minorHAnsi" w:hAnsiTheme="minorHAnsi" w:cs="宋体" w:hint="eastAsia"/>
                <w:b/>
                <w:color w:val="000000"/>
                <w:sz w:val="18"/>
              </w:rPr>
              <w:t>%</w:t>
            </w:r>
          </w:p>
        </w:tc>
        <w:tc>
          <w:tcPr>
            <w:tcW w:w="203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A40DD" w14:textId="77777777" w:rsidR="00F16C2A" w:rsidRDefault="00F16C2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P</w:t>
            </w:r>
            <w:r w:rsidR="00B6678A"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>rimer</w:t>
            </w:r>
          </w:p>
          <w:p w14:paraId="47A75725" w14:textId="77777777" w:rsidR="00B6678A" w:rsidRPr="00A25F29" w:rsidRDefault="00B6678A" w:rsidP="00B6678A">
            <w:pPr>
              <w:widowControl/>
              <w:jc w:val="center"/>
              <w:rPr>
                <w:rFonts w:asciiTheme="minorHAnsi" w:hAnsiTheme="minorHAnsi" w:cs="宋体"/>
                <w:b/>
                <w:color w:val="000000"/>
                <w:sz w:val="18"/>
              </w:rPr>
            </w:pPr>
            <w:r w:rsidRPr="00A25F29">
              <w:rPr>
                <w:rFonts w:asciiTheme="minorHAnsi" w:hAnsiTheme="minorHAnsi" w:cs="宋体"/>
                <w:b/>
                <w:color w:val="000000"/>
                <w:sz w:val="18"/>
              </w:rPr>
              <w:t xml:space="preserve"> set</w:t>
            </w:r>
          </w:p>
        </w:tc>
      </w:tr>
      <w:tr w:rsidR="00B6678A" w:rsidRPr="00A25F29" w14:paraId="127A68D2" w14:textId="77777777" w:rsidTr="00F16C2A">
        <w:trPr>
          <w:trHeight w:val="270"/>
        </w:trPr>
        <w:tc>
          <w:tcPr>
            <w:tcW w:w="160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15C9A" w14:textId="0BB3EBF5" w:rsidR="00B6678A" w:rsidRPr="00F16C2A" w:rsidRDefault="00B6678A" w:rsidP="00DA71A5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Dong et al</w:t>
            </w:r>
            <w:bookmarkStart w:id="0" w:name="_GoBack"/>
            <w:bookmarkEnd w:id="0"/>
          </w:p>
        </w:tc>
        <w:tc>
          <w:tcPr>
            <w:tcW w:w="107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720F" w14:textId="77777777" w:rsidR="00B6678A" w:rsidRPr="00F16C2A" w:rsidRDefault="00B6678A" w:rsidP="00CD1C02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9BCA" w14:textId="77777777" w:rsidR="00B6678A" w:rsidRPr="00F16C2A" w:rsidRDefault="00B6678A" w:rsidP="00CD1C02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37543" w14:textId="77777777" w:rsidR="00B6678A" w:rsidRPr="00F16C2A" w:rsidRDefault="00B6678A" w:rsidP="00F16C2A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0.5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9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863A" w14:textId="77777777" w:rsidR="00B6678A" w:rsidRPr="00F16C2A" w:rsidRDefault="00B6678A" w:rsidP="00F16C2A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3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80E59" w14:textId="77777777" w:rsidR="00B6678A" w:rsidRPr="00F16C2A" w:rsidRDefault="00B6678A" w:rsidP="00F16C2A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87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B5DC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26/88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94EEC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7/88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56CFB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2AA54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4DDB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8F6B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AD2F0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0.39</w:t>
            </w:r>
            <w:r w:rsidR="00F16C2A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203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B1D93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4BA5CB67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00A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Feng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9E1A3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CB1D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C10C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0.42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FB4F6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0.77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25C5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0.53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BDFB1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28/49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15D2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1/49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F3819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qMSP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7E0E3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3B14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6D9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644E5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0.588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CA47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23DE8BAC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8FE71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Hanabata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0E97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9304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EA54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0.68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653D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0.84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D55D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0.62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2288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26/70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679BC4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2/30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F784F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3AD4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89F78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AB13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E2156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0.68</w:t>
            </w:r>
            <w:r w:rsidR="00F16C2A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1D895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10B41EBC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FA29" w14:textId="6F4241CD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Hsu et al</w:t>
            </w:r>
            <w:r w:rsidR="0021556F" w:rsidRPr="001D03A8">
              <w:rPr>
                <w:rFonts w:asciiTheme="minorHAnsi" w:hAnsiTheme="minorHAnsi" w:cs="Arial"/>
                <w:color w:val="000000" w:themeColor="text1"/>
                <w:sz w:val="18"/>
                <w:vertAlign w:val="superscript"/>
              </w:rPr>
              <w:t>b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C4F8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plasma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6424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66.81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94BA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FF71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4740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3AB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21/63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F3525B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6/36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B43E7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8BC65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079D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C60F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heter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0F39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D7592" w14:textId="77777777" w:rsidR="00B6678A" w:rsidRPr="00F16C2A" w:rsidRDefault="00F16C2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41ECA721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BCAB8" w14:textId="5BE34DBB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Hsu et al</w:t>
            </w:r>
            <w:r w:rsidR="0021556F" w:rsidRPr="001D03A8">
              <w:rPr>
                <w:rFonts w:asciiTheme="minorHAnsi" w:hAnsiTheme="minorHAnsi" w:cs="Arial"/>
                <w:color w:val="000000" w:themeColor="text1"/>
                <w:sz w:val="18"/>
                <w:vertAlign w:val="superscript"/>
              </w:rPr>
              <w:t>b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CD192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08C3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66.81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08421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9D7E2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B02C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753B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28/63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B82BD4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10/63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64438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4213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F59A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A09FB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DD7BE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0.759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9401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2C92BA92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482BE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Jin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8020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821F1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FDFB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6173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3565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3B81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25/72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C5BF9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2/63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319AF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qMSP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D19A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F5A9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60DA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61DB9" w14:textId="77777777" w:rsidR="00B6678A" w:rsidRPr="00F16C2A" w:rsidRDefault="00F16C2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0.65</w:t>
            </w:r>
            <w:r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378B" w14:textId="77777777" w:rsidR="00B6678A" w:rsidRPr="00F16C2A" w:rsidRDefault="00F16C2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3</w:t>
            </w:r>
          </w:p>
        </w:tc>
      </w:tr>
      <w:tr w:rsidR="00B6678A" w:rsidRPr="00A25F29" w14:paraId="5A02962E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3C2C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Nikolaidis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2240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C8E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65.58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A6C7" w14:textId="77777777" w:rsidR="00B6678A" w:rsidRPr="00F16C2A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F16C2A">
              <w:rPr>
                <w:rFonts w:ascii="Times New Roman" w:eastAsiaTheme="minorEastAsia" w:hAnsi="Times New Roman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FE1A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0.77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E152B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0.52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F7C7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11/48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84490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0/48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1C904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qMSP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588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DDC1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8FD1F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5717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0.5</w:t>
            </w:r>
            <w:r w:rsidR="00F16C2A">
              <w:rPr>
                <w:rFonts w:ascii="Times New Roman" w:hAnsi="Times New Roman" w:hint="eastAsia"/>
                <w:sz w:val="20"/>
                <w:szCs w:val="20"/>
              </w:rPr>
              <w:t>00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0FC7A" w14:textId="77777777" w:rsidR="00B6678A" w:rsidRPr="00F16C2A" w:rsidRDefault="00F16C2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4</w:t>
            </w:r>
          </w:p>
        </w:tc>
      </w:tr>
      <w:tr w:rsidR="00B6678A" w:rsidRPr="00A25F29" w14:paraId="06C0D221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855F4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Toyooka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330D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1698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C718" w14:textId="77777777" w:rsidR="00B6678A" w:rsidRPr="00F16C2A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F16C2A">
              <w:rPr>
                <w:rFonts w:ascii="Times New Roman" w:eastAsiaTheme="minorEastAsia" w:hAnsi="Times New Roman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AAE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28D2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F673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18/42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D184D9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2/25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26854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1CC7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FC5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9C3B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5E293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0.738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209DA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1697BDE8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FEF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Toyooka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7F21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50BAC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DBAE6" w14:textId="77777777" w:rsidR="00B6678A" w:rsidRPr="00F16C2A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F16C2A">
              <w:rPr>
                <w:rFonts w:ascii="Times New Roman" w:eastAsiaTheme="minorEastAsia" w:hAnsi="Times New Roman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7D54E" w14:textId="77777777" w:rsidR="00B6678A" w:rsidRPr="00F16C2A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F16C2A">
              <w:rPr>
                <w:rFonts w:ascii="Times New Roman" w:eastAsiaTheme="minorEastAsia" w:hAnsi="Times New Roman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F03AE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0.69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E4BA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180/514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5FAE73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5/84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46DC8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832C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0FF0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56C0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E8D3B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0.606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E2DC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092C0086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38A8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Tsou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37AE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E7252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46012" w14:textId="77777777" w:rsidR="00B6678A" w:rsidRPr="00F16C2A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F16C2A">
              <w:rPr>
                <w:rFonts w:ascii="Times New Roman" w:eastAsiaTheme="minorEastAsia" w:hAnsi="Times New Roman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79CB" w14:textId="77777777" w:rsidR="00B6678A" w:rsidRPr="00F16C2A" w:rsidRDefault="00B6678A" w:rsidP="00CD1C02">
            <w:pPr>
              <w:jc w:val="center"/>
              <w:rPr>
                <w:rFonts w:ascii="Times New Roman" w:eastAsiaTheme="minorEastAsia" w:hAnsi="Times New Roman"/>
                <w:sz w:val="20"/>
                <w:szCs w:val="20"/>
              </w:rPr>
            </w:pPr>
            <w:r w:rsidRPr="00F16C2A">
              <w:rPr>
                <w:rFonts w:ascii="Times New Roman" w:eastAsiaTheme="minorEastAsia" w:hAnsi="Times New Roman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1FE8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0C34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37/51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C509BA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24/49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2C817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qMSP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D193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EF9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A18A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both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052E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D0B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</w:tr>
      <w:tr w:rsidR="00B6678A" w:rsidRPr="00A25F29" w14:paraId="3A014C07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CB9C4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Ulivi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F910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serum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BD16C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DFD32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727C2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CE09F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0.803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EE8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14/61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B7BFCA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0/15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58059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qMSP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B99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895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C79A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heter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38601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0.692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D71E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3CE34319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E6FE0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Wang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6BB38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1AD4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F56E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26290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13D6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FDAA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15/28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D4596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3/12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37BBB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EB8E3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78AFE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C2AC2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13151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0.68</w:t>
            </w:r>
            <w:r w:rsidR="00F16C2A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A5EE" w14:textId="77777777" w:rsidR="00B6678A" w:rsidRPr="00F16C2A" w:rsidRDefault="00F16C2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NA</w:t>
            </w:r>
          </w:p>
        </w:tc>
      </w:tr>
      <w:tr w:rsidR="00B6678A" w:rsidRPr="00A25F29" w14:paraId="65E68829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1F34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Zhai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5C9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serum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C653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62.39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84449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0.095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47BD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0.14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DF60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0.76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224D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23/42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BB3D3C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0/40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1039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23F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6D1C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0F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heter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6587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0.76</w:t>
            </w:r>
            <w:r w:rsidR="00F16C2A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9C85" w14:textId="77777777" w:rsidR="00B6678A" w:rsidRPr="00F16C2A" w:rsidRDefault="00B6678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44317B0D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0271AC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Zhang et al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CFB916" w14:textId="77777777" w:rsidR="00B6678A" w:rsidRPr="00F16C2A" w:rsidRDefault="00B6678A" w:rsidP="00CD1C02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plasma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FC6685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F5DAF3" w14:textId="77777777" w:rsidR="00B6678A" w:rsidRPr="00F16C2A" w:rsidRDefault="00B6678A" w:rsidP="00F16C2A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0.32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DD8601" w14:textId="77777777" w:rsidR="00B6678A" w:rsidRPr="00F16C2A" w:rsidRDefault="00B6678A" w:rsidP="00F16C2A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0.74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6A9327" w14:textId="77777777" w:rsidR="00B6678A" w:rsidRPr="00F16C2A" w:rsidRDefault="00B6678A" w:rsidP="00F16C2A">
            <w:pPr>
              <w:widowControl/>
              <w:suppressAutoHyphens w:val="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0.74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9C2141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37/110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B4652D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2/50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9A296A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33BEF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31121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8F134E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heter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E47E36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NA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CAC697" w14:textId="77777777" w:rsidR="00B6678A" w:rsidRPr="00F16C2A" w:rsidRDefault="00F16C2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1</w:t>
            </w:r>
          </w:p>
        </w:tc>
      </w:tr>
      <w:tr w:rsidR="00B6678A" w:rsidRPr="00A25F29" w14:paraId="4EA04F2F" w14:textId="77777777" w:rsidTr="00F16C2A">
        <w:trPr>
          <w:trHeight w:val="270"/>
        </w:trPr>
        <w:tc>
          <w:tcPr>
            <w:tcW w:w="16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94A86A7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Zhang et al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7B1C81D7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tissue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FAE18C2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24F88380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0.32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CD981BD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0.74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F53315C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0.74</w:t>
            </w:r>
            <w:r w:rsidR="00F16C2A"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5998072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38/78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CE17027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8/78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7F9860BB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MSP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13C3DA9A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Non-Diagnosis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5BA5F260" w14:textId="77777777" w:rsidR="00B6678A" w:rsidRPr="00F16C2A" w:rsidRDefault="00B6678A" w:rsidP="00CD1C02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color w:val="000000"/>
                <w:sz w:val="20"/>
                <w:szCs w:val="20"/>
              </w:rPr>
              <w:t>Multi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8504211" w14:textId="77777777" w:rsidR="00B6678A" w:rsidRPr="00F16C2A" w:rsidRDefault="00B6678A" w:rsidP="00CD1C0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hom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</w:tcPr>
          <w:p w14:paraId="0A033CF4" w14:textId="77777777" w:rsidR="00B6678A" w:rsidRPr="00F16C2A" w:rsidRDefault="00B6678A" w:rsidP="00F16C2A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16C2A">
              <w:rPr>
                <w:rFonts w:ascii="Times New Roman" w:hAnsi="Times New Roman"/>
                <w:sz w:val="20"/>
                <w:szCs w:val="20"/>
              </w:rPr>
              <w:t>0.45</w:t>
            </w:r>
            <w:r w:rsidR="00F16C2A"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94607A6" w14:textId="77777777" w:rsidR="00B6678A" w:rsidRPr="00F16C2A" w:rsidRDefault="00F16C2A" w:rsidP="00B6678A">
            <w:pPr>
              <w:widowControl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1</w:t>
            </w:r>
          </w:p>
        </w:tc>
      </w:tr>
    </w:tbl>
    <w:p w14:paraId="770A9CC8" w14:textId="77777777" w:rsidR="00B6678A" w:rsidRPr="00ED0F99" w:rsidRDefault="00B6678A" w:rsidP="00B6678A">
      <w:pPr>
        <w:spacing w:line="360" w:lineRule="auto"/>
        <w:rPr>
          <w:rFonts w:asciiTheme="minorHAnsi" w:hAnsiTheme="minorHAnsi" w:cs="Arial"/>
          <w:color w:val="FF0000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a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mean or median age from articles; 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with two records since there are Tissue and serum data simultaneously in this article. </w:t>
      </w:r>
      <w:r w:rsidRPr="00ED0F99">
        <w:rPr>
          <w:rFonts w:asciiTheme="minorHAnsi" w:hAnsiTheme="minorHAnsi" w:cs="Arial"/>
          <w:color w:val="FF0000"/>
          <w:sz w:val="18"/>
        </w:rPr>
        <w:t>M and T means methylation positive and total, respectively.</w:t>
      </w:r>
    </w:p>
    <w:p w14:paraId="6D2D9545" w14:textId="77777777" w:rsidR="00B6678A" w:rsidRDefault="00B6678A" w:rsidP="00B6678A">
      <w:pPr>
        <w:spacing w:line="360" w:lineRule="auto"/>
        <w:rPr>
          <w:rFonts w:ascii="Arial" w:hAnsi="Arial" w:cs="Arial"/>
          <w:color w:val="000000" w:themeColor="text1"/>
          <w:sz w:val="22"/>
        </w:rPr>
        <w:sectPr w:rsidR="00B6678A" w:rsidSect="00F16C2A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  <w:r w:rsidRPr="009D4E66">
        <w:rPr>
          <w:rFonts w:ascii="Arial" w:hAnsi="Arial" w:cs="Arial"/>
          <w:color w:val="000000" w:themeColor="text1"/>
          <w:sz w:val="22"/>
        </w:rPr>
        <w:t xml:space="preserve"> </w:t>
      </w:r>
    </w:p>
    <w:p w14:paraId="08C47892" w14:textId="77777777" w:rsidR="00B6678A" w:rsidRDefault="00B6678A" w:rsidP="00B6678A"/>
    <w:p w14:paraId="7452404B" w14:textId="77777777" w:rsidR="00B6678A" w:rsidRPr="0009247F" w:rsidRDefault="00B6678A" w:rsidP="00B6678A">
      <w:pPr>
        <w:spacing w:line="360" w:lineRule="auto"/>
        <w:jc w:val="center"/>
        <w:rPr>
          <w:rFonts w:asciiTheme="majorHAnsi" w:hAnsiTheme="majorHAnsi"/>
          <w:b/>
          <w:color w:val="231F20"/>
          <w:sz w:val="20"/>
          <w:szCs w:val="20"/>
        </w:rPr>
      </w:pPr>
      <w:r w:rsidRPr="0009247F">
        <w:rPr>
          <w:rFonts w:asciiTheme="majorHAnsi" w:hAnsiTheme="majorHAnsi" w:cs="Arial"/>
          <w:b/>
          <w:color w:val="FF0000"/>
          <w:sz w:val="20"/>
          <w:szCs w:val="20"/>
        </w:rPr>
        <w:t>Table 2</w:t>
      </w:r>
      <w:r w:rsidRPr="0009247F">
        <w:rPr>
          <w:rFonts w:asciiTheme="majorHAnsi" w:hAnsiTheme="majorHAnsi"/>
          <w:b/>
          <w:color w:val="FF0000"/>
          <w:sz w:val="20"/>
          <w:szCs w:val="20"/>
        </w:rPr>
        <w:t xml:space="preserve"> </w:t>
      </w:r>
      <w:r w:rsidRPr="0009247F">
        <w:rPr>
          <w:rFonts w:asciiTheme="majorHAnsi" w:hAnsiTheme="majorHAnsi"/>
          <w:b/>
          <w:color w:val="231F20"/>
          <w:sz w:val="20"/>
          <w:szCs w:val="20"/>
        </w:rPr>
        <w:t xml:space="preserve">Subgroup analysis for the main potential confounding factors with </w:t>
      </w:r>
      <w:r>
        <w:rPr>
          <w:rFonts w:asciiTheme="majorHAnsi" w:hAnsiTheme="majorHAnsi" w:hint="eastAsia"/>
          <w:b/>
          <w:color w:val="231F20"/>
          <w:sz w:val="20"/>
          <w:szCs w:val="20"/>
        </w:rPr>
        <w:t>fixed</w:t>
      </w:r>
      <w:r w:rsidRPr="0009247F">
        <w:rPr>
          <w:rFonts w:asciiTheme="majorHAnsi" w:hAnsiTheme="majorHAnsi"/>
          <w:b/>
          <w:color w:val="231F20"/>
          <w:sz w:val="20"/>
          <w:szCs w:val="20"/>
        </w:rPr>
        <w:t xml:space="preserve"> effects model</w:t>
      </w:r>
    </w:p>
    <w:p w14:paraId="1279737C" w14:textId="77777777" w:rsidR="00B6678A" w:rsidRPr="004235D6" w:rsidRDefault="00B6678A" w:rsidP="00B6678A"/>
    <w:tbl>
      <w:tblPr>
        <w:tblW w:w="8680" w:type="dxa"/>
        <w:tblLook w:val="04A0" w:firstRow="1" w:lastRow="0" w:firstColumn="1" w:lastColumn="0" w:noHBand="0" w:noVBand="1"/>
      </w:tblPr>
      <w:tblGrid>
        <w:gridCol w:w="2200"/>
        <w:gridCol w:w="1080"/>
        <w:gridCol w:w="1080"/>
        <w:gridCol w:w="1080"/>
        <w:gridCol w:w="1080"/>
        <w:gridCol w:w="1080"/>
        <w:gridCol w:w="1080"/>
      </w:tblGrid>
      <w:tr w:rsidR="00B6678A" w:rsidRPr="004235D6" w14:paraId="0622A87D" w14:textId="77777777" w:rsidTr="00B6678A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5027CC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Subgroup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3AF74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Number of study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EAFAA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5BAEA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lower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078A7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upper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6169C0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I2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29E5F" w14:textId="77777777" w:rsidR="00B6678A" w:rsidRPr="004235D6" w:rsidRDefault="00B6678A" w:rsidP="00B6678A">
            <w:pPr>
              <w:widowControl/>
              <w:jc w:val="center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P-value</w:t>
            </w:r>
          </w:p>
        </w:tc>
      </w:tr>
      <w:tr w:rsidR="00B6678A" w:rsidRPr="004235D6" w14:paraId="10C08FA7" w14:textId="77777777" w:rsidTr="00B6678A">
        <w:trPr>
          <w:trHeight w:val="270"/>
        </w:trPr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6E3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Overall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432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280F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6.74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94E4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4.46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F00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3087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35.50%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11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0.0847</w:t>
            </w:r>
          </w:p>
        </w:tc>
      </w:tr>
      <w:tr w:rsidR="00B6678A" w:rsidRPr="004235D6" w14:paraId="16A1FAB2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C12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Age&lt;65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B39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740B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B2B7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F2C6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346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29D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405683FB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B441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Age&gt;=65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41B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C4E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86F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EA2A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89E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33.20%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52D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0.0801</w:t>
            </w:r>
          </w:p>
        </w:tc>
      </w:tr>
      <w:tr w:rsidR="00B6678A" w:rsidRPr="004235D6" w14:paraId="3CA7C12C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FC6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>
              <w:rPr>
                <w:rFonts w:cs="宋体" w:hint="eastAsia"/>
                <w:color w:val="000000"/>
                <w:sz w:val="18"/>
              </w:rPr>
              <w:t>Stage</w:t>
            </w:r>
            <w:r>
              <w:rPr>
                <w:rFonts w:cs="宋体"/>
                <w:color w:val="000000"/>
                <w:sz w:val="18"/>
              </w:rPr>
              <w:t xml:space="preserve"> </w:t>
            </w:r>
            <w:r w:rsidRPr="004235D6">
              <w:rPr>
                <w:rFonts w:cs="宋体" w:hint="eastAsia"/>
                <w:color w:val="000000"/>
                <w:sz w:val="18"/>
              </w:rPr>
              <w:t>I&lt;50.45%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4C3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C94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0921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77F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31.05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CD6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34C6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67713B8F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8B1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Stage I&gt;=50.45%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64CC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C90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8339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BD8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17.62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6110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E32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0.05</w:t>
            </w:r>
          </w:p>
        </w:tc>
      </w:tr>
      <w:tr w:rsidR="00B6678A" w:rsidRPr="004235D6" w14:paraId="389A2923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6C8B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Stage I+II&lt;65%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A61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4B43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DB0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749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789C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42.00%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DE86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05512E81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8FC8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Stage I+II&gt;=65%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BC41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DACE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EBC9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68A5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5BAA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37.00%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F92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0.11</w:t>
            </w:r>
          </w:p>
        </w:tc>
      </w:tr>
      <w:tr w:rsidR="00B6678A" w:rsidRPr="004235D6" w14:paraId="5C096D63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1BC8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M2F&lt;69%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E46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84CC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666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183D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18.36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C9C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4B0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69EF2095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55F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M2F&gt;=69%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C1C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998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7.89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47B0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859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13.67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43A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4E4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0.62</w:t>
            </w:r>
          </w:p>
        </w:tc>
      </w:tr>
      <w:tr w:rsidR="00B6678A" w:rsidRPr="004235D6" w14:paraId="13EDC99A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1DAD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DE8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81C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DE45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F1A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B78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12.30%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C00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78C4ABC5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BD27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qMSP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6F26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F4AD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5FA4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3.31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8B8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7843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65.00%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2BB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0.44</w:t>
            </w:r>
          </w:p>
        </w:tc>
      </w:tr>
      <w:tr w:rsidR="00B6678A" w:rsidRPr="004235D6" w14:paraId="7BE902A9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EAFC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A786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8EA3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3.48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3D0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8624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E255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55C4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3EA38B78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8120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Non-diagnose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10C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564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9.26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577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FFA8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13.97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AD5A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31B84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0.002</w:t>
            </w:r>
          </w:p>
        </w:tc>
      </w:tr>
      <w:tr w:rsidR="00B6678A" w:rsidRPr="004235D6" w14:paraId="66C28C1E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3F6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Multiple targets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E3C5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D8FC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90C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7FA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0330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38BA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7850E211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490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Single target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D054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096A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D23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650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41.41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679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0288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0.83</w:t>
            </w:r>
          </w:p>
        </w:tc>
      </w:tr>
      <w:tr w:rsidR="00B6678A" w:rsidRPr="004235D6" w14:paraId="2A1E6972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AA8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Heterogeneous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C1F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4BC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526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1109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476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59.70%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E60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54E1DA7B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FF82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Autogenous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FE3C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253F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CCB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5ED48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BF77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00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0.72</w:t>
            </w:r>
          </w:p>
        </w:tc>
      </w:tr>
      <w:tr w:rsidR="00B6678A" w:rsidRPr="004235D6" w14:paraId="1E7955A2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77B4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Plasma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0F70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2D0FF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723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2.58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A9C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5682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59.70%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60E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79593FFC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DCA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Tissue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B4D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337D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2C7E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B4EE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F661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29.60%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C363A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0.72</w:t>
            </w:r>
          </w:p>
        </w:tc>
      </w:tr>
      <w:tr w:rsidR="00B6678A" w:rsidRPr="004235D6" w14:paraId="47F240AD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89C8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Ad%&lt;65%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F71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D87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7.8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2B8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015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12.99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CF10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85644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1EB7755E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FBC0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Ad%&gt;=65%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B27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5905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7.63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91F6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C0A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11.54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6FD6C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52.00%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CC8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0.95</w:t>
            </w:r>
          </w:p>
        </w:tc>
      </w:tr>
      <w:tr w:rsidR="00B6678A" w:rsidRPr="004235D6" w14:paraId="7123E8C0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E699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Asian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D863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E196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6.79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1F45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7789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9.81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CBB1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31.00%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52909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20A3BE1E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50D95" w14:textId="77777777" w:rsidR="00B6678A" w:rsidRPr="004235D6" w:rsidRDefault="009C3673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>
              <w:rPr>
                <w:rFonts w:cs="宋体" w:hint="eastAsia"/>
                <w:color w:val="000000"/>
                <w:sz w:val="18"/>
              </w:rPr>
              <w:t>White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BC1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53BD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8.11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86422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4.88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64A76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13.5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3701B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55.00%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06A1E" w14:textId="77777777" w:rsidR="00B6678A" w:rsidRPr="004235D6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4235D6">
              <w:rPr>
                <w:rFonts w:cs="宋体" w:hint="eastAsia"/>
                <w:color w:val="000000"/>
                <w:sz w:val="18"/>
              </w:rPr>
              <w:t>0.58</w:t>
            </w:r>
          </w:p>
        </w:tc>
      </w:tr>
      <w:tr w:rsidR="00B6678A" w:rsidRPr="00E255B7" w14:paraId="49BCE684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4C147BC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Primerset</w:t>
            </w:r>
            <w:r w:rsidRPr="00E255B7">
              <w:rPr>
                <w:rFonts w:cs="宋体"/>
                <w:color w:val="000000"/>
                <w:sz w:val="18"/>
              </w:rPr>
              <w:t xml:space="preserve"> </w:t>
            </w:r>
            <w:r w:rsidRPr="00E255B7">
              <w:rPr>
                <w:rFonts w:cs="宋体" w:hint="eastAsia"/>
                <w:color w:val="000000"/>
                <w:sz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5E9D209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62B7BD6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7.82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D3A8F0B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1.91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A8E6BB8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12.69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4C739B4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35</w:t>
            </w:r>
            <w:r w:rsidRPr="00E255B7">
              <w:rPr>
                <w:rFonts w:cs="宋体" w:hint="eastAsia"/>
                <w:color w:val="000000"/>
                <w:sz w:val="18"/>
              </w:rPr>
              <w:t>.00%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9FD6949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 xml:space="preserve">　</w:t>
            </w:r>
          </w:p>
        </w:tc>
      </w:tr>
      <w:tr w:rsidR="00B6678A" w:rsidRPr="00E255B7" w14:paraId="2A713C9F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EE43D5A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Primerset II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5129903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584D08B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2.</w:t>
            </w:r>
            <w:r w:rsidRPr="00E255B7">
              <w:rPr>
                <w:rFonts w:cs="宋体"/>
                <w:color w:val="000000"/>
                <w:sz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3415724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1.20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7CB8B041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6.32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44EA5F3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8414141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 xml:space="preserve">　</w:t>
            </w:r>
          </w:p>
        </w:tc>
      </w:tr>
      <w:tr w:rsidR="00B6678A" w:rsidRPr="00E255B7" w14:paraId="4B607957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552F69B7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Primerset III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16F77609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2E7807F8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15.25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4DD6809F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3.44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39113133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/>
                <w:color w:val="000000"/>
                <w:sz w:val="18"/>
              </w:rPr>
              <w:t>67.53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63993868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center"/>
            <w:hideMark/>
          </w:tcPr>
          <w:p w14:paraId="0815E78B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</w:p>
        </w:tc>
      </w:tr>
      <w:tr w:rsidR="00B6678A" w:rsidRPr="004235D6" w14:paraId="73BF4F34" w14:textId="77777777" w:rsidTr="00B6678A">
        <w:trPr>
          <w:trHeight w:val="270"/>
        </w:trPr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4F1BE123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Primerset</w:t>
            </w:r>
            <w:r w:rsidRPr="00E255B7">
              <w:rPr>
                <w:rFonts w:cs="宋体"/>
                <w:color w:val="000000"/>
                <w:sz w:val="18"/>
              </w:rPr>
              <w:t xml:space="preserve"> IV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7B98D015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3073A3B3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29.75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5F5BDD6C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1.70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624A5871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521.15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592FC995" w14:textId="77777777" w:rsidR="00B6678A" w:rsidRPr="00E255B7" w:rsidRDefault="00B6678A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 w:rsidRPr="00E255B7">
              <w:rPr>
                <w:rFonts w:cs="宋体" w:hint="eastAsia"/>
                <w:color w:val="000000"/>
                <w:sz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uto"/>
            <w:noWrap/>
            <w:vAlign w:val="center"/>
          </w:tcPr>
          <w:p w14:paraId="19552D80" w14:textId="77777777" w:rsidR="00B6678A" w:rsidRPr="004235D6" w:rsidRDefault="00B10AB7" w:rsidP="00B6678A">
            <w:pPr>
              <w:widowControl/>
              <w:jc w:val="left"/>
              <w:rPr>
                <w:rFonts w:cs="宋体"/>
                <w:color w:val="000000"/>
                <w:sz w:val="18"/>
              </w:rPr>
            </w:pPr>
            <w:r>
              <w:rPr>
                <w:rFonts w:cs="宋体" w:hint="eastAsia"/>
                <w:color w:val="000000"/>
                <w:sz w:val="18"/>
              </w:rPr>
              <w:t>-</w:t>
            </w:r>
          </w:p>
        </w:tc>
      </w:tr>
    </w:tbl>
    <w:p w14:paraId="0D4E7794" w14:textId="77777777" w:rsidR="00B6678A" w:rsidRDefault="00B6678A" w:rsidP="00B6678A"/>
    <w:p w14:paraId="164E1BA5" w14:textId="77777777" w:rsidR="00B615E7" w:rsidRDefault="00B615E7" w:rsidP="00B6678A"/>
    <w:p w14:paraId="4D87493B" w14:textId="77777777" w:rsidR="00B6678A" w:rsidRDefault="00B6678A" w:rsidP="00B6678A"/>
    <w:p w14:paraId="5A11306D" w14:textId="77777777" w:rsidR="00B6678A" w:rsidRDefault="00B6678A" w:rsidP="00B6678A"/>
    <w:p w14:paraId="607BB730" w14:textId="77777777" w:rsidR="00B6678A" w:rsidRDefault="00B6678A" w:rsidP="00B6678A"/>
    <w:p w14:paraId="052F945E" w14:textId="77777777" w:rsidR="00B6678A" w:rsidRDefault="00B6678A" w:rsidP="00B6678A"/>
    <w:p w14:paraId="0D5B8B28" w14:textId="77777777" w:rsidR="00B6678A" w:rsidRDefault="00B6678A" w:rsidP="00B6678A"/>
    <w:p w14:paraId="0BF62911" w14:textId="77777777" w:rsidR="00B6678A" w:rsidRDefault="00B6678A" w:rsidP="00B6678A"/>
    <w:p w14:paraId="7D92391A" w14:textId="77777777" w:rsidR="00B6678A" w:rsidRDefault="00B6678A" w:rsidP="00B6678A"/>
    <w:p w14:paraId="6DA5A908" w14:textId="77777777" w:rsidR="00B6678A" w:rsidRDefault="00B6678A" w:rsidP="00B6678A"/>
    <w:p w14:paraId="07528B3A" w14:textId="77777777" w:rsidR="00B6678A" w:rsidRDefault="00B6678A" w:rsidP="00B6678A">
      <w:pPr>
        <w:sectPr w:rsidR="00B6678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B3D22B" w14:textId="77777777" w:rsidR="00B6678A" w:rsidRPr="00B6678A" w:rsidRDefault="00B6678A" w:rsidP="00B6678A">
      <w:pPr>
        <w:spacing w:line="360" w:lineRule="auto"/>
        <w:jc w:val="center"/>
        <w:rPr>
          <w:rFonts w:asciiTheme="majorHAnsi" w:hAnsiTheme="majorHAnsi" w:cs="Arial"/>
          <w:b/>
          <w:color w:val="000000" w:themeColor="text1"/>
          <w:sz w:val="20"/>
          <w:szCs w:val="20"/>
        </w:rPr>
      </w:pPr>
      <w:r w:rsidRPr="00DE7370">
        <w:rPr>
          <w:rFonts w:asciiTheme="majorHAnsi" w:hAnsiTheme="majorHAnsi" w:cs="Arial"/>
          <w:b/>
          <w:color w:val="FF0000"/>
          <w:sz w:val="20"/>
          <w:szCs w:val="20"/>
        </w:rPr>
        <w:lastRenderedPageBreak/>
        <w:t>Table 3</w:t>
      </w:r>
      <w:r w:rsidRPr="00DE7370">
        <w:rPr>
          <w:rFonts w:asciiTheme="majorHAnsi" w:hAnsiTheme="majorHAnsi" w:cs="Arial" w:hint="eastAsia"/>
          <w:b/>
          <w:color w:val="FF0000"/>
          <w:sz w:val="20"/>
          <w:szCs w:val="20"/>
        </w:rPr>
        <w:t>.</w:t>
      </w:r>
      <w:r>
        <w:rPr>
          <w:rFonts w:asciiTheme="majorHAnsi" w:hAnsiTheme="majorHAnsi" w:cs="Arial" w:hint="eastAsia"/>
          <w:b/>
          <w:color w:val="FF0000"/>
          <w:sz w:val="20"/>
          <w:szCs w:val="20"/>
        </w:rPr>
        <w:t xml:space="preserve"> </w:t>
      </w:r>
      <w:r w:rsidRPr="00DE7370">
        <w:rPr>
          <w:rFonts w:asciiTheme="majorHAnsi" w:eastAsiaTheme="minorEastAsia" w:hAnsiTheme="majorHAnsi" w:cs="AdvTTaf7f9f4f.B"/>
          <w:b/>
          <w:sz w:val="20"/>
          <w:szCs w:val="20"/>
        </w:rPr>
        <w:t xml:space="preserve">Differential </w:t>
      </w:r>
      <w:r w:rsidRPr="00DE7370">
        <w:rPr>
          <w:rFonts w:asciiTheme="majorHAnsi" w:eastAsiaTheme="minorEastAsia" w:hAnsiTheme="majorHAnsi" w:cs="AdvTT837b8832.BI"/>
          <w:b/>
          <w:sz w:val="20"/>
          <w:szCs w:val="20"/>
        </w:rPr>
        <w:t xml:space="preserve">FHIT </w:t>
      </w:r>
      <w:r w:rsidRPr="00DE7370">
        <w:rPr>
          <w:rFonts w:asciiTheme="majorHAnsi" w:eastAsiaTheme="minorEastAsia" w:hAnsiTheme="majorHAnsi" w:cs="AdvTTaf7f9f4f.B"/>
          <w:b/>
          <w:sz w:val="20"/>
          <w:szCs w:val="20"/>
        </w:rPr>
        <w:t>methylation, odds ratio between adenocarcinoma, squamous cell carcinoma and thei</w:t>
      </w:r>
      <w:r>
        <w:rPr>
          <w:rFonts w:asciiTheme="majorHAnsi" w:eastAsiaTheme="minorEastAsia" w:hAnsiTheme="majorHAnsi" w:cs="AdvTTaf7f9f4f.B"/>
          <w:b/>
          <w:sz w:val="20"/>
          <w:szCs w:val="20"/>
        </w:rPr>
        <w:t>r counterparts from TCGA datase</w:t>
      </w:r>
      <w:r>
        <w:rPr>
          <w:rFonts w:asciiTheme="majorHAnsi" w:eastAsiaTheme="minorEastAsia" w:hAnsiTheme="majorHAnsi" w:cs="AdvTTaf7f9f4f.B" w:hint="eastAsia"/>
          <w:b/>
          <w:sz w:val="20"/>
          <w:szCs w:val="20"/>
        </w:rPr>
        <w:t>t</w:t>
      </w:r>
    </w:p>
    <w:tbl>
      <w:tblPr>
        <w:tblW w:w="10934" w:type="dxa"/>
        <w:jc w:val="center"/>
        <w:tblLook w:val="04A0" w:firstRow="1" w:lastRow="0" w:firstColumn="1" w:lastColumn="0" w:noHBand="0" w:noVBand="1"/>
      </w:tblPr>
      <w:tblGrid>
        <w:gridCol w:w="917"/>
        <w:gridCol w:w="1400"/>
        <w:gridCol w:w="1096"/>
        <w:gridCol w:w="1019"/>
        <w:gridCol w:w="1019"/>
        <w:gridCol w:w="781"/>
        <w:gridCol w:w="1209"/>
        <w:gridCol w:w="1362"/>
        <w:gridCol w:w="781"/>
        <w:gridCol w:w="1350"/>
      </w:tblGrid>
      <w:tr w:rsidR="00920C23" w:rsidRPr="00F35147" w14:paraId="0C9E0128" w14:textId="77777777" w:rsidTr="00864B1C">
        <w:trPr>
          <w:trHeight w:val="270"/>
          <w:jc w:val="center"/>
        </w:trPr>
        <w:tc>
          <w:tcPr>
            <w:tcW w:w="9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92618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 w:hint="eastAsia"/>
                <w:b/>
                <w:color w:val="000000"/>
                <w:sz w:val="22"/>
              </w:rPr>
              <w:t>Type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49B2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CpG site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15E4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Position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B45D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McaM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3978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McoM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9265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∆β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5144E7" w14:textId="77777777"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P</w:t>
            </w: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-value</w:t>
            </w:r>
            <w:r>
              <w:rPr>
                <w:rFonts w:ascii="Times New Roman" w:hAnsi="Times New Roman" w:hint="eastAsia"/>
                <w:b/>
                <w:color w:val="000000"/>
                <w:sz w:val="22"/>
                <w:vertAlign w:val="superscript"/>
              </w:rPr>
              <w:t>a</w:t>
            </w:r>
          </w:p>
        </w:tc>
        <w:tc>
          <w:tcPr>
            <w:tcW w:w="13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D35A6" w14:textId="77777777"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P</w:t>
            </w:r>
            <w:r>
              <w:rPr>
                <w:rFonts w:ascii="Times New Roman" w:hAnsi="Times New Roman"/>
                <w:b/>
                <w:color w:val="000000"/>
                <w:sz w:val="22"/>
              </w:rPr>
              <w:t>-value</w:t>
            </w:r>
            <w:r>
              <w:rPr>
                <w:rFonts w:ascii="Times New Roman" w:hAnsi="Times New Roman" w:hint="eastAsia"/>
                <w:b/>
                <w:color w:val="000000"/>
                <w:sz w:val="22"/>
                <w:vertAlign w:val="superscript"/>
              </w:rPr>
              <w:t>b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FF215" w14:textId="77777777"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OR</w:t>
            </w:r>
            <w:r>
              <w:rPr>
                <w:rFonts w:ascii="Times New Roman" w:hAnsi="Times New Roman" w:hint="eastAsia"/>
                <w:b/>
                <w:color w:val="000000"/>
                <w:sz w:val="22"/>
                <w:vertAlign w:val="superscript"/>
              </w:rPr>
              <w:t>b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846BBC3" w14:textId="77777777" w:rsidR="00920C23" w:rsidRPr="00EB2D30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  <w:vertAlign w:val="superscript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95%CI</w:t>
            </w:r>
            <w:r>
              <w:rPr>
                <w:rFonts w:ascii="Times New Roman" w:hAnsi="Times New Roman" w:hint="eastAsia"/>
                <w:b/>
                <w:bCs/>
                <w:color w:val="000000"/>
                <w:sz w:val="22"/>
                <w:vertAlign w:val="superscript"/>
              </w:rPr>
              <w:t>b</w:t>
            </w:r>
          </w:p>
        </w:tc>
      </w:tr>
      <w:tr w:rsidR="00920C23" w:rsidRPr="00F35147" w14:paraId="31D12138" w14:textId="77777777" w:rsidTr="00864B1C">
        <w:trPr>
          <w:trHeight w:val="270"/>
          <w:jc w:val="center"/>
        </w:trPr>
        <w:tc>
          <w:tcPr>
            <w:tcW w:w="917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9F22CA" w14:textId="77777777" w:rsidR="00920C23" w:rsidRPr="00F35147" w:rsidRDefault="00920C23" w:rsidP="00864B1C">
            <w:pPr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LUAD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6F4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cg22215728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029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61236652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ACC2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2</w:t>
            </w:r>
          </w:p>
        </w:tc>
        <w:tc>
          <w:tcPr>
            <w:tcW w:w="10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76B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0.16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512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4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D485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0.00081</w:t>
            </w:r>
          </w:p>
        </w:tc>
        <w:tc>
          <w:tcPr>
            <w:tcW w:w="136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E1A1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0.0097</w:t>
            </w:r>
          </w:p>
        </w:tc>
        <w:tc>
          <w:tcPr>
            <w:tcW w:w="78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B92F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4.3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8D1C07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1.93-12.55</w:t>
            </w:r>
          </w:p>
        </w:tc>
      </w:tr>
      <w:tr w:rsidR="00920C23" w:rsidRPr="00F35147" w14:paraId="1AD47CA3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F43D9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B479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cg15931943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F44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220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74E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7A08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04C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0.00718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3DC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0.18873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D6C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1.80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2AE4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0.91-4.62</w:t>
            </w:r>
          </w:p>
        </w:tc>
      </w:tr>
      <w:tr w:rsidR="00920C23" w:rsidRPr="00F35147" w14:paraId="23D062BD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BE3E7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955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cg02854288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358E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A344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246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4157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BA8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0.00168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93C7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0.04887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7BA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2.8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40C1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1.29-7.97</w:t>
            </w:r>
          </w:p>
        </w:tc>
      </w:tr>
      <w:tr w:rsidR="00920C23" w:rsidRPr="00F35147" w14:paraId="370E8378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8AFB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157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cg19049316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7289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61237063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DE7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C1D0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F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3BC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0.22515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9D4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0.14417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B86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070A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0.93-3.58</w:t>
            </w:r>
          </w:p>
        </w:tc>
      </w:tr>
      <w:tr w:rsidR="00920C23" w:rsidRPr="00F35147" w14:paraId="3658E0D4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6736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03F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cg26322434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31AD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349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1BBA4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2A10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29D7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0.29934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255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0.17031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9198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1.6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56F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0.89-3.28</w:t>
            </w:r>
          </w:p>
        </w:tc>
      </w:tr>
      <w:tr w:rsidR="00920C23" w:rsidRPr="00F35147" w14:paraId="1A207FC7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5E71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FB23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cg24796403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367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61237172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FD9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CC9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C05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346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0.66265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D43D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0.40238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06DD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1.3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1B52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0.73-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2.89</w:t>
            </w:r>
          </w:p>
        </w:tc>
      </w:tr>
      <w:tr w:rsidR="00920C23" w:rsidRPr="00F35147" w14:paraId="1C517D8E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2B58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A094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cg16986494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1D1F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0B1E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65F4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14D7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2DB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0.01932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A57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0.04887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AB9F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3.12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C7DC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1.33-9.44</w:t>
            </w:r>
          </w:p>
        </w:tc>
      </w:tr>
      <w:tr w:rsidR="00920C23" w:rsidRPr="00F35147" w14:paraId="17373A57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4A70A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075C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cg12030002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6B3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61237226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811B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C99A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A040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6A4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0.2052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F40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0.24634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32F9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1.4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00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0.82-2.9</w:t>
            </w:r>
          </w:p>
        </w:tc>
      </w:tr>
      <w:tr w:rsidR="00920C23" w:rsidRPr="00F35147" w14:paraId="7D34EDD1" w14:textId="77777777" w:rsidTr="00864B1C">
        <w:trPr>
          <w:trHeight w:val="270"/>
          <w:jc w:val="center"/>
        </w:trPr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5C9C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137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A471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709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816B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68F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3703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FFC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D48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636E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920C23" w:rsidRPr="00F35147" w14:paraId="07356290" w14:textId="77777777" w:rsidTr="00864B1C">
        <w:trPr>
          <w:trHeight w:val="270"/>
          <w:jc w:val="center"/>
        </w:trPr>
        <w:tc>
          <w:tcPr>
            <w:tcW w:w="9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46A14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LUSC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648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cg22215728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C1C4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61236652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5022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FE9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0.14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2DD70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0.04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E694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1.00E-05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BB44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0.00066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D81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3.9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49FD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2.07-8.44</w:t>
            </w:r>
          </w:p>
        </w:tc>
      </w:tr>
      <w:tr w:rsidR="00920C23" w:rsidRPr="00F35147" w14:paraId="304AA59F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12E53D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10E1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cg15931943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6FD7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61236909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DDD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9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D9D9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5AC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E9BF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1.00E-05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18554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0.01163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CF5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2.51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419B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1.35-5.13</w:t>
            </w:r>
          </w:p>
        </w:tc>
      </w:tr>
      <w:tr w:rsidR="00920C23" w:rsidRPr="00F35147" w14:paraId="270623D7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0843A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D792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cg02854288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2C4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61236911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85D3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0.08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9E8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E28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96EEA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1.00E-05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0F11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0.00485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7A7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2.7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3C0E8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1.5-5.58</w:t>
            </w:r>
          </w:p>
        </w:tc>
      </w:tr>
      <w:tr w:rsidR="00920C23" w:rsidRPr="00F35147" w14:paraId="728C2D7D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9BE02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B107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cg19049316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98D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61237063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B7AC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C64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F69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D019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0.52339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6FB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0.31038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1F2E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195C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0.26-1.16</w:t>
            </w:r>
          </w:p>
        </w:tc>
      </w:tr>
      <w:tr w:rsidR="00920C23" w:rsidRPr="00F35147" w14:paraId="25E6C2E9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B9FCCA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85E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cg26322434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FBC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61237156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C141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B16C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F15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974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0.51658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8941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0.29719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43B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0.7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1C6DD" w14:textId="77777777" w:rsidR="00920C23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0.45-1.21</w:t>
            </w:r>
          </w:p>
        </w:tc>
      </w:tr>
      <w:tr w:rsidR="00920C23" w:rsidRPr="00F35147" w14:paraId="082304B6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02815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E736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cg24796403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7AE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61237172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1A78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56A59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D8C8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6149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0.52339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0484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0.29486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D0A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0.3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C256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0.03-1.13</w:t>
            </w:r>
          </w:p>
        </w:tc>
      </w:tr>
      <w:tr w:rsidR="00920C23" w:rsidRPr="00F35147" w14:paraId="637F636E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86101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E479F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cg16986494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E539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61237206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7D8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099CD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2271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b/>
                <w:color w:val="000000"/>
                <w:sz w:val="22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392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0.02458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101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0.54451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1F6B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0.8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C164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0.26-1.37</w:t>
            </w:r>
          </w:p>
        </w:tc>
      </w:tr>
      <w:tr w:rsidR="00920C23" w:rsidRPr="00F35147" w14:paraId="39BC8E7E" w14:textId="77777777" w:rsidTr="00864B1C">
        <w:trPr>
          <w:trHeight w:val="270"/>
          <w:jc w:val="center"/>
        </w:trPr>
        <w:tc>
          <w:tcPr>
            <w:tcW w:w="91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916514C" w14:textId="77777777" w:rsidR="00920C23" w:rsidRPr="00F35147" w:rsidRDefault="00920C23" w:rsidP="00864B1C">
            <w:pPr>
              <w:widowControl/>
              <w:jc w:val="left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99E62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cg12030002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7E0446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61237226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6AFC5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1F733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hint="eastAsia"/>
                <w:color w:val="000000"/>
                <w:sz w:val="22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B5492C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0.01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52188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0.11177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444AE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0.12536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BC517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F35147">
              <w:rPr>
                <w:rFonts w:ascii="Times New Roman" w:hAnsi="Times New Roman"/>
                <w:color w:val="000000"/>
                <w:sz w:val="22"/>
              </w:rPr>
              <w:t>0.10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F4E330" w14:textId="77777777" w:rsidR="00920C23" w:rsidRPr="00F35147" w:rsidRDefault="00920C23" w:rsidP="00864B1C">
            <w:pPr>
              <w:widowControl/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0.005-0.99</w:t>
            </w:r>
          </w:p>
        </w:tc>
      </w:tr>
    </w:tbl>
    <w:p w14:paraId="11B33A63" w14:textId="77777777" w:rsidR="00B6678A" w:rsidRDefault="00B6678A" w:rsidP="00B6678A"/>
    <w:p w14:paraId="23D3ADCD" w14:textId="77777777" w:rsidR="00920C23" w:rsidRPr="001D03A8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 xml:space="preserve">McaM and McoM represent the mean of case methylation (Beta) and mean of control methylation (Beta). Methylation levels are calculated with formula: Beta = (M/M + U). </w:t>
      </w:r>
    </w:p>
    <w:p w14:paraId="0ABF500B" w14:textId="77777777" w:rsidR="00920C23" w:rsidRPr="001D03A8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>Position represents the chromosome position of each CpG site according to GRCh37/hg19.</w:t>
      </w:r>
    </w:p>
    <w:p w14:paraId="686E5CCF" w14:textId="77777777" w:rsidR="00920C23" w:rsidRPr="001D03A8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>P-values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a </w:t>
      </w:r>
      <w:r w:rsidRPr="001D03A8">
        <w:rPr>
          <w:rFonts w:asciiTheme="minorHAnsi" w:hAnsiTheme="minorHAnsi" w:cs="Arial"/>
          <w:color w:val="000000" w:themeColor="text1"/>
          <w:sz w:val="18"/>
        </w:rPr>
        <w:t>are calculated from Wilcoxon rank sum test after false discovery rate(FDR adjustment).</w:t>
      </w:r>
    </w:p>
    <w:p w14:paraId="6CEB4E7C" w14:textId="77777777" w:rsidR="00DD6CDA" w:rsidRDefault="00920C23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>P-value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>b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  and OR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b </w:t>
      </w:r>
      <w:r w:rsidRPr="001D03A8">
        <w:rPr>
          <w:rFonts w:asciiTheme="minorHAnsi" w:hAnsiTheme="minorHAnsi" w:cs="Arial"/>
          <w:color w:val="000000" w:themeColor="text1"/>
          <w:sz w:val="18"/>
        </w:rPr>
        <w:t>and 95%CI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b </w:t>
      </w:r>
      <w:r w:rsidRPr="001D03A8">
        <w:rPr>
          <w:rFonts w:asciiTheme="minorHAnsi" w:hAnsiTheme="minorHAnsi" w:cs="Arial"/>
          <w:color w:val="000000" w:themeColor="text1"/>
          <w:sz w:val="18"/>
        </w:rPr>
        <w:t>are from logistic regression analysis with P-value</w:t>
      </w:r>
      <w:r w:rsidRPr="001D03A8">
        <w:rPr>
          <w:rFonts w:asciiTheme="minorHAnsi" w:hAnsiTheme="minorHAnsi" w:cs="Arial"/>
          <w:color w:val="000000" w:themeColor="text1"/>
          <w:sz w:val="18"/>
          <w:vertAlign w:val="superscript"/>
        </w:rPr>
        <w:t xml:space="preserve">b </w:t>
      </w:r>
      <w:r w:rsidRPr="001D03A8">
        <w:rPr>
          <w:rFonts w:asciiTheme="minorHAnsi" w:hAnsiTheme="minorHAnsi" w:cs="Arial"/>
          <w:color w:val="000000" w:themeColor="text1"/>
          <w:sz w:val="18"/>
        </w:rPr>
        <w:t>were also after false discovery rate(FDR adjustment).</w:t>
      </w:r>
      <w:r w:rsidR="00DD6CDA">
        <w:rPr>
          <w:rFonts w:asciiTheme="minorHAnsi" w:hAnsiTheme="minorHAnsi" w:cs="Arial"/>
          <w:color w:val="000000" w:themeColor="text1"/>
          <w:sz w:val="18"/>
        </w:rPr>
        <w:br w:type="page"/>
      </w:r>
    </w:p>
    <w:p w14:paraId="1A2ECA5C" w14:textId="77777777" w:rsidR="00DD6CDA" w:rsidRDefault="00DD6CDA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  <w:sectPr w:rsidR="00DD6CDA" w:rsidSect="00B6678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015E0B3" w14:textId="77777777" w:rsidR="00730843" w:rsidRPr="001D03A8" w:rsidRDefault="00730843" w:rsidP="00730843">
      <w:pPr>
        <w:spacing w:line="360" w:lineRule="auto"/>
        <w:rPr>
          <w:rFonts w:asciiTheme="majorHAnsi" w:hAnsiTheme="majorHAnsi" w:cs="Arial"/>
          <w:b/>
          <w:color w:val="000000" w:themeColor="text1"/>
          <w:sz w:val="20"/>
          <w:szCs w:val="18"/>
        </w:rPr>
      </w:pPr>
      <w:r w:rsidRPr="00DE7370">
        <w:rPr>
          <w:rFonts w:asciiTheme="majorHAnsi" w:hAnsiTheme="majorHAnsi" w:cs="Arial"/>
          <w:b/>
          <w:color w:val="FF0000"/>
          <w:sz w:val="20"/>
          <w:szCs w:val="18"/>
        </w:rPr>
        <w:lastRenderedPageBreak/>
        <w:t>Figure</w:t>
      </w:r>
      <w:r>
        <w:rPr>
          <w:rFonts w:asciiTheme="majorHAnsi" w:hAnsiTheme="majorHAnsi" w:cs="Arial"/>
          <w:b/>
          <w:color w:val="FF0000"/>
          <w:sz w:val="20"/>
          <w:szCs w:val="18"/>
        </w:rPr>
        <w:t xml:space="preserve"> </w:t>
      </w:r>
      <w:r w:rsidRPr="00DE7370">
        <w:rPr>
          <w:rFonts w:asciiTheme="majorHAnsi" w:hAnsiTheme="majorHAnsi" w:cs="Arial"/>
          <w:b/>
          <w:color w:val="FF0000"/>
          <w:sz w:val="20"/>
          <w:szCs w:val="18"/>
        </w:rPr>
        <w:t xml:space="preserve">1. </w:t>
      </w:r>
      <w:r w:rsidRPr="001D03A8">
        <w:rPr>
          <w:rFonts w:asciiTheme="majorHAnsi" w:hAnsiTheme="majorHAnsi"/>
          <w:b/>
          <w:color w:val="231F20"/>
          <w:sz w:val="20"/>
          <w:szCs w:val="18"/>
        </w:rPr>
        <w:t xml:space="preserve">Combined estimates for the association between </w:t>
      </w:r>
      <w:r>
        <w:rPr>
          <w:rFonts w:asciiTheme="majorHAnsi" w:hAnsiTheme="majorHAnsi" w:hint="eastAsia"/>
          <w:b/>
          <w:color w:val="231F20"/>
          <w:sz w:val="20"/>
          <w:szCs w:val="18"/>
        </w:rPr>
        <w:t>CDH13</w:t>
      </w:r>
      <w:r w:rsidRPr="001D03A8">
        <w:rPr>
          <w:rFonts w:asciiTheme="majorHAnsi" w:hAnsiTheme="majorHAnsi"/>
          <w:b/>
          <w:color w:val="231F20"/>
          <w:sz w:val="20"/>
          <w:szCs w:val="18"/>
        </w:rPr>
        <w:t xml:space="preserve"> promoter hypermethylation and non-small cell lung cancer (NSCLC) with forest plot. </w:t>
      </w:r>
    </w:p>
    <w:p w14:paraId="3259EC20" w14:textId="77777777" w:rsidR="00730843" w:rsidRPr="001D03A8" w:rsidRDefault="00730843" w:rsidP="00730843">
      <w:pPr>
        <w:spacing w:line="360" w:lineRule="auto"/>
        <w:rPr>
          <w:rFonts w:asciiTheme="minorHAnsi" w:hAnsiTheme="minorHAnsi" w:cs="Arial"/>
          <w:color w:val="000000" w:themeColor="text1"/>
          <w:sz w:val="24"/>
        </w:rPr>
      </w:pPr>
      <w:r w:rsidRPr="001D03A8">
        <w:rPr>
          <w:rFonts w:asciiTheme="minorHAnsi" w:hAnsiTheme="minorHAnsi"/>
          <w:color w:val="231F20"/>
          <w:sz w:val="18"/>
          <w:szCs w:val="16"/>
        </w:rPr>
        <w:t>Author, year, country of the studies and methylated (M) and total number of the sample (T) in case and control, combined odds ratio (OR) with 95% confidence region were labeled in the left column of the figure. The DerSimonian-Laird estimator and Mantel-Haenszel method were selected to conduct combination estimation for the random effects model and fixed effects model, respectively.</w:t>
      </w:r>
    </w:p>
    <w:p w14:paraId="3EC44AD6" w14:textId="77777777" w:rsidR="00730843" w:rsidRPr="001D03A8" w:rsidRDefault="00730843" w:rsidP="00730843">
      <w:pPr>
        <w:spacing w:line="360" w:lineRule="auto"/>
        <w:rPr>
          <w:rFonts w:ascii="Arial" w:hAnsi="Arial" w:cs="Arial"/>
          <w:color w:val="000000" w:themeColor="text1"/>
          <w:sz w:val="22"/>
        </w:rPr>
      </w:pPr>
    </w:p>
    <w:p w14:paraId="0B77CAF6" w14:textId="77777777" w:rsidR="00730843" w:rsidRPr="00FD574E" w:rsidRDefault="00730843" w:rsidP="00730843">
      <w:pPr>
        <w:spacing w:line="360" w:lineRule="auto"/>
        <w:rPr>
          <w:rFonts w:ascii="Arial" w:hAnsi="Arial" w:cs="Arial"/>
          <w:color w:val="000000" w:themeColor="text1"/>
          <w:sz w:val="22"/>
        </w:rPr>
      </w:pPr>
    </w:p>
    <w:p w14:paraId="0DB20355" w14:textId="77777777" w:rsidR="00730843" w:rsidRPr="001D03A8" w:rsidRDefault="00730843" w:rsidP="00730843">
      <w:pPr>
        <w:spacing w:line="360" w:lineRule="auto"/>
        <w:rPr>
          <w:rFonts w:asciiTheme="majorHAnsi" w:hAnsiTheme="majorHAnsi" w:cs="Arial"/>
          <w:b/>
          <w:color w:val="000000" w:themeColor="text1"/>
          <w:sz w:val="20"/>
          <w:szCs w:val="18"/>
        </w:rPr>
      </w:pPr>
      <w:r w:rsidRPr="00DE7370">
        <w:rPr>
          <w:rFonts w:asciiTheme="majorHAnsi" w:hAnsiTheme="majorHAnsi" w:cs="Arial"/>
          <w:b/>
          <w:color w:val="FF0000"/>
          <w:sz w:val="20"/>
          <w:szCs w:val="18"/>
        </w:rPr>
        <w:t>Figure</w:t>
      </w:r>
      <w:r>
        <w:rPr>
          <w:rFonts w:asciiTheme="majorHAnsi" w:hAnsiTheme="majorHAnsi" w:cs="Arial"/>
          <w:b/>
          <w:color w:val="FF0000"/>
          <w:sz w:val="20"/>
          <w:szCs w:val="18"/>
        </w:rPr>
        <w:t xml:space="preserve"> </w:t>
      </w:r>
      <w:r w:rsidRPr="00DE7370">
        <w:rPr>
          <w:rFonts w:asciiTheme="majorHAnsi" w:hAnsiTheme="majorHAnsi" w:cs="Arial"/>
          <w:b/>
          <w:color w:val="FF0000"/>
          <w:sz w:val="20"/>
          <w:szCs w:val="18"/>
        </w:rPr>
        <w:t xml:space="preserve">2. </w:t>
      </w:r>
      <w:r w:rsidRPr="001D03A8">
        <w:rPr>
          <w:rFonts w:asciiTheme="majorHAnsi" w:hAnsiTheme="majorHAnsi"/>
          <w:b/>
          <w:color w:val="231F20"/>
          <w:sz w:val="20"/>
          <w:szCs w:val="18"/>
        </w:rPr>
        <w:t>Subgroup meta-analysis f</w:t>
      </w:r>
      <w:r>
        <w:rPr>
          <w:rFonts w:asciiTheme="majorHAnsi" w:hAnsiTheme="majorHAnsi"/>
          <w:b/>
          <w:color w:val="231F20"/>
          <w:sz w:val="20"/>
          <w:szCs w:val="18"/>
        </w:rPr>
        <w:t xml:space="preserve">or the relationship between </w:t>
      </w:r>
      <w:r>
        <w:rPr>
          <w:rFonts w:asciiTheme="majorHAnsi" w:hAnsiTheme="majorHAnsi" w:hint="eastAsia"/>
          <w:b/>
          <w:color w:val="231F20"/>
          <w:sz w:val="20"/>
          <w:szCs w:val="18"/>
        </w:rPr>
        <w:t>CDH13</w:t>
      </w:r>
      <w:r w:rsidRPr="001D03A8">
        <w:rPr>
          <w:rFonts w:asciiTheme="majorHAnsi" w:hAnsiTheme="majorHAnsi"/>
          <w:b/>
          <w:color w:val="231F20"/>
          <w:sz w:val="20"/>
          <w:szCs w:val="18"/>
        </w:rPr>
        <w:t xml:space="preserve"> promoter hypermethylation and non-small cell lung cancer (NSCLC). </w:t>
      </w:r>
    </w:p>
    <w:p w14:paraId="01367DB1" w14:textId="77777777" w:rsidR="00730843" w:rsidRDefault="00730843" w:rsidP="00730843">
      <w:pPr>
        <w:spacing w:line="360" w:lineRule="auto"/>
        <w:rPr>
          <w:rFonts w:asciiTheme="minorHAnsi" w:hAnsiTheme="minorHAnsi"/>
          <w:color w:val="231F20"/>
          <w:sz w:val="18"/>
          <w:szCs w:val="16"/>
        </w:rPr>
      </w:pPr>
      <w:r w:rsidRPr="001D03A8">
        <w:rPr>
          <w:rFonts w:asciiTheme="minorHAnsi" w:hAnsiTheme="minorHAnsi"/>
          <w:color w:val="231F20"/>
          <w:sz w:val="18"/>
          <w:szCs w:val="16"/>
        </w:rPr>
        <w:t>(A-</w:t>
      </w:r>
      <w:r>
        <w:rPr>
          <w:rFonts w:asciiTheme="minorHAnsi" w:hAnsiTheme="minorHAnsi"/>
          <w:color w:val="231F20"/>
          <w:sz w:val="18"/>
          <w:szCs w:val="16"/>
        </w:rPr>
        <w:t>D</w:t>
      </w:r>
      <w:r w:rsidRPr="001D03A8">
        <w:rPr>
          <w:rFonts w:asciiTheme="minorHAnsi" w:hAnsiTheme="minorHAnsi"/>
          <w:color w:val="231F20"/>
          <w:sz w:val="18"/>
          <w:szCs w:val="16"/>
        </w:rPr>
        <w:t>) Subgroup meta-analy</w:t>
      </w:r>
      <w:r w:rsidR="00752DA1">
        <w:rPr>
          <w:rFonts w:asciiTheme="minorHAnsi" w:hAnsiTheme="minorHAnsi"/>
          <w:color w:val="231F20"/>
          <w:sz w:val="18"/>
          <w:szCs w:val="16"/>
        </w:rPr>
        <w:t xml:space="preserve">sis based on </w:t>
      </w:r>
      <w:r w:rsidR="00752DA1">
        <w:rPr>
          <w:rFonts w:asciiTheme="minorHAnsi" w:hAnsiTheme="minorHAnsi" w:hint="eastAsia"/>
          <w:color w:val="231F20"/>
          <w:sz w:val="18"/>
          <w:szCs w:val="16"/>
        </w:rPr>
        <w:t xml:space="preserve">aim, </w:t>
      </w:r>
      <w:r w:rsidRPr="001D03A8">
        <w:rPr>
          <w:rFonts w:asciiTheme="minorHAnsi" w:hAnsiTheme="minorHAnsi"/>
          <w:color w:val="231F20"/>
          <w:sz w:val="18"/>
          <w:szCs w:val="16"/>
        </w:rPr>
        <w:t>sample type,</w:t>
      </w:r>
      <w:r w:rsidR="00752DA1">
        <w:rPr>
          <w:rFonts w:asciiTheme="minorHAnsi" w:hAnsiTheme="minorHAnsi" w:hint="eastAsia"/>
          <w:color w:val="231F20"/>
          <w:sz w:val="18"/>
          <w:szCs w:val="16"/>
        </w:rPr>
        <w:t xml:space="preserve"> method, AD2SC in non-diagnosis,</w:t>
      </w:r>
      <w:r w:rsidRPr="001D03A8">
        <w:rPr>
          <w:rFonts w:asciiTheme="minorHAnsi" w:hAnsiTheme="minorHAnsi"/>
          <w:color w:val="231F20"/>
          <w:sz w:val="18"/>
          <w:szCs w:val="16"/>
        </w:rPr>
        <w:t xml:space="preserve"> respectively.</w:t>
      </w:r>
    </w:p>
    <w:p w14:paraId="2280B06A" w14:textId="77777777" w:rsidR="00752DA1" w:rsidRPr="001D03A8" w:rsidRDefault="00752DA1" w:rsidP="00730843">
      <w:pPr>
        <w:spacing w:line="360" w:lineRule="auto"/>
        <w:rPr>
          <w:rFonts w:asciiTheme="minorHAnsi" w:hAnsiTheme="minorHAnsi" w:cs="Arial"/>
          <w:color w:val="000000" w:themeColor="text1"/>
          <w:sz w:val="24"/>
        </w:rPr>
      </w:pPr>
      <w:r>
        <w:rPr>
          <w:rFonts w:asciiTheme="minorHAnsi" w:hAnsiTheme="minorHAnsi" w:hint="eastAsia"/>
          <w:color w:val="231F20"/>
          <w:sz w:val="18"/>
          <w:szCs w:val="16"/>
        </w:rPr>
        <w:t xml:space="preserve">(E) </w:t>
      </w:r>
      <w:r w:rsidRPr="00752DA1">
        <w:rPr>
          <w:rFonts w:asciiTheme="minorHAnsi" w:hAnsiTheme="minorHAnsi"/>
          <w:color w:val="231F20"/>
          <w:sz w:val="18"/>
          <w:szCs w:val="16"/>
        </w:rPr>
        <w:t>Diagnostic SROC(bivariate model) for CHD13 in NSCLC</w:t>
      </w:r>
      <w:r>
        <w:rPr>
          <w:rFonts w:asciiTheme="minorHAnsi" w:hAnsiTheme="minorHAnsi" w:hint="eastAsia"/>
          <w:color w:val="231F20"/>
          <w:sz w:val="18"/>
          <w:szCs w:val="16"/>
        </w:rPr>
        <w:t xml:space="preserve"> </w:t>
      </w:r>
    </w:p>
    <w:p w14:paraId="3DFCA66E" w14:textId="77777777" w:rsidR="00DD6CDA" w:rsidRDefault="00DD6CDA" w:rsidP="00DD6CDA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2"/>
        </w:rPr>
      </w:pPr>
      <w:r w:rsidRPr="00DD6CDA">
        <w:rPr>
          <w:rFonts w:asciiTheme="minorHAnsi" w:hAnsiTheme="minorHAnsi" w:cs="Arial" w:hint="eastAsia"/>
          <w:b/>
          <w:color w:val="FF0000"/>
          <w:sz w:val="24"/>
        </w:rPr>
        <w:t>Figure 3</w:t>
      </w:r>
      <w:r w:rsidRPr="00DD6CDA">
        <w:rPr>
          <w:rFonts w:asciiTheme="majorHAnsi" w:eastAsiaTheme="majorEastAsia" w:hAnsiTheme="majorHAnsi" w:cs="Arial"/>
          <w:b/>
          <w:color w:val="FF0000"/>
          <w:sz w:val="36"/>
        </w:rPr>
        <w:t xml:space="preserve"> </w:t>
      </w:r>
      <w:r w:rsidRPr="001C5D73">
        <w:rPr>
          <w:rFonts w:asciiTheme="majorHAnsi" w:eastAsiaTheme="majorEastAsia" w:hAnsiTheme="majorHAnsi" w:cs="Arial"/>
          <w:b/>
          <w:color w:val="000000" w:themeColor="text1"/>
          <w:sz w:val="22"/>
        </w:rPr>
        <w:t>CpG sites on the Illumina Infinium HumanMethylation450 Beadchip array</w:t>
      </w:r>
      <w:r>
        <w:rPr>
          <w:rFonts w:asciiTheme="majorHAnsi" w:eastAsiaTheme="majorEastAsia" w:hAnsiTheme="majorHAnsi" w:cs="Arial"/>
          <w:b/>
          <w:color w:val="000000" w:themeColor="text1"/>
          <w:sz w:val="22"/>
        </w:rPr>
        <w:t xml:space="preserve"> across FHIT gene region and Gene expression scatterplot with paired data from TCGA dataset </w:t>
      </w:r>
    </w:p>
    <w:p w14:paraId="208999B9" w14:textId="77777777" w:rsidR="00DD6CDA" w:rsidRDefault="00DD6CDA" w:rsidP="00DD6CDA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  <w:r w:rsidRPr="001D03A8">
        <w:rPr>
          <w:rFonts w:asciiTheme="minorHAnsi" w:hAnsiTheme="minorHAnsi" w:cs="Arial"/>
          <w:color w:val="000000" w:themeColor="text1"/>
          <w:sz w:val="18"/>
        </w:rPr>
        <w:t xml:space="preserve">Methylation 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and gene expression </w:t>
      </w:r>
      <w:r>
        <w:rPr>
          <w:rFonts w:asciiTheme="minorHAnsi" w:hAnsiTheme="minorHAnsi" w:cs="Arial"/>
          <w:color w:val="000000" w:themeColor="text1"/>
          <w:sz w:val="18"/>
        </w:rPr>
        <w:t>status for FHIT gene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 </w:t>
      </w:r>
      <w:r w:rsidRPr="001D03A8">
        <w:rPr>
          <w:rFonts w:asciiTheme="minorHAnsi" w:hAnsiTheme="minorHAnsi" w:cs="Arial"/>
          <w:color w:val="000000" w:themeColor="text1"/>
          <w:sz w:val="18"/>
        </w:rPr>
        <w:t>[TCGA lung cancer dataset].  A-</w:t>
      </w:r>
      <w:r>
        <w:rPr>
          <w:rFonts w:asciiTheme="minorHAnsi" w:hAnsiTheme="minorHAnsi" w:cs="Arial" w:hint="eastAsia"/>
          <w:color w:val="000000" w:themeColor="text1"/>
          <w:sz w:val="18"/>
        </w:rPr>
        <w:t>B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 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each </w:t>
      </w:r>
      <w:r>
        <w:rPr>
          <w:rFonts w:asciiTheme="minorHAnsi" w:hAnsiTheme="minorHAnsi" w:cs="Arial"/>
          <w:color w:val="000000" w:themeColor="text1"/>
          <w:sz w:val="18"/>
        </w:rPr>
        <w:t>represent</w:t>
      </w:r>
      <w:r>
        <w:rPr>
          <w:rFonts w:asciiTheme="minorHAnsi" w:hAnsiTheme="minorHAnsi" w:cs="Arial" w:hint="eastAsia"/>
          <w:color w:val="000000" w:themeColor="text1"/>
          <w:sz w:val="18"/>
        </w:rPr>
        <w:t>s</w:t>
      </w:r>
      <w:r w:rsidRPr="001D03A8">
        <w:rPr>
          <w:rFonts w:asciiTheme="minorHAnsi" w:hAnsiTheme="minorHAnsi" w:cs="Arial"/>
          <w:color w:val="000000" w:themeColor="text1"/>
          <w:sz w:val="18"/>
        </w:rPr>
        <w:t xml:space="preserve"> the different methylation status of lung cancer subtypes versus normal lung tissues in different datasets. For </w:t>
      </w:r>
      <w:r>
        <w:rPr>
          <w:rFonts w:asciiTheme="minorHAnsi" w:hAnsiTheme="minorHAnsi" w:cs="Arial" w:hint="eastAsia"/>
          <w:color w:val="000000" w:themeColor="text1"/>
          <w:sz w:val="18"/>
        </w:rPr>
        <w:t xml:space="preserve">A-B, </w:t>
      </w:r>
      <w:r w:rsidRPr="001D03A8">
        <w:rPr>
          <w:rFonts w:asciiTheme="minorHAnsi" w:hAnsiTheme="minorHAnsi" w:cs="Arial"/>
          <w:color w:val="000000" w:themeColor="text1"/>
          <w:sz w:val="18"/>
        </w:rPr>
        <w:t>the x-axis shows the different CpG sites in FHIT genes and the y-axis shows the beta value of each CpG site to represent the methyl</w:t>
      </w:r>
      <w:r>
        <w:rPr>
          <w:rFonts w:asciiTheme="minorHAnsi" w:hAnsiTheme="minorHAnsi" w:cs="Arial"/>
          <w:color w:val="000000" w:themeColor="text1"/>
          <w:sz w:val="18"/>
        </w:rPr>
        <w:t xml:space="preserve">ation level of each CpG site. </w:t>
      </w:r>
      <w:r>
        <w:rPr>
          <w:rFonts w:asciiTheme="minorHAnsi" w:hAnsiTheme="minorHAnsi" w:cs="Arial" w:hint="eastAsia"/>
          <w:color w:val="000000" w:themeColor="text1"/>
          <w:sz w:val="18"/>
        </w:rPr>
        <w:t>C-D each represents the gene expression status of paired samples. The x-ais of the two figures shows the different types and y-axis shows the gene expression level using RPKM as measurement.</w:t>
      </w:r>
    </w:p>
    <w:p w14:paraId="59DB2293" w14:textId="77777777" w:rsidR="00DD6CDA" w:rsidRDefault="00DD6CDA" w:rsidP="00DD6CDA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</w:p>
    <w:p w14:paraId="46CA4F79" w14:textId="77777777" w:rsidR="00DD6CDA" w:rsidRDefault="00DD6CDA" w:rsidP="00DD6CDA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</w:p>
    <w:p w14:paraId="5A57A847" w14:textId="77777777" w:rsidR="00DD6CDA" w:rsidRPr="001D03A8" w:rsidRDefault="00DD6CDA" w:rsidP="00DD6CDA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</w:p>
    <w:p w14:paraId="6FDF8508" w14:textId="77777777" w:rsidR="00DD6CDA" w:rsidRPr="00DD6CDA" w:rsidRDefault="00DD6CDA" w:rsidP="00920C23">
      <w:pPr>
        <w:spacing w:line="360" w:lineRule="auto"/>
        <w:rPr>
          <w:rFonts w:asciiTheme="minorHAnsi" w:hAnsiTheme="minorHAnsi" w:cs="Arial"/>
          <w:color w:val="000000" w:themeColor="text1"/>
          <w:sz w:val="18"/>
        </w:rPr>
      </w:pPr>
    </w:p>
    <w:p w14:paraId="6CFF6A8E" w14:textId="77777777" w:rsidR="00920C23" w:rsidRPr="00920C23" w:rsidRDefault="00920C23" w:rsidP="00B6678A"/>
    <w:sectPr w:rsidR="00920C23" w:rsidRPr="00920C23" w:rsidSect="00DD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69B63" w14:textId="77777777" w:rsidR="00187D1A" w:rsidRDefault="00187D1A" w:rsidP="00B6678A">
      <w:r>
        <w:separator/>
      </w:r>
    </w:p>
  </w:endnote>
  <w:endnote w:type="continuationSeparator" w:id="0">
    <w:p w14:paraId="6D07FFB4" w14:textId="77777777" w:rsidR="00187D1A" w:rsidRDefault="00187D1A" w:rsidP="00B6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vTTaf7f9f4f.B">
    <w:altName w:val="Times New Roman"/>
    <w:panose1 w:val="00000000000000000000"/>
    <w:charset w:val="00"/>
    <w:family w:val="roman"/>
    <w:notTrueType/>
    <w:pitch w:val="default"/>
  </w:font>
  <w:font w:name="AdvTT837b8832.B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C4AD9" w14:textId="77777777" w:rsidR="00187D1A" w:rsidRDefault="00187D1A" w:rsidP="00B6678A">
      <w:r>
        <w:separator/>
      </w:r>
    </w:p>
  </w:footnote>
  <w:footnote w:type="continuationSeparator" w:id="0">
    <w:p w14:paraId="41138318" w14:textId="77777777" w:rsidR="00187D1A" w:rsidRDefault="00187D1A" w:rsidP="00B66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2"/>
    <w:rsid w:val="00187D1A"/>
    <w:rsid w:val="0021556F"/>
    <w:rsid w:val="003257AD"/>
    <w:rsid w:val="003C2758"/>
    <w:rsid w:val="004A35EA"/>
    <w:rsid w:val="00730843"/>
    <w:rsid w:val="00752DA1"/>
    <w:rsid w:val="00847932"/>
    <w:rsid w:val="00920C23"/>
    <w:rsid w:val="009C3673"/>
    <w:rsid w:val="00B10AB7"/>
    <w:rsid w:val="00B615E7"/>
    <w:rsid w:val="00B6678A"/>
    <w:rsid w:val="00C52403"/>
    <w:rsid w:val="00CD1C02"/>
    <w:rsid w:val="00DA71A5"/>
    <w:rsid w:val="00DD6CDA"/>
    <w:rsid w:val="00F1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5C0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78A"/>
    <w:pPr>
      <w:widowControl w:val="0"/>
      <w:suppressAutoHyphens/>
      <w:jc w:val="both"/>
    </w:pPr>
    <w:rPr>
      <w:rFonts w:ascii="Calibri" w:eastAsia="宋体" w:hAnsi="Calibri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78A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678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6678A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678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78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78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933</Words>
  <Characters>5320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Shicheng Guo</cp:lastModifiedBy>
  <cp:revision>17</cp:revision>
  <dcterms:created xsi:type="dcterms:W3CDTF">2015-12-01T03:34:00Z</dcterms:created>
  <dcterms:modified xsi:type="dcterms:W3CDTF">2016-06-23T20:27:00Z</dcterms:modified>
</cp:coreProperties>
</file>