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49" w:rsidRPr="009636E6" w:rsidRDefault="00575C49" w:rsidP="00575C49">
      <w:pPr>
        <w:rPr>
          <w:rFonts w:ascii="Arial" w:hAnsi="Arial" w:cs="Arial"/>
          <w:sz w:val="24"/>
          <w:szCs w:val="24"/>
        </w:rPr>
      </w:pPr>
      <w:r w:rsidRPr="009636E6">
        <w:rPr>
          <w:rFonts w:ascii="Arial" w:hAnsi="Arial" w:cs="Arial"/>
          <w:sz w:val="24"/>
          <w:szCs w:val="24"/>
        </w:rPr>
        <w:t xml:space="preserve">                          Supplementary Tables</w:t>
      </w:r>
      <w:r w:rsidR="00447924" w:rsidRPr="009636E6">
        <w:rPr>
          <w:rFonts w:ascii="Arial" w:hAnsi="Arial" w:cs="Arial"/>
          <w:sz w:val="24"/>
          <w:szCs w:val="24"/>
        </w:rPr>
        <w:t xml:space="preserve"> and Figure</w:t>
      </w:r>
    </w:p>
    <w:p w:rsidR="00447924" w:rsidRPr="009636E6" w:rsidRDefault="00447924" w:rsidP="00575C49">
      <w:pPr>
        <w:rPr>
          <w:rFonts w:ascii="Arial" w:hAnsi="Arial" w:cs="Arial"/>
          <w:sz w:val="24"/>
          <w:szCs w:val="24"/>
        </w:rPr>
      </w:pPr>
    </w:p>
    <w:p w:rsidR="00447924" w:rsidRPr="009636E6" w:rsidRDefault="00447924" w:rsidP="00575C49">
      <w:pPr>
        <w:rPr>
          <w:rFonts w:ascii="Arial" w:hAnsi="Arial" w:cs="Arial"/>
          <w:sz w:val="24"/>
          <w:szCs w:val="24"/>
        </w:rPr>
      </w:pPr>
      <w:r w:rsidRPr="009636E6">
        <w:rPr>
          <w:rFonts w:ascii="Arial" w:hAnsi="Arial" w:cs="Arial"/>
          <w:sz w:val="24"/>
          <w:szCs w:val="24"/>
        </w:rPr>
        <w:t>Supplementary Table 1.</w:t>
      </w:r>
      <w:r w:rsidR="00891608" w:rsidRPr="009636E6">
        <w:rPr>
          <w:rFonts w:ascii="Arial" w:hAnsi="Arial" w:cs="Arial"/>
          <w:sz w:val="24"/>
          <w:szCs w:val="24"/>
        </w:rPr>
        <w:t xml:space="preserve"> Genomic location for 147,888 identified MHBs with 61 WGBS dataset. </w:t>
      </w:r>
      <w:r w:rsidRPr="009636E6">
        <w:rPr>
          <w:rFonts w:ascii="Arial" w:hAnsi="Arial" w:cs="Arial"/>
          <w:sz w:val="24"/>
          <w:szCs w:val="24"/>
        </w:rPr>
        <w:t xml:space="preserve">  </w:t>
      </w:r>
    </w:p>
    <w:p w:rsidR="00891608" w:rsidRPr="009636E6" w:rsidRDefault="00447924" w:rsidP="00891608">
      <w:pPr>
        <w:rPr>
          <w:rFonts w:ascii="Arial" w:hAnsi="Arial" w:cs="Arial"/>
          <w:sz w:val="24"/>
          <w:szCs w:val="24"/>
        </w:rPr>
      </w:pPr>
      <w:r w:rsidRPr="009636E6">
        <w:rPr>
          <w:rFonts w:ascii="Arial" w:hAnsi="Arial" w:cs="Arial"/>
          <w:sz w:val="24"/>
          <w:szCs w:val="24"/>
        </w:rPr>
        <w:t xml:space="preserve">Supplementary Table 2.  </w:t>
      </w:r>
      <w:r w:rsidR="00891608" w:rsidRPr="009636E6">
        <w:rPr>
          <w:rFonts w:ascii="Arial" w:hAnsi="Arial" w:cs="Arial"/>
          <w:sz w:val="24"/>
          <w:szCs w:val="24"/>
        </w:rPr>
        <w:t xml:space="preserve">Genomic location for 1360 tissue specific MHB regions which was applied in random forest model. </w:t>
      </w:r>
    </w:p>
    <w:p w:rsidR="00891608" w:rsidRPr="009636E6" w:rsidRDefault="00447924" w:rsidP="00447924">
      <w:pPr>
        <w:rPr>
          <w:rFonts w:ascii="Arial" w:hAnsi="Arial" w:cs="Arial"/>
          <w:sz w:val="24"/>
          <w:szCs w:val="24"/>
        </w:rPr>
      </w:pPr>
      <w:r w:rsidRPr="009636E6">
        <w:rPr>
          <w:rFonts w:ascii="Arial" w:hAnsi="Arial" w:cs="Arial"/>
          <w:sz w:val="24"/>
          <w:szCs w:val="24"/>
        </w:rPr>
        <w:t xml:space="preserve">Supplementary Table 3.  </w:t>
      </w:r>
      <w:r w:rsidR="00891608" w:rsidRPr="009636E6">
        <w:rPr>
          <w:rFonts w:ascii="Arial" w:hAnsi="Arial" w:cs="Arial"/>
          <w:sz w:val="24"/>
          <w:szCs w:val="24"/>
        </w:rPr>
        <w:t xml:space="preserve">Layer specific MHL regions and the layer specificity index. </w:t>
      </w:r>
    </w:p>
    <w:p w:rsidR="009848D6" w:rsidRPr="009636E6" w:rsidRDefault="00447924" w:rsidP="009848D6">
      <w:pPr>
        <w:rPr>
          <w:rFonts w:ascii="Arial" w:hAnsi="Arial" w:cs="Arial"/>
          <w:sz w:val="24"/>
          <w:szCs w:val="24"/>
        </w:rPr>
      </w:pPr>
      <w:r w:rsidRPr="009636E6">
        <w:rPr>
          <w:rFonts w:ascii="Arial" w:hAnsi="Arial" w:cs="Arial"/>
          <w:sz w:val="24"/>
          <w:szCs w:val="24"/>
        </w:rPr>
        <w:t>Supplementary Table 4</w:t>
      </w:r>
      <w:r w:rsidR="001F523F" w:rsidRPr="009636E6">
        <w:rPr>
          <w:rFonts w:ascii="Arial" w:hAnsi="Arial" w:cs="Arial"/>
          <w:sz w:val="24"/>
          <w:szCs w:val="24"/>
        </w:rPr>
        <w:t>, 5, 6</w:t>
      </w:r>
      <w:bookmarkStart w:id="0" w:name="_GoBack"/>
      <w:bookmarkEnd w:id="0"/>
      <w:r w:rsidR="00957AFE" w:rsidRPr="009636E6">
        <w:rPr>
          <w:rFonts w:ascii="Arial" w:hAnsi="Arial" w:cs="Arial"/>
          <w:sz w:val="24"/>
          <w:szCs w:val="24"/>
        </w:rPr>
        <w:t xml:space="preserve">. </w:t>
      </w:r>
      <w:r w:rsidR="009848D6" w:rsidRPr="009636E6">
        <w:rPr>
          <w:rFonts w:ascii="Arial" w:hAnsi="Arial" w:cs="Arial"/>
          <w:sz w:val="24"/>
          <w:szCs w:val="24"/>
        </w:rPr>
        <w:t xml:space="preserve"> 4738, 4307 and 5428 significant different MHL regions between colon, lung as well as pancreatic cancer plasma and normal plasma. </w:t>
      </w:r>
    </w:p>
    <w:p w:rsidR="009848D6" w:rsidRPr="009636E6" w:rsidRDefault="009848D6" w:rsidP="009848D6">
      <w:pPr>
        <w:rPr>
          <w:rFonts w:ascii="Arial" w:hAnsi="Arial" w:cs="Arial"/>
          <w:sz w:val="24"/>
          <w:szCs w:val="24"/>
        </w:rPr>
      </w:pPr>
    </w:p>
    <w:p w:rsidR="009848D6" w:rsidRPr="009636E6" w:rsidRDefault="009848D6" w:rsidP="009848D6">
      <w:pPr>
        <w:rPr>
          <w:rFonts w:ascii="Arial" w:hAnsi="Arial" w:cs="Arial"/>
          <w:sz w:val="24"/>
          <w:szCs w:val="24"/>
        </w:rPr>
      </w:pPr>
    </w:p>
    <w:p w:rsidR="009848D6" w:rsidRPr="009636E6" w:rsidRDefault="009848D6" w:rsidP="009848D6">
      <w:pPr>
        <w:rPr>
          <w:rFonts w:ascii="Arial" w:hAnsi="Arial" w:cs="Arial"/>
          <w:sz w:val="24"/>
          <w:szCs w:val="24"/>
        </w:rPr>
      </w:pPr>
    </w:p>
    <w:p w:rsidR="009848D6" w:rsidRPr="009636E6" w:rsidRDefault="009848D6" w:rsidP="009848D6">
      <w:pPr>
        <w:rPr>
          <w:rFonts w:ascii="Arial" w:hAnsi="Arial" w:cs="Arial"/>
          <w:sz w:val="24"/>
          <w:szCs w:val="24"/>
        </w:rPr>
      </w:pPr>
    </w:p>
    <w:p w:rsidR="009848D6" w:rsidRPr="009636E6" w:rsidRDefault="009848D6" w:rsidP="009848D6">
      <w:pPr>
        <w:rPr>
          <w:rFonts w:ascii="Arial" w:hAnsi="Arial" w:cs="Arial"/>
          <w:sz w:val="24"/>
          <w:szCs w:val="24"/>
        </w:rPr>
      </w:pPr>
    </w:p>
    <w:p w:rsidR="00447924" w:rsidRPr="009636E6" w:rsidRDefault="00447924" w:rsidP="00575C49">
      <w:pPr>
        <w:rPr>
          <w:rFonts w:ascii="Arial" w:hAnsi="Arial" w:cs="Arial"/>
          <w:sz w:val="24"/>
          <w:szCs w:val="24"/>
        </w:rPr>
      </w:pPr>
    </w:p>
    <w:p w:rsidR="00575C49" w:rsidRPr="009636E6" w:rsidRDefault="00575C49" w:rsidP="00575C49">
      <w:pPr>
        <w:rPr>
          <w:rFonts w:ascii="Arial" w:hAnsi="Arial" w:cs="Arial"/>
          <w:sz w:val="24"/>
          <w:szCs w:val="24"/>
        </w:rPr>
      </w:pPr>
    </w:p>
    <w:p w:rsidR="007C607C" w:rsidRPr="009636E6" w:rsidRDefault="007C607C">
      <w:pPr>
        <w:rPr>
          <w:rFonts w:ascii="Arial" w:hAnsi="Arial" w:cs="Arial"/>
          <w:sz w:val="24"/>
          <w:szCs w:val="24"/>
        </w:rPr>
      </w:pPr>
    </w:p>
    <w:p w:rsidR="007C607C" w:rsidRPr="009636E6" w:rsidRDefault="007C607C">
      <w:pPr>
        <w:rPr>
          <w:rFonts w:ascii="Arial" w:hAnsi="Arial" w:cs="Arial"/>
          <w:sz w:val="24"/>
          <w:szCs w:val="24"/>
        </w:rPr>
      </w:pPr>
      <w:r w:rsidRPr="009636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FD77CE" wp14:editId="53EA05BB">
            <wp:extent cx="5143500" cy="4712824"/>
            <wp:effectExtent l="0" t="0" r="0" b="0"/>
            <wp:docPr id="1" name="Picture 1" descr="C:\Users\shicheng\AppData\Local\Temp\2EB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cheng\AppData\Local\Temp\2EB4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065" cy="47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7C" w:rsidRPr="009636E6" w:rsidRDefault="007C607C">
      <w:pPr>
        <w:rPr>
          <w:rFonts w:ascii="Arial" w:hAnsi="Arial" w:cs="Arial"/>
          <w:color w:val="000000"/>
          <w:sz w:val="24"/>
          <w:szCs w:val="24"/>
        </w:rPr>
      </w:pPr>
      <w:r w:rsidRPr="009636E6">
        <w:rPr>
          <w:rFonts w:ascii="Arial" w:hAnsi="Arial" w:cs="Arial"/>
          <w:color w:val="000000"/>
          <w:sz w:val="24"/>
          <w:szCs w:val="24"/>
        </w:rPr>
        <w:t xml:space="preserve">Supplementary Figure S1. MHBs enrichment of MHBs in H3K4me3 and H3K27ac regions. </w:t>
      </w:r>
      <w:r w:rsidR="004500C0" w:rsidRPr="009636E6">
        <w:rPr>
          <w:rFonts w:ascii="Arial" w:hAnsi="Arial" w:cs="Arial"/>
          <w:color w:val="000000"/>
          <w:sz w:val="24"/>
          <w:szCs w:val="24"/>
        </w:rPr>
        <w:t xml:space="preserve">The columns are 41 different human cell types. Histone maps of H3K27ac, H3K4me1, and H3K4me3 from the Roadmap </w:t>
      </w:r>
      <w:proofErr w:type="spellStart"/>
      <w:r w:rsidR="004500C0" w:rsidRPr="009636E6">
        <w:rPr>
          <w:rFonts w:ascii="Arial" w:hAnsi="Arial" w:cs="Arial"/>
          <w:color w:val="000000"/>
          <w:sz w:val="24"/>
          <w:szCs w:val="24"/>
        </w:rPr>
        <w:t>Epigenomics</w:t>
      </w:r>
      <w:proofErr w:type="spellEnd"/>
      <w:r w:rsidR="004500C0" w:rsidRPr="009636E6">
        <w:rPr>
          <w:rFonts w:ascii="Arial" w:hAnsi="Arial" w:cs="Arial"/>
          <w:color w:val="000000"/>
          <w:sz w:val="24"/>
          <w:szCs w:val="24"/>
        </w:rPr>
        <w:t xml:space="preserve"> Project. </w:t>
      </w: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  <w:r w:rsidRPr="009636E6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76950" cy="1775637"/>
            <wp:effectExtent l="0" t="0" r="5080" b="0"/>
            <wp:docPr id="13" name="Picture 13" descr="C:\Users\shicheng\AppData\Local\Temp\3D2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cheng\AppData\Local\Temp\3D21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170" cy="177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09" w:rsidRPr="009636E6" w:rsidRDefault="00462D09" w:rsidP="00462D09">
      <w:pPr>
        <w:rPr>
          <w:rFonts w:ascii="Arial" w:hAnsi="Arial" w:cs="Arial"/>
          <w:color w:val="000000"/>
          <w:sz w:val="24"/>
          <w:szCs w:val="24"/>
        </w:rPr>
      </w:pPr>
      <w:r w:rsidRPr="009636E6">
        <w:rPr>
          <w:rFonts w:ascii="Arial" w:hAnsi="Arial" w:cs="Arial"/>
          <w:color w:val="000000"/>
          <w:sz w:val="24"/>
          <w:szCs w:val="24"/>
        </w:rPr>
        <w:t>Supplementary Figure 2. Relationship between R</w:t>
      </w:r>
      <w:r w:rsidRPr="009636E6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9636E6">
        <w:rPr>
          <w:rFonts w:ascii="Arial" w:hAnsi="Arial" w:cs="Arial"/>
          <w:color w:val="000000"/>
          <w:sz w:val="24"/>
          <w:szCs w:val="24"/>
        </w:rPr>
        <w:t xml:space="preserve"> and Relative Distance between Pair-wise </w:t>
      </w:r>
      <w:proofErr w:type="spellStart"/>
      <w:r w:rsidRPr="009636E6">
        <w:rPr>
          <w:rFonts w:ascii="Arial" w:hAnsi="Arial" w:cs="Arial"/>
          <w:color w:val="000000"/>
          <w:sz w:val="24"/>
          <w:szCs w:val="24"/>
        </w:rPr>
        <w:t>CpGs</w:t>
      </w:r>
      <w:proofErr w:type="spellEnd"/>
      <w:r w:rsidRPr="009636E6">
        <w:rPr>
          <w:rFonts w:ascii="Arial" w:hAnsi="Arial" w:cs="Arial"/>
          <w:color w:val="000000"/>
          <w:sz w:val="24"/>
          <w:szCs w:val="24"/>
        </w:rPr>
        <w:t xml:space="preserve"> (adjusted by length of </w:t>
      </w:r>
      <w:proofErr w:type="spellStart"/>
      <w:r w:rsidRPr="009636E6">
        <w:rPr>
          <w:rFonts w:ascii="Arial" w:hAnsi="Arial" w:cs="Arial"/>
          <w:color w:val="000000"/>
          <w:sz w:val="24"/>
          <w:szCs w:val="24"/>
        </w:rPr>
        <w:t>MethyBlock</w:t>
      </w:r>
      <w:proofErr w:type="spellEnd"/>
      <w:r w:rsidRPr="009636E6">
        <w:rPr>
          <w:rFonts w:ascii="Arial" w:hAnsi="Arial" w:cs="Arial"/>
          <w:color w:val="000000"/>
          <w:sz w:val="24"/>
          <w:szCs w:val="24"/>
        </w:rPr>
        <w:t>)</w:t>
      </w:r>
      <w:r w:rsidR="00E952E2" w:rsidRPr="009636E6">
        <w:rPr>
          <w:rFonts w:ascii="Arial" w:hAnsi="Arial" w:cs="Arial"/>
          <w:color w:val="000000"/>
          <w:sz w:val="24"/>
          <w:szCs w:val="24"/>
        </w:rPr>
        <w:t xml:space="preserve">. </w:t>
      </w:r>
      <w:r w:rsidRPr="009636E6">
        <w:rPr>
          <w:rFonts w:ascii="Arial" w:hAnsi="Arial" w:cs="Arial"/>
          <w:color w:val="000000"/>
          <w:sz w:val="24"/>
          <w:szCs w:val="24"/>
        </w:rPr>
        <w:t>We can find Linkage disequilibrium (R</w:t>
      </w:r>
      <w:r w:rsidRPr="009636E6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9636E6">
        <w:rPr>
          <w:rFonts w:ascii="Arial" w:hAnsi="Arial" w:cs="Arial"/>
          <w:color w:val="000000"/>
          <w:sz w:val="24"/>
          <w:szCs w:val="24"/>
        </w:rPr>
        <w:t xml:space="preserve">) begins to decay from very nearby neighbor </w:t>
      </w:r>
      <w:proofErr w:type="spellStart"/>
      <w:r w:rsidRPr="009636E6">
        <w:rPr>
          <w:rFonts w:ascii="Arial" w:hAnsi="Arial" w:cs="Arial"/>
          <w:color w:val="000000"/>
          <w:sz w:val="24"/>
          <w:szCs w:val="24"/>
        </w:rPr>
        <w:t>CpGs</w:t>
      </w:r>
      <w:proofErr w:type="spellEnd"/>
      <w:r w:rsidRPr="009636E6">
        <w:rPr>
          <w:rFonts w:ascii="Arial" w:hAnsi="Arial" w:cs="Arial"/>
          <w:color w:val="000000"/>
          <w:sz w:val="24"/>
          <w:szCs w:val="24"/>
        </w:rPr>
        <w:t xml:space="preserve"> therefore the decay coefficient is large than normal and stem cells. In contrast, stem cell and normal seems to decay at far </w:t>
      </w:r>
      <w:proofErr w:type="spellStart"/>
      <w:r w:rsidRPr="009636E6">
        <w:rPr>
          <w:rFonts w:ascii="Arial" w:hAnsi="Arial" w:cs="Arial"/>
          <w:color w:val="000000"/>
          <w:sz w:val="24"/>
          <w:szCs w:val="24"/>
        </w:rPr>
        <w:t>CpGs</w:t>
      </w:r>
      <w:proofErr w:type="spellEnd"/>
      <w:r w:rsidRPr="009636E6">
        <w:rPr>
          <w:rFonts w:ascii="Arial" w:hAnsi="Arial" w:cs="Arial"/>
          <w:color w:val="000000"/>
          <w:sz w:val="24"/>
          <w:szCs w:val="24"/>
        </w:rPr>
        <w:t xml:space="preserve"> therefore the decay coefficient is smaller. </w:t>
      </w:r>
    </w:p>
    <w:p w:rsidR="00462D09" w:rsidRPr="009636E6" w:rsidRDefault="00462D09">
      <w:pPr>
        <w:rPr>
          <w:rFonts w:ascii="Arial" w:hAnsi="Arial" w:cs="Arial"/>
          <w:color w:val="000000"/>
          <w:sz w:val="24"/>
          <w:szCs w:val="24"/>
        </w:rPr>
      </w:pPr>
    </w:p>
    <w:sectPr w:rsidR="00462D09" w:rsidRPr="00963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DC"/>
    <w:rsid w:val="000145DC"/>
    <w:rsid w:val="001F523F"/>
    <w:rsid w:val="00447924"/>
    <w:rsid w:val="004500C0"/>
    <w:rsid w:val="00462D09"/>
    <w:rsid w:val="004F06FE"/>
    <w:rsid w:val="00575C49"/>
    <w:rsid w:val="007C607C"/>
    <w:rsid w:val="00891608"/>
    <w:rsid w:val="00957AFE"/>
    <w:rsid w:val="009636E6"/>
    <w:rsid w:val="009848D6"/>
    <w:rsid w:val="009A7F49"/>
    <w:rsid w:val="00E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13060-C16A-44D0-A594-F9407812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D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11</cp:revision>
  <dcterms:created xsi:type="dcterms:W3CDTF">2016-02-29T10:21:00Z</dcterms:created>
  <dcterms:modified xsi:type="dcterms:W3CDTF">2016-03-10T00:55:00Z</dcterms:modified>
</cp:coreProperties>
</file>