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МІНІСТЕРСТВО ОСВІТИ І НАУКИ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НАЦІОНАЛЬНИЙ ТЕХНІЧНИЙ УНІВЕРСИТЕТ “ХПІ”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Кафедра “Обчислювальна техніка та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Розрахункове завдання з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«Програмування ч.2»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Пояснювальна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ЄСПД ГОСТ 19.404-79(СТЗВО-ХПІ-2.01-2018 ССОНП)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82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firstLine="482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482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482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678" w:firstLine="709.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Розробники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spacing w:after="60" w:before="240" w:line="216" w:lineRule="auto"/>
        <w:ind w:left="4678" w:firstLine="709.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Виконав: Саламатін Р.О.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678" w:firstLine="709.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студент групи  КІТ-120Д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371" w:firstLine="1.000000000000227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678" w:firstLine="709.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Перевірив:     Пасько Д.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678" w:firstLine="709.0000000000003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4678" w:firstLine="481.9999999999999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Харків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48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ЗАТВЕРДЖЕНО</w:t>
      </w:r>
    </w:p>
    <w:p w:rsidR="00000000" w:rsidDel="00000000" w:rsidP="00000000" w:rsidRDefault="00000000" w:rsidRPr="00000000" w14:paraId="0000001E">
      <w:pPr>
        <w:ind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ЄСПД ГОСТ 19.404-79(СТЗВО-ХПІ-2.01-2018 ССОНП)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482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482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Розрахункове завдання з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«Програмуваня ч.2»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Пояснювальна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Листів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1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ЄСПД ГОСТ 19.404-79(СТЗВО-ХПІ-2.01-2018 ССОНП)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Харків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Тема роботи: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Розробка інформаційно-довідкової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482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Закріпити отримані знання з дисципліни «Програмування ч.2» шляхом використання типового комплексного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Призначення та галузь застосування;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завдання до розробки;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вхідних та вихідних даних;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складу технічних та програмних засобів;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джерел інформації;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Додаток, який складається з розробленого коду. </w:t>
      </w:r>
    </w:p>
    <w:p w:rsidR="00000000" w:rsidDel="00000000" w:rsidP="00000000" w:rsidRDefault="00000000" w:rsidRPr="00000000" w14:paraId="00000045">
      <w:pPr>
        <w:ind w:left="482" w:firstLine="709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Призначення та галузь застосування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Об'єктно-орієнтоване програмування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u w:val="none"/>
          <w:rtl w:val="0"/>
        </w:rPr>
        <w:t xml:space="preserve"> — одна з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z w:val="28"/>
            <w:szCs w:val="28"/>
            <w:u w:val="none"/>
            <w:rtl w:val="0"/>
          </w:rPr>
          <w:t xml:space="preserve">парадигм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u w:val="no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sz w:val="28"/>
            <w:szCs w:val="28"/>
            <w:u w:val="none"/>
            <w:rtl w:val="0"/>
          </w:rPr>
          <w:t xml:space="preserve">програмування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u w:val="none"/>
          <w:rtl w:val="0"/>
        </w:rPr>
        <w:t xml:space="preserve">, яка розглядає програму як множину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z w:val="28"/>
            <w:szCs w:val="28"/>
            <w:u w:val="none"/>
            <w:rtl w:val="0"/>
          </w:rPr>
          <w:t xml:space="preserve">«об'єктів»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u w:val="none"/>
          <w:rtl w:val="0"/>
        </w:rPr>
        <w:t xml:space="preserve">, що взаємодіють між собою. Основу ООП складають чотири основні концепції: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z w:val="28"/>
            <w:szCs w:val="28"/>
            <w:u w:val="none"/>
            <w:rtl w:val="0"/>
          </w:rPr>
          <w:t xml:space="preserve">інкапсуляція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u w:val="none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sz w:val="28"/>
            <w:szCs w:val="28"/>
            <w:u w:val="none"/>
            <w:rtl w:val="0"/>
          </w:rPr>
          <w:t xml:space="preserve">успадкування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u w:val="none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sz w:val="28"/>
            <w:szCs w:val="28"/>
            <w:u w:val="none"/>
            <w:rtl w:val="0"/>
          </w:rPr>
          <w:t xml:space="preserve">поліморфізм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u w:val="none"/>
          <w:rtl w:val="0"/>
        </w:rPr>
        <w:t xml:space="preserve"> та абстракція. Однією з переваг ООП є краща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z w:val="28"/>
            <w:szCs w:val="28"/>
            <w:u w:val="none"/>
            <w:rtl w:val="0"/>
          </w:rPr>
          <w:t xml:space="preserve">модульність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u w:val="none"/>
          <w:rtl w:val="0"/>
        </w:rPr>
        <w:t xml:space="preserve"> програмного забезпечення (тисячу функцій процедурної мови, в ООП можна замінити кількома десятками класів із своїми методами). Попри те, що ця парадигма з'явилась в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sz w:val="28"/>
            <w:szCs w:val="28"/>
            <w:u w:val="none"/>
            <w:rtl w:val="0"/>
          </w:rPr>
          <w:t xml:space="preserve">1960-х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u w:val="none"/>
          <w:rtl w:val="0"/>
        </w:rPr>
        <w:t xml:space="preserve"> роках, вона не мала широкого застосування до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sz w:val="28"/>
            <w:szCs w:val="28"/>
            <w:u w:val="none"/>
            <w:rtl w:val="0"/>
          </w:rPr>
          <w:t xml:space="preserve">1990-х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u w:val="none"/>
          <w:rtl w:val="0"/>
        </w:rPr>
        <w:t xml:space="preserve">, коли розвиток комп'ютерів та комп'ютерних мереж дав змогу писати надзвичайно об'ємне і складне програмне забезпечення, що змусило переглянути підходи до написання програм.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482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Постановка завдання до розробки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При виконанні завдання з розробки інформаційно-довідкової системи необхідно виконати наступне: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розділу «Розрахункове завдання/Індивідуальне завдання», відповідно до варіанта завдання, обрати прикладну галузь(варіант 3).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прикладної галузі розробити розгалужену ієрархію класів, що описана у завданні та складається з одного базового класу та двох спадкоємців. Клас повинен мати перевантажені оператори.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клас-список, що буде включати до себе масив вказівників до базового класу. А також базові методи роботи з списком: а) очистка списку б) відображення списку в) додавання/видалення/оновлення.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клас-контролер, що буде включати колекцію розроблених класів, та наступні методи роботи з колекцією: а) читання даних з файлу б) запис даних у файл.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клас меню, який має відображати діалогове меню для демонстрації реалізованих функцій класу контролера.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Виконати перевірку вхідних даних за допомогою регулярних виразів.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Оформити документацію: пояснювальну записку.</w:t>
      </w:r>
    </w:p>
    <w:p w:rsidR="00000000" w:rsidDel="00000000" w:rsidP="00000000" w:rsidRDefault="00000000" w:rsidRPr="00000000" w14:paraId="00000054">
      <w:pPr>
        <w:ind w:firstLine="482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Опис вхідних та вихідних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Ім'я працівника (string fullName).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Компанія в котрій працює працівник(string company).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поштова скринька (string mail).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Характеристика працівника (string characteristic).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Стаж працівника у місяцях (int workExperience).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Наявність страховки у працівника (bool insurance).</w:t>
      </w:r>
    </w:p>
    <w:p w:rsidR="00000000" w:rsidDel="00000000" w:rsidP="00000000" w:rsidRDefault="00000000" w:rsidRPr="00000000" w14:paraId="0000005E">
      <w:pPr>
        <w:ind w:firstLine="482"/>
        <w:jc w:val="both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Список, котрий складається із Працівників спадкоємців, а саме Програмістів та Перекладачв </w:t>
      </w:r>
    </w:p>
    <w:p w:rsidR="00000000" w:rsidDel="00000000" w:rsidP="00000000" w:rsidRDefault="00000000" w:rsidRPr="00000000" w14:paraId="00000061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Опис складу технічних та програмних засобів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Створено базовий клас та двох спадкоємців відповідно до свого індивідуального завдання(7-ий варіант).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Створено методи читання даних з файлу та запис даних у файл 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Створено методи додавання та видалення, та редагування елементу за вибором користувача.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Створено функцію меню для зручного користування програмою.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Створено методи пошуку працівника зі страховкою.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Створено метод сортування учнів по класу (Зростанню і зменшенням).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Застосовані регулярні вирази для перевірки вхідних даних.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Виконано перевантаження операторів.</w:t>
      </w:r>
    </w:p>
    <w:p w:rsidR="00000000" w:rsidDel="00000000" w:rsidP="00000000" w:rsidRDefault="00000000" w:rsidRPr="00000000" w14:paraId="0000006D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Реалізація програми для виконання завдання</w:t>
      </w:r>
    </w:p>
    <w:p w:rsidR="00000000" w:rsidDel="00000000" w:rsidP="00000000" w:rsidRDefault="00000000" w:rsidRPr="00000000" w14:paraId="0000006E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Рис.1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 класів для даної програми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-346709</wp:posOffset>
            </wp:positionH>
            <wp:positionV relativeFrom="paragraph">
              <wp:posOffset>635</wp:posOffset>
            </wp:positionV>
            <wp:extent cx="6665595" cy="3971290"/>
            <wp:effectExtent b="0" l="0" r="0" t="0"/>
            <wp:wrapSquare wrapText="bothSides" distB="0" distT="0" distL="0" distR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3971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842" w:firstLine="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Рис 2. Базовий абстрактний клас Працівника з віртуальними методами та реалізованими перевантаженими методами порівняння елементів(які впорядковуються через поле стажу роботи)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343535</wp:posOffset>
            </wp:positionH>
            <wp:positionV relativeFrom="paragraph">
              <wp:posOffset>635</wp:posOffset>
            </wp:positionV>
            <wp:extent cx="5196840" cy="3637915"/>
            <wp:effectExtent b="0" l="0" r="0" t="0"/>
            <wp:wrapSquare wrapText="bothSides" distB="0" distT="0" distL="0" distR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637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1318895</wp:posOffset>
            </wp:positionH>
            <wp:positionV relativeFrom="paragraph">
              <wp:posOffset>635</wp:posOffset>
            </wp:positionV>
            <wp:extent cx="3093720" cy="2240280"/>
            <wp:effectExtent b="0" l="0" r="0" t="0"/>
            <wp:wrapSquare wrapText="bothSides" distB="0" distT="0" distL="0" distR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24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br w:type="textWrapping"/>
        <w:t xml:space="preserve">Рис.3 Гетери та сетери базового класу Працівник</w:t>
      </w:r>
    </w:p>
    <w:p w:rsidR="00000000" w:rsidDel="00000000" w:rsidP="00000000" w:rsidRDefault="00000000" w:rsidRPr="00000000" w14:paraId="0000007B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842" w:firstLine="709.000000000000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842" w:firstLine="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Рис.4 Клас спадкоємець Програміст, який містить захищені поля,конструктори(базовий та з полями) та деструктор, а також перевантажені методи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267335</wp:posOffset>
            </wp:positionH>
            <wp:positionV relativeFrom="paragraph">
              <wp:posOffset>635</wp:posOffset>
            </wp:positionV>
            <wp:extent cx="5196840" cy="2105660"/>
            <wp:effectExtent b="0" l="0" r="0" t="0"/>
            <wp:wrapSquare wrapText="bothSides" distB="0" distT="0" distL="0" distR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105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ind w:left="8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Рис.5 Клас спадкоємець Перекладач, який містить захищені поля,конструктори(базовий та з полями) та деструктор, а також перевантажені методи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361565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1368425</wp:posOffset>
            </wp:positionH>
            <wp:positionV relativeFrom="paragraph">
              <wp:posOffset>635</wp:posOffset>
            </wp:positionV>
            <wp:extent cx="2994660" cy="1866900"/>
            <wp:effectExtent b="0" l="0" r="0" t="0"/>
            <wp:wrapSquare wrapText="bothSides" distB="0" distT="0" distL="0" distR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br w:type="textWrapping"/>
        <w:br w:type="textWrapping"/>
        <w:br w:type="textWrapping"/>
        <w:t xml:space="preserve">Рис.6 Клас Список, котрий містить колекцію Vector з вказівниками </w:t>
        <w:br w:type="textWrapping"/>
        <w:t xml:space="preserve">на базовий абстрактний клас Працівника, а також має методи роботи з ними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Рис.7 Методи для роботи зі Списком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  <w:drawing>
          <wp:inline distB="114300" distT="114300" distL="114300" distR="114300">
            <wp:extent cx="4772025" cy="41148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Рис.8 Реалізація методів для генерації та перевірки вхідних даних з клавіатури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br w:type="textWrapping"/>
        <w:br w:type="textWrapping"/>
        <w:t xml:space="preserve">Результати роботи програми: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  <w:drawing>
          <wp:inline distB="114300" distT="114300" distL="114300" distR="114300">
            <wp:extent cx="5731200" cy="1460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br w:type="textWrapping"/>
        <w:t xml:space="preserve">Рис.8 Вміст файлу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зі списком працівників</w:t>
        <w:br w:type="textWrapping"/>
        <w:t xml:space="preserve">(Перша змінна зберігає у собі к-сть співробітників у списку,</w:t>
        <w:br w:type="textWrapping"/>
        <w:t xml:space="preserve"> кожен наступний рядок інформацію про кожного працівника)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  <w:drawing>
          <wp:inline distB="114300" distT="114300" distL="114300" distR="114300">
            <wp:extent cx="5731200" cy="6959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br w:type="textWrapping"/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ис.9 Приклад створення нового елементу до списку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</w:rPr>
        <w:drawing>
          <wp:inline distB="114300" distT="114300" distL="114300" distR="114300">
            <wp:extent cx="5524500" cy="53244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br w:type="textWrapping"/>
        <w:t xml:space="preserve">Рис.10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виводу списку у консоль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8961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Рис.11 Результат видалення та перевірки у списку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8470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4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Рис.12 Результат зчитування з файлу та відображення у консоль(ці дані були записані за допомогою цієї ж програми при попередньому запуску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5466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Рис.13 Результат пошуку Працівників зі страхуванням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</w:rPr>
        <w:drawing>
          <wp:inline distB="114300" distT="114300" distL="114300" distR="114300">
            <wp:extent cx="3638550" cy="73437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Рис.14 Приклад роботи методу для зміни створених змінних( у процесі покращення 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29275" cy="46101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Рис.15 Сортування за стажем роботи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1952625</wp:posOffset>
            </wp:positionV>
            <wp:extent cx="5731510" cy="2258695"/>
            <wp:effectExtent b="0" l="0" r="0" t="0"/>
            <wp:wrapSquare wrapText="bothSides" distB="0" distT="0" distL="0" distR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Закріп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t xml:space="preserve"> отримані знання з дисципліни «Програмування» шляхом використання типового комплексного завдання. Створено програму для утримання працівників у списку, котрий 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у собі Програмістів та Перекладачів. Для цього було створено базовий абстрактний клас Працівник та його методи. Для нього створено спадкоємців, клас Список та клас Помічник для виводу списку та роботи з ним.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Список джерел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482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Ашарина, И.В. Объектно-ориентированное программирование в С++: лекции и упражнения: Учебное пособие для вузов / И.В. Ашарина. - М.: РиС, 2015. - 336 c.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Ашарина, И.В. Язык С++ и объектно-ориентированное программирование в С++. Лабораторный практикум: Учебное пособие для вузов / И.В. Ашарина, Ж.Ф. Крупская. - М.: ГЛТ , 2015. - 232 c.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Лафоре, Р. Объектно-ориентированное программирование в C++. Классика Computer Science / Р. Лафоре. - СПб.: Питер, 2013. - 928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Лабораторний практикум С++ / Давидов В., Молчанов Г.І.</w:t>
        <w:br w:type="textWrapping"/>
        <w:br w:type="textWrapping"/>
        <w:br w:type="textWrapping"/>
        <w:br w:type="textWrapping"/>
        <w:br w:type="textWrapping"/>
        <w:br w:type="textWrapping"/>
        <w:t xml:space="preserve">Код: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uk-UA"/>
    </w:rPr>
  </w:style>
  <w:style w:type="paragraph" w:styleId="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6Char" w:customStyle="1">
    <w:name w:val="Heading 6 Char"/>
    <w:basedOn w:val="DefaultParagraphFont"/>
    <w:link w:val="Heading6"/>
    <w:uiPriority w:val="9"/>
    <w:qFormat w:val="1"/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</w:rPr>
  </w:style>
  <w:style w:type="character" w:styleId="Style13">
    <w:name w:val="Интернет-ссылка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tyle14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8">
    <w:name w:val="Указатель"/>
    <w:basedOn w:val="Normal"/>
    <w:qFormat w:val="1"/>
    <w:pPr>
      <w:suppressLineNumbers w:val="1"/>
    </w:pPr>
    <w:rPr>
      <w:rFonts w:cs="Arial"/>
    </w:rPr>
  </w:style>
  <w:style w:type="paragraph" w:styleId="10085" w:customStyle="1">
    <w:name w:val="Стиль 10 пт Первая строка:  085 см"/>
    <w:basedOn w:val="Normal"/>
    <w:qFormat w:val="1"/>
    <w:rsid w:val="0C8EEA65"/>
    <w:pPr>
      <w:ind w:firstLine="482"/>
      <w:jc w:val="both"/>
    </w:pPr>
    <w:rPr>
      <w:rFonts w:ascii="Times New Roman" w:cs="Times New Roman" w:eastAsia="Times New Roman" w:hAnsi="Times New Roman"/>
      <w:sz w:val="20"/>
      <w:szCs w:val="20"/>
      <w:lang w:val="uk-UA"/>
    </w:rPr>
  </w:style>
  <w:style w:type="paragraph" w:styleId="ListParagraph">
    <w:name w:val="List Paragraph"/>
    <w:basedOn w:val="Normal"/>
    <w:uiPriority w:val="34"/>
    <w:qFormat w:val="1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9.png"/><Relationship Id="rId21" Type="http://schemas.openxmlformats.org/officeDocument/2006/relationships/image" Target="media/image13.png"/><Relationship Id="rId24" Type="http://schemas.openxmlformats.org/officeDocument/2006/relationships/image" Target="media/image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.wikipedia.org/wiki/%D0%9E%D0%B1'%D1%94%D0%BA%D1%82_(%D0%BF%D1%80%D0%BE%D0%B3%D1%80%D0%B0%D0%BC%D1%83%D0%B2%D0%B0%D0%BD%D0%BD%D1%8F)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14.png"/><Relationship Id="rId28" Type="http://schemas.openxmlformats.org/officeDocument/2006/relationships/image" Target="media/image15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hyperlink" Target="https://uk.wikipedia.org/wiki/%D0%9F%D0%B0%D1%80%D0%B0%D0%B4%D0%B8%D0%B3%D0%BC%D0%B8_%D0%BF%D1%80%D0%BE%D0%B3%D1%80%D0%B0%D0%BC%D1%83%D0%B2%D0%B0%D0%BD%D0%BD%D1%8F" TargetMode="External"/><Relationship Id="rId8" Type="http://schemas.openxmlformats.org/officeDocument/2006/relationships/hyperlink" Target="https://uk.wikipedia.org/wiki/%D0%9F%D1%80%D0%BE%D0%B3%D1%80%D0%B0%D0%BC%D1%83%D0%B2%D0%B0%D0%BD%D0%BD%D1%8F" TargetMode="External"/><Relationship Id="rId31" Type="http://schemas.openxmlformats.org/officeDocument/2006/relationships/image" Target="media/image7.png"/><Relationship Id="rId30" Type="http://schemas.openxmlformats.org/officeDocument/2006/relationships/image" Target="media/image8.png"/><Relationship Id="rId11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10" Type="http://schemas.openxmlformats.org/officeDocument/2006/relationships/hyperlink" Target="https://uk.wikipedia.org/wiki/%D0%86%D0%BD%D0%BA%D0%B0%D0%BF%D1%81%D1%83%D0%BB%D1%8F%D1%86%D1%96%D1%8F" TargetMode="External"/><Relationship Id="rId13" Type="http://schemas.openxmlformats.org/officeDocument/2006/relationships/hyperlink" Target="https://uk.wikipedia.org/wiki/%D0%9C%D0%BE%D0%B4%D1%83%D0%BB%D1%8C_(%D0%BF%D1%80%D0%BE%D0%B3%D1%80%D0%B0%D0%BC%D1%83%D0%B2%D0%B0%D0%BD%D0%BD%D1%8F)" TargetMode="External"/><Relationship Id="rId12" Type="http://schemas.openxmlformats.org/officeDocument/2006/relationships/hyperlink" Target="https://uk.wikipedia.org/wiki/%D0%9F%D0%BE%D0%BB%D1%96%D0%BC%D0%BE%D1%80%D1%84%D1%96%D0%B7%D0%BC_(%D0%BF%D1%80%D0%BE%D0%B3%D1%80%D0%B0%D0%BC%D1%83%D0%B2%D0%B0%D0%BD%D0%BD%D1%8F)" TargetMode="External"/><Relationship Id="rId15" Type="http://schemas.openxmlformats.org/officeDocument/2006/relationships/hyperlink" Target="https://uk.wikipedia.org/wiki/1990-%D1%82%D1%96" TargetMode="External"/><Relationship Id="rId14" Type="http://schemas.openxmlformats.org/officeDocument/2006/relationships/hyperlink" Target="https://uk.wikipedia.org/wiki/1960-%D1%82%D1%96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SmZNrSlz9i6VoZ297aAWBBFIg==">AMUW2mXcamJxgwENFry+5kWRb/cx+1H2S09DEbQWIM5uoEW5LEgzVd3zy7/vWVs8m7Ygl5LMYY6abcu5InO+tsLnAcIL/hux+PI88HXzjrTni+/vsubcj10=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2021-06-10T11:42:31Z</dcterms:created>
  <dc:creator>Олександр Володимирович Руденко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