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№17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Модульні тести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Придбати навички з розроблення модульних тестів.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867400" cy="1819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функція перевірки сортування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170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приклад виконання завдання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Отримано навички створення тестів для лабораторної роботи 15.</w:t>
        <w:br w:type="textWrapping"/>
      </w:r>
    </w:p>
    <w:sectPr>
      <w:head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HhlkkQEUd5qxjxFJRKARqZ6IAw==">AMUW2mUYtQLHrp69SaoQG48El0ZtgBLaocmeNDzVcEFBWDckEXbbnrBGr0U/b70yqWYU8ML5YudqjFmnsCh0wEKB0OqKNREuCkhGsiVKPm0KrxKpcwHid0c=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