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№26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ООП. Спадкування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435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2781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2933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Рис.1 - </w:t>
      </w:r>
      <w:r w:rsidDel="00000000" w:rsidR="00000000" w:rsidRPr="00000000">
        <w:rPr>
          <w:rtl w:val="0"/>
        </w:rPr>
        <w:t xml:space="preserve">Клас спадкоємець Програміст від Працівника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2838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Рис.2 - Клас спадкоємець Перекладач від Працівника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37242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Рис.3 - Приклад списку для об’єктів класу Програміст</w:t>
        <w:br w:type="textWrapping"/>
      </w:r>
      <w:r w:rsidDel="00000000" w:rsidR="00000000" w:rsidRPr="00000000">
        <w:rPr/>
        <w:drawing>
          <wp:inline distB="114300" distT="114300" distL="114300" distR="114300">
            <wp:extent cx="4914900" cy="4076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Рис.4 - Приклад списку для об’єктів класу Перекладачів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572125" cy="1295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Приклад пошуку працівників з синхронним перекладом</w:t>
        <w:br w:type="textWrapping"/>
        <w:t xml:space="preserve"> та досвідом роботи більше ніж 5 років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00625" cy="12763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Рис.6 - Приклад пошуку працівників рівня Middle </w:t>
        <w:br w:type="textWrapping"/>
        <w:t xml:space="preserve">з досвідом роботи більше ніж рік</w:t>
        <w:br w:type="textWrapping"/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в даній лабораторній роботі я навчився застосовувати концепцію ООП, а саме спадкування, та створив спадкоємців і списки з додатковими методами, які працюють з ними. </w:t>
      </w:r>
    </w:p>
    <w:sectPr>
      <w:headerReference r:id="rId15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V4LRbFlHid389mzGE+ECJlKK/g==">AMUW2mW0Hr+p5nKJG3neNBf4gHkxw1dOs9XNI+LY3LmK8ak0XL0RlrnSnbVVlqUv49uGUt5qQvdu8f9ZlJGnvx5BEkJ9BvKVSM6KlH7ZpGqTlPippscwQ38=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