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1.Для виконання лабораторної роботи застосована колекція vektor, методи CRUD були налаштовані для роботи з цією колекцією.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57825" cy="5695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Методи CRUD для роботи зі Списком за допомогою колекції vector</w:t>
        <w:br w:type="textWrapping"/>
        <w:br w:type="textWrapping"/>
        <w:t xml:space="preserve">2.Для сортування було застосовано функтор Compare().</w:t>
        <w:br w:type="textWrapping"/>
      </w:r>
      <w:r w:rsidDel="00000000" w:rsidR="00000000" w:rsidRPr="00000000">
        <w:rPr/>
        <w:drawing>
          <wp:inline distB="114300" distT="114300" distL="114300" distR="114300">
            <wp:extent cx="5619750" cy="1609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tab/>
        <w:tab/>
        <w:tab/>
        <w:t xml:space="preserve">Рис.2 - функтор Compare()</w:t>
        <w:tab/>
        <w:br w:type="textWrapping"/>
        <w:tab/>
        <w:t xml:space="preserve">  </w:t>
      </w:r>
      <w:r w:rsidDel="00000000" w:rsidR="00000000" w:rsidRPr="00000000">
        <w:rPr/>
        <w:drawing>
          <wp:inline distB="114300" distT="114300" distL="114300" distR="114300">
            <wp:extent cx="4733925" cy="2466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br w:type="textWrapping"/>
        <w:tab/>
        <w:tab/>
        <w:t xml:space="preserve">Рис.2 - метод сортування з використанням функтора </w:t>
        <w:br w:type="textWrapping"/>
        <w:t xml:space="preserve">3.Виконано звичайне поєднання списку за допомогою запису у кінець списку.</w:t>
        <w:br w:type="textWrapping"/>
        <w:br w:type="textWrapping"/>
        <w:tab/>
        <w:tab/>
      </w:r>
      <w:r w:rsidDel="00000000" w:rsidR="00000000" w:rsidRPr="00000000">
        <w:rPr/>
        <w:drawing>
          <wp:inline distB="114300" distT="114300" distL="114300" distR="114300">
            <wp:extent cx="3971925" cy="857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tab/>
        <w:t xml:space="preserve">      Рис.3 Метод об’єднання списків до основного</w:t>
      </w:r>
      <w:r w:rsidDel="00000000" w:rsidR="00000000" w:rsidRPr="00000000">
        <w:rPr>
          <w:b w:val="1"/>
          <w:rtl w:val="0"/>
        </w:rPr>
        <w:br w:type="textWrapping"/>
        <w:t xml:space="preserve">Висновок:</w:t>
      </w:r>
      <w:r w:rsidDel="00000000" w:rsidR="00000000" w:rsidRPr="00000000">
        <w:rPr>
          <w:rtl w:val="0"/>
        </w:rPr>
        <w:t xml:space="preserve"> в даній лабораторній роботі було отримано практичні навичка із застосуванням стандартної колекції vector, та було побудовано клас Список для виконання завдання, придбано навички роботи з функторами, а саме для методу сортування, і створено найпростіший метод об’єднання Списків.</w:t>
      </w:r>
    </w:p>
    <w:sectPr>
      <w:headerReference r:id="rId1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4HsH/6+3yyHUmAl1oVXutL1gCQ==">AMUW2mWTzvV+s06uVtk2QvqC74wKByonHSBdHokAv6ykwL44mZt31y0qcosagCka68DLnjqZfXh1MN26i8vXVygWtK09wbBJYXC4W2PsHeZZtlIIvYznpNw=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