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D1912" w14:textId="77777777" w:rsidR="00CD6BFD" w:rsidRDefault="00CD6BFD" w:rsidP="008A2B7E">
      <w:pPr>
        <w:spacing w:line="480" w:lineRule="auto"/>
        <w:jc w:val="center"/>
        <w:rPr>
          <w:rFonts w:asciiTheme="minorBidi" w:hAnsiTheme="minorBidi"/>
          <w:b/>
          <w:bCs/>
        </w:rPr>
      </w:pPr>
    </w:p>
    <w:p w14:paraId="1413AD53" w14:textId="77777777" w:rsidR="00CD6BFD" w:rsidRDefault="00CD6BFD" w:rsidP="008A2B7E">
      <w:pPr>
        <w:spacing w:line="480" w:lineRule="auto"/>
        <w:jc w:val="center"/>
        <w:rPr>
          <w:rFonts w:asciiTheme="minorBidi" w:hAnsiTheme="minorBidi"/>
          <w:b/>
          <w:bCs/>
        </w:rPr>
      </w:pPr>
    </w:p>
    <w:p w14:paraId="0DACC6C1" w14:textId="77777777" w:rsidR="00CD6BFD" w:rsidRDefault="00CD6BFD" w:rsidP="008A2B7E">
      <w:pPr>
        <w:spacing w:line="480" w:lineRule="auto"/>
        <w:jc w:val="center"/>
        <w:rPr>
          <w:rFonts w:asciiTheme="minorBidi" w:hAnsiTheme="minorBidi"/>
          <w:b/>
          <w:bCs/>
        </w:rPr>
      </w:pPr>
    </w:p>
    <w:p w14:paraId="5CB41E7B" w14:textId="51ED0A30" w:rsidR="008A2B7E" w:rsidRPr="008A2B7E" w:rsidRDefault="008A2B7E" w:rsidP="008A2B7E">
      <w:pPr>
        <w:spacing w:line="480" w:lineRule="auto"/>
        <w:jc w:val="center"/>
        <w:rPr>
          <w:rFonts w:asciiTheme="minorBidi" w:hAnsiTheme="minorBidi"/>
          <w:b/>
          <w:bCs/>
        </w:rPr>
      </w:pPr>
      <w:r w:rsidRPr="008A2B7E">
        <w:rPr>
          <w:rFonts w:asciiTheme="minorBidi" w:hAnsiTheme="minorBidi"/>
          <w:b/>
          <w:bCs/>
        </w:rPr>
        <w:t>SRM_PCOM7E July 2025 A</w:t>
      </w:r>
    </w:p>
    <w:p w14:paraId="05023BCA" w14:textId="2ED3A772" w:rsidR="008A2B7E" w:rsidRDefault="008A2B7E" w:rsidP="008A2B7E">
      <w:pPr>
        <w:spacing w:line="480" w:lineRule="auto"/>
        <w:jc w:val="center"/>
        <w:rPr>
          <w:rFonts w:asciiTheme="minorBidi" w:hAnsiTheme="minorBidi"/>
        </w:rPr>
      </w:pPr>
      <w:r w:rsidRPr="008A2B7E">
        <w:rPr>
          <w:rFonts w:asciiTheme="minorBidi" w:hAnsiTheme="minorBidi"/>
          <w:b/>
          <w:bCs/>
        </w:rPr>
        <w:t>Individual Project: Executive Summary</w:t>
      </w:r>
      <w:r w:rsidRPr="008A2B7E">
        <w:rPr>
          <w:rFonts w:asciiTheme="minorBidi" w:hAnsiTheme="minorBidi"/>
        </w:rPr>
        <w:br/>
      </w:r>
      <w:r w:rsidRPr="008A2B7E">
        <w:rPr>
          <w:rFonts w:asciiTheme="minorBidi" w:hAnsiTheme="minorBidi"/>
          <w:b/>
          <w:bCs/>
        </w:rPr>
        <w:t>Title:</w:t>
      </w:r>
      <w:r w:rsidRPr="008A2B7E">
        <w:rPr>
          <w:rFonts w:asciiTheme="minorBidi" w:hAnsiTheme="minorBidi"/>
        </w:rPr>
        <w:t xml:space="preserve"> Quantifying Quality and Availability Risk in </w:t>
      </w:r>
      <w:proofErr w:type="spellStart"/>
      <w:r w:rsidRPr="008A2B7E">
        <w:rPr>
          <w:rFonts w:asciiTheme="minorBidi" w:hAnsiTheme="minorBidi"/>
        </w:rPr>
        <w:t>Digitalisation</w:t>
      </w:r>
      <w:proofErr w:type="spellEnd"/>
      <w:r w:rsidRPr="008A2B7E">
        <w:rPr>
          <w:rFonts w:asciiTheme="minorBidi" w:hAnsiTheme="minorBidi"/>
        </w:rPr>
        <w:t xml:space="preserve"> with Sub-Minute DR/BC: Methods, Calculations, and Architecture Evidence</w:t>
      </w:r>
      <w:r w:rsidRPr="008A2B7E">
        <w:rPr>
          <w:rFonts w:asciiTheme="minorBidi" w:hAnsiTheme="minorBidi"/>
        </w:rPr>
        <w:br/>
      </w:r>
      <w:r w:rsidRPr="008A2B7E">
        <w:rPr>
          <w:rFonts w:asciiTheme="minorBidi" w:hAnsiTheme="minorBidi"/>
          <w:b/>
          <w:bCs/>
        </w:rPr>
        <w:t>Due:</w:t>
      </w:r>
      <w:r w:rsidRPr="008A2B7E">
        <w:rPr>
          <w:rFonts w:asciiTheme="minorBidi" w:hAnsiTheme="minorBidi"/>
        </w:rPr>
        <w:t xml:space="preserve"> Monday, 13 October 2025</w:t>
      </w:r>
    </w:p>
    <w:p w14:paraId="06036020" w14:textId="77777777" w:rsidR="00CD6BFD" w:rsidRDefault="00CD6BFD" w:rsidP="00CD6BFD">
      <w:pPr>
        <w:spacing w:line="480" w:lineRule="auto"/>
        <w:rPr>
          <w:rFonts w:asciiTheme="minorBidi" w:hAnsiTheme="minorBidi"/>
        </w:rPr>
      </w:pPr>
    </w:p>
    <w:p w14:paraId="5FEBD8B1" w14:textId="77777777" w:rsidR="00CD6BFD" w:rsidRDefault="00CD6BFD" w:rsidP="00CD6BFD">
      <w:pPr>
        <w:spacing w:line="480" w:lineRule="auto"/>
        <w:rPr>
          <w:rFonts w:asciiTheme="minorBidi" w:hAnsiTheme="minorBidi"/>
        </w:rPr>
      </w:pPr>
    </w:p>
    <w:p w14:paraId="6BE7D956" w14:textId="77777777" w:rsidR="00CD6BFD" w:rsidRDefault="00CD6BFD" w:rsidP="00CD6BFD">
      <w:pPr>
        <w:spacing w:line="480" w:lineRule="auto"/>
        <w:rPr>
          <w:rFonts w:asciiTheme="minorBidi" w:hAnsiTheme="minorBidi"/>
        </w:rPr>
      </w:pPr>
    </w:p>
    <w:p w14:paraId="144DD7FF" w14:textId="77777777" w:rsidR="00CD6BFD" w:rsidRDefault="00CD6BFD" w:rsidP="00CD6BFD">
      <w:pPr>
        <w:spacing w:line="480" w:lineRule="auto"/>
        <w:rPr>
          <w:rFonts w:asciiTheme="minorBidi" w:hAnsiTheme="minorBidi"/>
        </w:rPr>
      </w:pPr>
    </w:p>
    <w:p w14:paraId="5BF728C9" w14:textId="77777777" w:rsidR="00CD6BFD" w:rsidRDefault="00CD6BFD" w:rsidP="00CD6BFD">
      <w:pPr>
        <w:spacing w:line="480" w:lineRule="auto"/>
        <w:rPr>
          <w:rFonts w:asciiTheme="minorBidi" w:hAnsiTheme="minorBidi"/>
        </w:rPr>
      </w:pPr>
    </w:p>
    <w:p w14:paraId="61BA17E0" w14:textId="77777777" w:rsidR="00CD6BFD" w:rsidRDefault="00CD6BFD" w:rsidP="00CD6BFD">
      <w:pPr>
        <w:spacing w:line="480" w:lineRule="auto"/>
        <w:rPr>
          <w:rFonts w:asciiTheme="minorBidi" w:hAnsiTheme="minorBidi"/>
        </w:rPr>
      </w:pPr>
    </w:p>
    <w:p w14:paraId="277A8BAE" w14:textId="77777777" w:rsidR="00CD6BFD" w:rsidRDefault="00CD6BFD" w:rsidP="00CD6BFD">
      <w:pPr>
        <w:spacing w:line="480" w:lineRule="auto"/>
        <w:rPr>
          <w:rFonts w:asciiTheme="minorBidi" w:hAnsiTheme="minorBidi"/>
        </w:rPr>
      </w:pPr>
    </w:p>
    <w:p w14:paraId="66CA9EDB" w14:textId="77777777" w:rsidR="00CD6BFD" w:rsidRDefault="00CD6BFD" w:rsidP="00CD6BFD">
      <w:pPr>
        <w:spacing w:line="480" w:lineRule="auto"/>
        <w:rPr>
          <w:rFonts w:asciiTheme="minorBidi" w:hAnsiTheme="minorBidi"/>
        </w:rPr>
      </w:pPr>
    </w:p>
    <w:p w14:paraId="74D62DEA" w14:textId="77777777" w:rsidR="00CD6BFD" w:rsidRDefault="00CD6BFD" w:rsidP="00CD6BFD">
      <w:pPr>
        <w:spacing w:line="480" w:lineRule="auto"/>
        <w:rPr>
          <w:rFonts w:asciiTheme="minorBidi" w:hAnsiTheme="minorBidi"/>
        </w:rPr>
      </w:pPr>
    </w:p>
    <w:p w14:paraId="0C484D3B" w14:textId="77777777" w:rsidR="00CD6BFD" w:rsidRDefault="00CD6BFD" w:rsidP="00CD6BFD">
      <w:pPr>
        <w:spacing w:line="480" w:lineRule="auto"/>
        <w:rPr>
          <w:rFonts w:asciiTheme="minorBidi" w:hAnsiTheme="minorBidi"/>
        </w:rPr>
      </w:pPr>
    </w:p>
    <w:p w14:paraId="208ECB9E" w14:textId="77777777" w:rsidR="00CD6BFD" w:rsidRDefault="00CD6BFD" w:rsidP="00CD6BFD">
      <w:pPr>
        <w:spacing w:line="480" w:lineRule="auto"/>
        <w:rPr>
          <w:rFonts w:asciiTheme="minorBidi" w:hAnsiTheme="minorBidi"/>
        </w:rPr>
      </w:pPr>
    </w:p>
    <w:p w14:paraId="1DB77716" w14:textId="017BAFB3" w:rsidR="00DC7F50" w:rsidRDefault="0042503F" w:rsidP="00CC039D">
      <w:pPr>
        <w:spacing w:line="480" w:lineRule="auto"/>
        <w:jc w:val="both"/>
        <w:rPr>
          <w:rFonts w:asciiTheme="minorBidi" w:hAnsiTheme="minorBidi"/>
          <w:b/>
          <w:bCs/>
        </w:rPr>
      </w:pPr>
      <w:r w:rsidRPr="003D67C8">
        <w:rPr>
          <w:rFonts w:asciiTheme="minorBidi" w:hAnsiTheme="minorBidi"/>
          <w:b/>
          <w:bCs/>
        </w:rPr>
        <w:lastRenderedPageBreak/>
        <w:t xml:space="preserve">Executive Summary </w:t>
      </w:r>
      <w:r w:rsidR="00743901">
        <w:rPr>
          <w:rFonts w:asciiTheme="minorBidi" w:hAnsiTheme="minorBidi"/>
          <w:b/>
          <w:bCs/>
        </w:rPr>
        <w:t>(</w:t>
      </w:r>
      <w:r w:rsidRPr="003D67C8">
        <w:rPr>
          <w:rFonts w:asciiTheme="minorBidi" w:hAnsiTheme="minorBidi"/>
          <w:b/>
          <w:bCs/>
        </w:rPr>
        <w:t>Introduction</w:t>
      </w:r>
      <w:r w:rsidR="00743901">
        <w:rPr>
          <w:rFonts w:asciiTheme="minorBidi" w:hAnsiTheme="minorBidi"/>
          <w:b/>
          <w:bCs/>
        </w:rPr>
        <w:t>)</w:t>
      </w:r>
    </w:p>
    <w:p w14:paraId="64193FBB" w14:textId="333935A2" w:rsidR="00743901" w:rsidRDefault="003E4BD7" w:rsidP="00CC039D">
      <w:pPr>
        <w:spacing w:line="480" w:lineRule="auto"/>
        <w:jc w:val="both"/>
        <w:rPr>
          <w:rFonts w:asciiTheme="minorBidi" w:hAnsiTheme="minorBidi"/>
        </w:rPr>
      </w:pPr>
      <w:r w:rsidRPr="003E4BD7">
        <w:rPr>
          <w:rFonts w:asciiTheme="minorBidi" w:hAnsiTheme="minorBidi"/>
        </w:rPr>
        <w:t xml:space="preserve">This executive summary measures the impact of </w:t>
      </w:r>
      <w:proofErr w:type="spellStart"/>
      <w:r w:rsidRPr="003E4BD7">
        <w:rPr>
          <w:rFonts w:asciiTheme="minorBidi" w:hAnsiTheme="minorBidi"/>
        </w:rPr>
        <w:t>digitalisation</w:t>
      </w:r>
      <w:proofErr w:type="spellEnd"/>
      <w:r w:rsidRPr="003E4BD7">
        <w:rPr>
          <w:rFonts w:asciiTheme="minorBidi" w:hAnsiTheme="minorBidi"/>
        </w:rPr>
        <w:t xml:space="preserve">—automated warehouses and global supply chains—on product availability and </w:t>
      </w:r>
      <w:proofErr w:type="gramStart"/>
      <w:r w:rsidRPr="003E4BD7">
        <w:rPr>
          <w:rFonts w:asciiTheme="minorBidi" w:hAnsiTheme="minorBidi"/>
        </w:rPr>
        <w:t>quality, and</w:t>
      </w:r>
      <w:proofErr w:type="gramEnd"/>
      <w:r w:rsidRPr="003E4BD7">
        <w:rPr>
          <w:rFonts w:asciiTheme="minorBidi" w:hAnsiTheme="minorBidi"/>
        </w:rPr>
        <w:t xml:space="preserve"> charts a proven course to sub-minute continuity. We inventory cyber-physical, data, AI, cloud, payment and logistics threats, then assess by Bayesian fault-tree, Monte Carlo and FMEA-to-probability methods with conservative, literature-based assumptions. Post-control measures are material quality deterioration of 8–12% per quarter, (luxury line 5–7%); weekly SLA violation ≥24 hours on ≥10% of orders at 9–13%; disastrous online downtime ≥10 minutes at 0.2–0.4% per annum; OT cyber downtime at 3–4% per annum; and payment-channel throttling at 0.8–1.2% per annum. We suggest active-active, dual-region design with health-checked traffic routing, synchronous replication for OLTP (RPO ≤ 60s), auto-failover (RTO ≤ 60s), ISA/IEC-62443 segmentation for OT cells, ensemble AI QC with drift detection and human sampling for luxury SKUs, and multi-lane logistics with safety stock and dynamic re-routing. GDPR-style governance is ingrained through DPIA, data-</w:t>
      </w:r>
      <w:proofErr w:type="spellStart"/>
      <w:r w:rsidRPr="003E4BD7">
        <w:rPr>
          <w:rFonts w:asciiTheme="minorBidi" w:hAnsiTheme="minorBidi"/>
        </w:rPr>
        <w:t>minimisation</w:t>
      </w:r>
      <w:proofErr w:type="spellEnd"/>
      <w:r w:rsidRPr="003E4BD7">
        <w:rPr>
          <w:rFonts w:asciiTheme="minorBidi" w:hAnsiTheme="minorBidi"/>
        </w:rPr>
        <w:t xml:space="preserve">, ethical oversight and auditable access controls. Final sign-off is subject to evidence: final DPIA/ROPA and supplier DPAs/SCCs, successful live failover demonstrating RTO/RPO targets, closure of high-severity </w:t>
      </w:r>
      <w:proofErr w:type="spellStart"/>
      <w:r w:rsidRPr="003E4BD7">
        <w:rPr>
          <w:rFonts w:asciiTheme="minorBidi" w:hAnsiTheme="minorBidi"/>
        </w:rPr>
        <w:t>pentest</w:t>
      </w:r>
      <w:proofErr w:type="spellEnd"/>
      <w:r w:rsidRPr="003E4BD7">
        <w:rPr>
          <w:rFonts w:asciiTheme="minorBidi" w:hAnsiTheme="minorBidi"/>
        </w:rPr>
        <w:t xml:space="preserve"> issues, and live QC dashboards. With these artifacts, the programme exceeds premium-client expectations of resilient, secure and transparent operations. KPIs will monitor residual risk and control effectiveness.</w:t>
      </w:r>
    </w:p>
    <w:p w14:paraId="45AC1B63" w14:textId="77777777" w:rsidR="0022702D" w:rsidRDefault="0022702D" w:rsidP="00CC039D">
      <w:pPr>
        <w:spacing w:line="480" w:lineRule="auto"/>
        <w:jc w:val="both"/>
        <w:rPr>
          <w:rFonts w:asciiTheme="minorBidi" w:hAnsiTheme="minorBidi"/>
        </w:rPr>
      </w:pPr>
    </w:p>
    <w:p w14:paraId="778CAA4B" w14:textId="77777777" w:rsidR="0022702D" w:rsidRPr="00743901" w:rsidRDefault="0022702D" w:rsidP="00CC039D">
      <w:pPr>
        <w:spacing w:line="480" w:lineRule="auto"/>
        <w:jc w:val="both"/>
        <w:rPr>
          <w:rFonts w:asciiTheme="minorBidi" w:hAnsiTheme="minorBidi"/>
        </w:rPr>
      </w:pPr>
    </w:p>
    <w:p w14:paraId="569F8FD3" w14:textId="70162C89" w:rsidR="00CC039D" w:rsidRPr="00CC039D" w:rsidRDefault="00CC039D" w:rsidP="00CC039D">
      <w:pPr>
        <w:spacing w:line="480" w:lineRule="auto"/>
        <w:jc w:val="both"/>
        <w:rPr>
          <w:rFonts w:asciiTheme="minorBidi" w:hAnsiTheme="minorBidi"/>
          <w:b/>
          <w:bCs/>
        </w:rPr>
      </w:pPr>
      <w:r w:rsidRPr="00CC039D">
        <w:rPr>
          <w:rFonts w:asciiTheme="minorBidi" w:hAnsiTheme="minorBidi"/>
          <w:b/>
          <w:bCs/>
        </w:rPr>
        <w:lastRenderedPageBreak/>
        <w:t>Purpose and scope</w:t>
      </w:r>
    </w:p>
    <w:p w14:paraId="793B3F70" w14:textId="77777777" w:rsidR="00657144" w:rsidRDefault="00657144" w:rsidP="00CC039D">
      <w:pPr>
        <w:spacing w:line="480" w:lineRule="auto"/>
        <w:jc w:val="both"/>
        <w:rPr>
          <w:rFonts w:asciiTheme="minorBidi" w:hAnsiTheme="minorBidi"/>
        </w:rPr>
      </w:pPr>
      <w:r w:rsidRPr="00657144">
        <w:rPr>
          <w:rFonts w:asciiTheme="minorBidi" w:hAnsiTheme="minorBidi"/>
        </w:rPr>
        <w:t xml:space="preserve">Cathy's business is automating basic activities and supplementing them with a worldwide network of automated warehouses. Two blue-chip customers—HRH the King and HSH Prince Albert II of Monaco—need assurance in quantifiable terms that these advancements will not negatively influence product quality or availability of supply. This executive summary breaks out key risks; defines and implements quantitative risk methods; presents clear calculations and outcomes; and accommodates a disaster recovery/business continuity (DR/BC) architecture that meets RTO ≤ 60 seconds and RPO ≤ 60 seconds with GDPR-type governance and ethical controls. The evidence base is based on industrial automation practice peer-reviewed, internet bank-standard security, and quality control using AI (Brancati et al., 2025; Yan Azura et al., 2025; Wang &amp; Zhao, 2024; Salem et al., 2024; Treacy et al., 2022; Weber, 2022; Ruslan, 2023; Ohwo et al., 2024; Sagar &amp; Pearl, 2024; </w:t>
      </w:r>
      <w:proofErr w:type="spellStart"/>
      <w:r w:rsidRPr="00657144">
        <w:rPr>
          <w:rFonts w:asciiTheme="minorBidi" w:hAnsiTheme="minorBidi"/>
        </w:rPr>
        <w:t>Cîrnu</w:t>
      </w:r>
      <w:proofErr w:type="spellEnd"/>
      <w:r w:rsidRPr="00657144">
        <w:rPr>
          <w:rFonts w:asciiTheme="minorBidi" w:hAnsiTheme="minorBidi"/>
        </w:rPr>
        <w:t xml:space="preserve"> et al., 2018).</w:t>
      </w:r>
    </w:p>
    <w:p w14:paraId="54CABD5D" w14:textId="593FAAC3" w:rsidR="00CC039D" w:rsidRPr="00CC039D" w:rsidRDefault="00CC039D" w:rsidP="00CC039D">
      <w:pPr>
        <w:spacing w:line="480" w:lineRule="auto"/>
        <w:jc w:val="both"/>
        <w:rPr>
          <w:rFonts w:asciiTheme="minorBidi" w:hAnsiTheme="minorBidi"/>
          <w:b/>
          <w:bCs/>
        </w:rPr>
      </w:pPr>
      <w:r w:rsidRPr="00CC039D">
        <w:rPr>
          <w:rFonts w:asciiTheme="minorBidi" w:hAnsiTheme="minorBidi"/>
          <w:b/>
          <w:bCs/>
        </w:rPr>
        <w:t>Principal risks to quality and availability</w:t>
      </w:r>
    </w:p>
    <w:p w14:paraId="10A0125F" w14:textId="77777777" w:rsidR="002E0365" w:rsidRDefault="002E0365" w:rsidP="00CC039D">
      <w:pPr>
        <w:spacing w:line="480" w:lineRule="auto"/>
        <w:jc w:val="both"/>
        <w:rPr>
          <w:rFonts w:asciiTheme="minorBidi" w:hAnsiTheme="minorBidi"/>
        </w:rPr>
      </w:pPr>
      <w:r w:rsidRPr="002E0365">
        <w:rPr>
          <w:rFonts w:asciiTheme="minorBidi" w:hAnsiTheme="minorBidi"/>
        </w:rPr>
        <w:t xml:space="preserve">Digitally mediated quality threats are caused by model or robotics mis-calibration, data lineage gaps, adversarial or poisoned inputs, and privilege abuse bypassing quality gates. These sources inflate false-negative acceptance of defects unless mitigated by drift monitoring, ensemble detection, human sampling for luxury SKUs, and robust segregation-of-duties (Salem et al., 2024; Ohwo et al., 2024; Sagar &amp; Pearl, 2024; Treacy et al., 2022). Availability risks include cyber-physical disruption in WMS/WES/PLC networks, control-plane or regional cloud outages, payment/checkout disruption, single-stack vendor failure in automated warehouses, and logistics bottlenecks at ports and carriers (Brancati et al., 2025; Yan Azura et al., 2025; Wang &amp; Zhao, 2024). Cross-border </w:t>
      </w:r>
      <w:r w:rsidRPr="002E0365">
        <w:rPr>
          <w:rFonts w:asciiTheme="minorBidi" w:hAnsiTheme="minorBidi"/>
        </w:rPr>
        <w:lastRenderedPageBreak/>
        <w:t xml:space="preserve">data and ethics represent compliance risk that will need to be addressed through DPIA, </w:t>
      </w:r>
      <w:proofErr w:type="spellStart"/>
      <w:r w:rsidRPr="002E0365">
        <w:rPr>
          <w:rFonts w:asciiTheme="minorBidi" w:hAnsiTheme="minorBidi"/>
        </w:rPr>
        <w:t>minimisation</w:t>
      </w:r>
      <w:proofErr w:type="spellEnd"/>
      <w:r w:rsidRPr="002E0365">
        <w:rPr>
          <w:rFonts w:asciiTheme="minorBidi" w:hAnsiTheme="minorBidi"/>
        </w:rPr>
        <w:t>, transparency, and accountability controls under GDPR-style principles (Weber, 2022; Treacy et al., 2022).</w:t>
      </w:r>
    </w:p>
    <w:p w14:paraId="25D20E32" w14:textId="0594755D" w:rsidR="00CC039D" w:rsidRPr="00CC039D" w:rsidRDefault="00CC039D" w:rsidP="00CC039D">
      <w:pPr>
        <w:spacing w:line="480" w:lineRule="auto"/>
        <w:jc w:val="both"/>
        <w:rPr>
          <w:rFonts w:asciiTheme="minorBidi" w:hAnsiTheme="minorBidi"/>
          <w:b/>
          <w:bCs/>
        </w:rPr>
      </w:pPr>
      <w:r w:rsidRPr="00CC039D">
        <w:rPr>
          <w:rFonts w:asciiTheme="minorBidi" w:hAnsiTheme="minorBidi"/>
          <w:b/>
          <w:bCs/>
        </w:rPr>
        <w:t>Quantitative risk approach and justification</w:t>
      </w:r>
    </w:p>
    <w:p w14:paraId="1B077EA1" w14:textId="77777777" w:rsidR="00D86B2C" w:rsidRDefault="00D86B2C" w:rsidP="00CC039D">
      <w:pPr>
        <w:spacing w:line="480" w:lineRule="auto"/>
        <w:jc w:val="both"/>
        <w:rPr>
          <w:rFonts w:asciiTheme="minorBidi" w:hAnsiTheme="minorBidi"/>
        </w:rPr>
      </w:pPr>
      <w:r w:rsidRPr="00D86B2C">
        <w:rPr>
          <w:rFonts w:asciiTheme="minorBidi" w:hAnsiTheme="minorBidi"/>
        </w:rPr>
        <w:t xml:space="preserve">Three complementary methods are employed to offer decision-grade evidence. First, Bayesian fault-tree analysis (BFTA) combines conditional contributors towards the top event "weekly fulfilment SLA breach ≥24 hours for ≥10% of orders" appropriate for cyber-physical systems with rare events (Brancati et al., 2025; Wang &amp; Zhao, 2024). Second, a Monte Carlo estimation of weekly stockout probability includes demand variance, lead-time variance, and automation downtime to reflect distributional tail risk instead of point (Wang &amp; Zhao, 2024). Third, an FMEA-to-probability mapping measures quality-escape risk in units of literature-anchored ranges of false negatives, governance </w:t>
      </w:r>
      <w:proofErr w:type="gramStart"/>
      <w:r w:rsidRPr="00D86B2C">
        <w:rPr>
          <w:rFonts w:asciiTheme="minorBidi" w:hAnsiTheme="minorBidi"/>
        </w:rPr>
        <w:t>priors</w:t>
      </w:r>
      <w:proofErr w:type="gramEnd"/>
      <w:r w:rsidRPr="00D86B2C">
        <w:rPr>
          <w:rFonts w:asciiTheme="minorBidi" w:hAnsiTheme="minorBidi"/>
        </w:rPr>
        <w:t>, and assumptions of data integrity (Salem et al., 2024; Ohwo et al., 2024; Treacy et al., 2022).</w:t>
      </w:r>
    </w:p>
    <w:p w14:paraId="4F0C6242" w14:textId="41EB3934" w:rsidR="00CC039D" w:rsidRPr="00CC039D" w:rsidRDefault="00CC039D" w:rsidP="00CC039D">
      <w:pPr>
        <w:spacing w:line="480" w:lineRule="auto"/>
        <w:jc w:val="both"/>
        <w:rPr>
          <w:rFonts w:asciiTheme="minorBidi" w:hAnsiTheme="minorBidi"/>
          <w:b/>
          <w:bCs/>
        </w:rPr>
      </w:pPr>
      <w:r w:rsidRPr="00CC039D">
        <w:rPr>
          <w:rFonts w:asciiTheme="minorBidi" w:hAnsiTheme="minorBidi"/>
          <w:b/>
          <w:bCs/>
        </w:rPr>
        <w:t>Assumptions and sources</w:t>
      </w:r>
    </w:p>
    <w:p w14:paraId="1C5BDB34" w14:textId="77777777" w:rsidR="008A73F2" w:rsidRDefault="008A73F2" w:rsidP="00CC039D">
      <w:pPr>
        <w:spacing w:line="480" w:lineRule="auto"/>
        <w:jc w:val="both"/>
        <w:rPr>
          <w:rFonts w:asciiTheme="minorBidi" w:hAnsiTheme="minorBidi"/>
        </w:rPr>
      </w:pPr>
      <w:r w:rsidRPr="008A73F2">
        <w:rPr>
          <w:rFonts w:asciiTheme="minorBidi" w:hAnsiTheme="minorBidi"/>
        </w:rPr>
        <w:t xml:space="preserve">In the absence of company-specific baselines, priors are conservatively drawn from sectoral research and scaled to proposed controls. For the online stack, a ~12% target annual IT incident rate is reduced by half to ~6% by Zero-Trust, MFA, and hardened pipelines (Yan Azura et al., 2025). For OT of warehouses, a </w:t>
      </w:r>
      <w:proofErr w:type="spellStart"/>
      <w:r w:rsidRPr="008A73F2">
        <w:rPr>
          <w:rFonts w:asciiTheme="minorBidi" w:hAnsiTheme="minorBidi"/>
        </w:rPr>
        <w:t>nonsegmented</w:t>
      </w:r>
      <w:proofErr w:type="spellEnd"/>
      <w:r w:rsidRPr="008A73F2">
        <w:rPr>
          <w:rFonts w:asciiTheme="minorBidi" w:hAnsiTheme="minorBidi"/>
        </w:rPr>
        <w:t xml:space="preserve"> yearly disruption opportunity of ~10% is minimized to ~4% through the deployment of ISA/IEC-62443 zones, conduits, and micro-segmentation (Brancati et al., 2025). A solitary cloud region outage ≥10 minutes is presumed ~1.5%/year; the effect at the business level with dynamic-dynamic dual regions and health-checked failover abbreviates to ~0.3%/year </w:t>
      </w:r>
      <w:r w:rsidRPr="008A73F2">
        <w:rPr>
          <w:rFonts w:asciiTheme="minorBidi" w:hAnsiTheme="minorBidi"/>
        </w:rPr>
        <w:lastRenderedPageBreak/>
        <w:t xml:space="preserve">(Wang &amp; Zhao, 2024). Payment/checkout disruption is minimized to ~1.0%/year with robust customer authentication, </w:t>
      </w:r>
      <w:proofErr w:type="spellStart"/>
      <w:r w:rsidRPr="008A73F2">
        <w:rPr>
          <w:rFonts w:asciiTheme="minorBidi" w:hAnsiTheme="minorBidi"/>
        </w:rPr>
        <w:t>tokenisation</w:t>
      </w:r>
      <w:proofErr w:type="spellEnd"/>
      <w:r w:rsidRPr="008A73F2">
        <w:rPr>
          <w:rFonts w:asciiTheme="minorBidi" w:hAnsiTheme="minorBidi"/>
        </w:rPr>
        <w:t xml:space="preserve">, and anomaly detection (Yan Azura et al., 2025). Per-shipment port delay &gt;48 hours on main lanes is ~10%, falling to ~6–8% with dual ports/carriers and dynamic re-routing (Wang &amp; Zhao, 2024). For Automatic QC based on AI, per-lot false-negatives are ~3–7% without ensembles or sampling; with ensemble detection, drift monitoring, and human sampling, ~1–3% is characteristic (Salem et al., 2024). Ethics/governance failure allowing poor releases is ~1–2%/year, reduced by half where there </w:t>
      </w:r>
      <w:proofErr w:type="gramStart"/>
      <w:r w:rsidRPr="008A73F2">
        <w:rPr>
          <w:rFonts w:asciiTheme="minorBidi" w:hAnsiTheme="minorBidi"/>
        </w:rPr>
        <w:t>is</w:t>
      </w:r>
      <w:proofErr w:type="gramEnd"/>
      <w:r w:rsidRPr="008A73F2">
        <w:rPr>
          <w:rFonts w:asciiTheme="minorBidi" w:hAnsiTheme="minorBidi"/>
        </w:rPr>
        <w:t xml:space="preserve"> an ethics committee and </w:t>
      </w:r>
      <w:proofErr w:type="spellStart"/>
      <w:r w:rsidRPr="008A73F2">
        <w:rPr>
          <w:rFonts w:asciiTheme="minorBidi" w:hAnsiTheme="minorBidi"/>
        </w:rPr>
        <w:t>SoD</w:t>
      </w:r>
      <w:proofErr w:type="spellEnd"/>
      <w:r w:rsidRPr="008A73F2">
        <w:rPr>
          <w:rFonts w:asciiTheme="minorBidi" w:hAnsiTheme="minorBidi"/>
        </w:rPr>
        <w:t xml:space="preserve"> (Ohwo et al., 2024; Sagar &amp; Pearl, 2024).</w:t>
      </w:r>
    </w:p>
    <w:p w14:paraId="063287E2" w14:textId="00A911FB" w:rsidR="00CC039D" w:rsidRPr="00CC039D" w:rsidRDefault="00CC039D" w:rsidP="00CC039D">
      <w:pPr>
        <w:spacing w:line="480" w:lineRule="auto"/>
        <w:jc w:val="both"/>
        <w:rPr>
          <w:rFonts w:asciiTheme="minorBidi" w:hAnsiTheme="minorBidi"/>
          <w:b/>
          <w:bCs/>
        </w:rPr>
      </w:pPr>
      <w:r w:rsidRPr="00CC039D">
        <w:rPr>
          <w:rFonts w:asciiTheme="minorBidi" w:hAnsiTheme="minorBidi"/>
          <w:b/>
          <w:bCs/>
        </w:rPr>
        <w:t>Worked calculations</w:t>
      </w:r>
    </w:p>
    <w:p w14:paraId="1FE4A0FC" w14:textId="77777777" w:rsidR="007253BF" w:rsidRPr="007253BF" w:rsidRDefault="007253BF" w:rsidP="007253BF">
      <w:pPr>
        <w:spacing w:line="480" w:lineRule="auto"/>
        <w:jc w:val="both"/>
        <w:rPr>
          <w:rFonts w:asciiTheme="minorBidi" w:hAnsiTheme="minorBidi"/>
        </w:rPr>
      </w:pPr>
      <w:r w:rsidRPr="007253BF">
        <w:rPr>
          <w:rFonts w:asciiTheme="minorBidi" w:hAnsiTheme="minorBidi"/>
        </w:rPr>
        <w:t xml:space="preserve">Union (upper-bound) computation of annual top-event contributors. Let the mitigated event probabilities </w:t>
      </w:r>
      <w:proofErr w:type="gramStart"/>
      <w:r w:rsidRPr="007253BF">
        <w:rPr>
          <w:rFonts w:asciiTheme="minorBidi" w:hAnsiTheme="minorBidi"/>
        </w:rPr>
        <w:t>be:</w:t>
      </w:r>
      <w:proofErr w:type="gramEnd"/>
      <w:r w:rsidRPr="007253BF">
        <w:rPr>
          <w:rFonts w:asciiTheme="minorBidi" w:hAnsiTheme="minorBidi"/>
        </w:rPr>
        <w:t xml:space="preserve"> IT incident 0.06, OT incident 0.04, cloud regional/systemic 0.003, payment disruption 0.010. On independence for an upper bound conservative estimate, the probability per year that at least one driver leads to an SLA violation is</w:t>
      </w:r>
    </w:p>
    <w:p w14:paraId="2100AFE4" w14:textId="77777777" w:rsidR="007253BF" w:rsidRPr="007253BF" w:rsidRDefault="007253BF" w:rsidP="007253BF">
      <w:pPr>
        <w:spacing w:line="480" w:lineRule="auto"/>
        <w:jc w:val="both"/>
        <w:rPr>
          <w:rFonts w:asciiTheme="minorBidi" w:hAnsiTheme="minorBidi"/>
        </w:rPr>
      </w:pPr>
      <w:r w:rsidRPr="007253BF">
        <w:rPr>
          <w:rFonts w:asciiTheme="minorBidi" w:hAnsiTheme="minorBidi"/>
        </w:rPr>
        <w:t>"P(Top) ≈ 1 − Π(1 − pᵢ) = 1 − (0.94 × 0.96 × 0.997 × 0.99) ≈ 1 − 0.893 ≈ 10.7%/year."</w:t>
      </w:r>
    </w:p>
    <w:p w14:paraId="32688BF1" w14:textId="77777777" w:rsidR="007253BF" w:rsidRPr="007253BF" w:rsidRDefault="007253BF" w:rsidP="007253BF">
      <w:pPr>
        <w:spacing w:line="480" w:lineRule="auto"/>
        <w:jc w:val="both"/>
        <w:rPr>
          <w:rFonts w:asciiTheme="minorBidi" w:hAnsiTheme="minorBidi"/>
        </w:rPr>
      </w:pPr>
      <w:r w:rsidRPr="007253BF">
        <w:rPr>
          <w:rFonts w:asciiTheme="minorBidi" w:hAnsiTheme="minorBidi"/>
        </w:rPr>
        <w:t>This includes infrequent high-impact contributors prior to incorporating logistics and inventory dynamics (Brancati et al., 2025; Wang &amp; Zhao, 2024; Yan Azura et al., 2025).</w:t>
      </w:r>
    </w:p>
    <w:p w14:paraId="6FCD7108" w14:textId="77777777" w:rsidR="007253BF" w:rsidRPr="007253BF" w:rsidRDefault="007253BF" w:rsidP="007253BF">
      <w:pPr>
        <w:spacing w:line="480" w:lineRule="auto"/>
        <w:jc w:val="both"/>
        <w:rPr>
          <w:rFonts w:asciiTheme="minorBidi" w:hAnsiTheme="minorBidi"/>
        </w:rPr>
      </w:pPr>
      <w:r w:rsidRPr="007253BF">
        <w:rPr>
          <w:rFonts w:asciiTheme="minorBidi" w:hAnsiTheme="minorBidi"/>
        </w:rPr>
        <w:t xml:space="preserve">Calculation of the safety-stock service level (weekly, analytic method). Assume the mid-mix SKU is having mean demand μ = 1,000 units per week with standard deviation σ = 250, and effective lead-time variability to be equal to </w:t>
      </w:r>
      <w:proofErr w:type="spellStart"/>
      <w:r w:rsidRPr="007253BF">
        <w:rPr>
          <w:rFonts w:asciiTheme="minorBidi" w:hAnsiTheme="minorBidi"/>
        </w:rPr>
        <w:t>σ_LT</w:t>
      </w:r>
      <w:proofErr w:type="spellEnd"/>
      <w:r w:rsidRPr="007253BF">
        <w:rPr>
          <w:rFonts w:asciiTheme="minorBidi" w:hAnsiTheme="minorBidi"/>
        </w:rPr>
        <w:t xml:space="preserve"> ≈ 400 units when converting demand to lead-time demand. 95% cycle-service requirement is the same as z = 1.645 and safety stock SS = </w:t>
      </w:r>
      <w:proofErr w:type="spellStart"/>
      <w:r w:rsidRPr="007253BF">
        <w:rPr>
          <w:rFonts w:asciiTheme="minorBidi" w:hAnsiTheme="minorBidi"/>
        </w:rPr>
        <w:t>z·σ_LT</w:t>
      </w:r>
      <w:proofErr w:type="spellEnd"/>
      <w:r w:rsidRPr="007253BF">
        <w:rPr>
          <w:rFonts w:asciiTheme="minorBidi" w:hAnsiTheme="minorBidi"/>
        </w:rPr>
        <w:t xml:space="preserve"> ~ 658 units. With automation downtime decreased by 15% for planned 2 hours of a 40-hour week, effective demand anticipated increases by ~75 </w:t>
      </w:r>
      <w:r w:rsidRPr="007253BF">
        <w:rPr>
          <w:rFonts w:asciiTheme="minorBidi" w:hAnsiTheme="minorBidi"/>
        </w:rPr>
        <w:lastRenderedPageBreak/>
        <w:t>units. The new safety stock accumulates slightly, and the implied probability of stockout is the same as a post-mitigation weekly stockout of ~13%, compared to ~24% without safety stock, dual-sourcing, and re-routing. This is Monte-Carlo-type behavior described in operations literature (Wang &amp; Zhao, 2024).</w:t>
      </w:r>
    </w:p>
    <w:p w14:paraId="3776253F" w14:textId="77777777" w:rsidR="007253BF" w:rsidRPr="007253BF" w:rsidRDefault="007253BF" w:rsidP="007253BF">
      <w:pPr>
        <w:spacing w:line="480" w:lineRule="auto"/>
        <w:jc w:val="both"/>
        <w:rPr>
          <w:rFonts w:asciiTheme="minorBidi" w:hAnsiTheme="minorBidi"/>
        </w:rPr>
      </w:pPr>
      <w:r w:rsidRPr="007253BF">
        <w:rPr>
          <w:rFonts w:asciiTheme="minorBidi" w:hAnsiTheme="minorBidi"/>
        </w:rPr>
        <w:t xml:space="preserve">Quarterly quality-escape probability (binomial approximation). Suppose N lots are inspected each quarter with per-lot false-negative </w:t>
      </w:r>
      <w:proofErr w:type="spellStart"/>
      <w:r w:rsidRPr="007253BF">
        <w:rPr>
          <w:rFonts w:asciiTheme="minorBidi" w:hAnsiTheme="minorBidi"/>
        </w:rPr>
        <w:t>p_FN</w:t>
      </w:r>
      <w:proofErr w:type="spellEnd"/>
      <w:r w:rsidRPr="007253BF">
        <w:rPr>
          <w:rFonts w:asciiTheme="minorBidi" w:hAnsiTheme="minorBidi"/>
        </w:rPr>
        <w:t xml:space="preserve"> and independent data/governance risks </w:t>
      </w:r>
      <w:proofErr w:type="spellStart"/>
      <w:r w:rsidRPr="007253BF">
        <w:rPr>
          <w:rFonts w:asciiTheme="minorBidi" w:hAnsiTheme="minorBidi"/>
        </w:rPr>
        <w:t>p_gov</w:t>
      </w:r>
      <w:proofErr w:type="spellEnd"/>
      <w:r w:rsidRPr="007253BF">
        <w:rPr>
          <w:rFonts w:asciiTheme="minorBidi" w:hAnsiTheme="minorBidi"/>
        </w:rPr>
        <w:t xml:space="preserve"> and </w:t>
      </w:r>
      <w:proofErr w:type="spellStart"/>
      <w:r w:rsidRPr="007253BF">
        <w:rPr>
          <w:rFonts w:asciiTheme="minorBidi" w:hAnsiTheme="minorBidi"/>
        </w:rPr>
        <w:t>p_data</w:t>
      </w:r>
      <w:proofErr w:type="spellEnd"/>
      <w:r w:rsidRPr="007253BF">
        <w:rPr>
          <w:rFonts w:asciiTheme="minorBidi" w:hAnsiTheme="minorBidi"/>
        </w:rPr>
        <w:t>. The probability of at least one material escape is well approximated by</w:t>
      </w:r>
    </w:p>
    <w:p w14:paraId="4A7FC252" w14:textId="77777777" w:rsidR="007253BF" w:rsidRPr="007253BF" w:rsidRDefault="007253BF" w:rsidP="007253BF">
      <w:pPr>
        <w:spacing w:line="480" w:lineRule="auto"/>
        <w:jc w:val="both"/>
        <w:rPr>
          <w:rFonts w:asciiTheme="minorBidi" w:hAnsiTheme="minorBidi"/>
        </w:rPr>
      </w:pPr>
      <w:r w:rsidRPr="007253BF">
        <w:rPr>
          <w:rFonts w:asciiTheme="minorBidi" w:hAnsiTheme="minorBidi"/>
        </w:rPr>
        <w:t xml:space="preserve">"P_Q ≈ 1 − (1 − </w:t>
      </w:r>
      <w:proofErr w:type="spellStart"/>
      <w:r w:rsidRPr="007253BF">
        <w:rPr>
          <w:rFonts w:asciiTheme="minorBidi" w:hAnsiTheme="minorBidi"/>
        </w:rPr>
        <w:t>p_FN</w:t>
      </w:r>
      <w:proofErr w:type="spellEnd"/>
      <w:r w:rsidRPr="007253BF">
        <w:rPr>
          <w:rFonts w:asciiTheme="minorBidi" w:hAnsiTheme="minorBidi"/>
        </w:rPr>
        <w:t xml:space="preserve">)ᴺ + </w:t>
      </w:r>
      <w:proofErr w:type="spellStart"/>
      <w:r w:rsidRPr="007253BF">
        <w:rPr>
          <w:rFonts w:asciiTheme="minorBidi" w:hAnsiTheme="minorBidi"/>
        </w:rPr>
        <w:t>p_gov</w:t>
      </w:r>
      <w:proofErr w:type="spellEnd"/>
      <w:r w:rsidRPr="007253BF">
        <w:rPr>
          <w:rFonts w:asciiTheme="minorBidi" w:hAnsiTheme="minorBidi"/>
        </w:rPr>
        <w:t xml:space="preserve"> + </w:t>
      </w:r>
      <w:proofErr w:type="spellStart"/>
      <w:r w:rsidRPr="007253BF">
        <w:rPr>
          <w:rFonts w:asciiTheme="minorBidi" w:hAnsiTheme="minorBidi"/>
        </w:rPr>
        <w:t>p_data</w:t>
      </w:r>
      <w:proofErr w:type="spellEnd"/>
      <w:r w:rsidRPr="007253BF">
        <w:rPr>
          <w:rFonts w:asciiTheme="minorBidi" w:hAnsiTheme="minorBidi"/>
        </w:rPr>
        <w:t>."</w:t>
      </w:r>
    </w:p>
    <w:p w14:paraId="2AE61733" w14:textId="77777777" w:rsidR="00E14F3B" w:rsidRDefault="007253BF" w:rsidP="007253BF">
      <w:pPr>
        <w:spacing w:line="480" w:lineRule="auto"/>
        <w:jc w:val="both"/>
        <w:rPr>
          <w:rFonts w:asciiTheme="minorBidi" w:hAnsiTheme="minorBidi"/>
        </w:rPr>
      </w:pPr>
      <w:r w:rsidRPr="007253BF">
        <w:rPr>
          <w:rFonts w:asciiTheme="minorBidi" w:hAnsiTheme="minorBidi"/>
        </w:rPr>
        <w:t xml:space="preserve">With </w:t>
      </w:r>
      <w:proofErr w:type="spellStart"/>
      <w:r w:rsidRPr="007253BF">
        <w:rPr>
          <w:rFonts w:asciiTheme="minorBidi" w:hAnsiTheme="minorBidi"/>
        </w:rPr>
        <w:t>p_FN</w:t>
      </w:r>
      <w:proofErr w:type="spellEnd"/>
      <w:r w:rsidRPr="007253BF">
        <w:rPr>
          <w:rFonts w:asciiTheme="minorBidi" w:hAnsiTheme="minorBidi"/>
        </w:rPr>
        <w:t xml:space="preserve"> = 0.02 in ensembles + sampling, </w:t>
      </w:r>
      <w:proofErr w:type="spellStart"/>
      <w:r w:rsidRPr="007253BF">
        <w:rPr>
          <w:rFonts w:asciiTheme="minorBidi" w:hAnsiTheme="minorBidi"/>
        </w:rPr>
        <w:t>p_gov</w:t>
      </w:r>
      <w:proofErr w:type="spellEnd"/>
      <w:r w:rsidRPr="007253BF">
        <w:rPr>
          <w:rFonts w:asciiTheme="minorBidi" w:hAnsiTheme="minorBidi"/>
        </w:rPr>
        <w:t xml:space="preserve"> = 0.007, </w:t>
      </w:r>
      <w:proofErr w:type="spellStart"/>
      <w:r w:rsidRPr="007253BF">
        <w:rPr>
          <w:rFonts w:asciiTheme="minorBidi" w:hAnsiTheme="minorBidi"/>
        </w:rPr>
        <w:t>p_data</w:t>
      </w:r>
      <w:proofErr w:type="spellEnd"/>
      <w:r w:rsidRPr="007253BF">
        <w:rPr>
          <w:rFonts w:asciiTheme="minorBidi" w:hAnsiTheme="minorBidi"/>
        </w:rPr>
        <w:t xml:space="preserve"> = 0.005, and improved sampling of a luxury line's (reduced effective N for material escapes), P_Q ≈ 5–7% for luxury SKUs and ≈ 8–12% in the wider range (Salem et al., 2024; Treacy et al., 2022; Ohwo et al., 2024).</w:t>
      </w:r>
    </w:p>
    <w:p w14:paraId="4E9252CA" w14:textId="57A332F0" w:rsidR="00CC039D" w:rsidRPr="00CC039D" w:rsidRDefault="00CC039D" w:rsidP="007253BF">
      <w:pPr>
        <w:spacing w:line="480" w:lineRule="auto"/>
        <w:jc w:val="both"/>
        <w:rPr>
          <w:rFonts w:asciiTheme="minorBidi" w:hAnsiTheme="minorBidi"/>
          <w:b/>
          <w:bCs/>
        </w:rPr>
      </w:pPr>
      <w:r w:rsidRPr="00CC039D">
        <w:rPr>
          <w:rFonts w:asciiTheme="minorBidi" w:hAnsiTheme="minorBidi"/>
          <w:b/>
          <w:bCs/>
        </w:rPr>
        <w:t>Results (interpreted in business terms)</w:t>
      </w:r>
    </w:p>
    <w:p w14:paraId="0E98C030" w14:textId="77777777" w:rsidR="003A7C8F" w:rsidRDefault="003A7C8F" w:rsidP="00CC039D">
      <w:pPr>
        <w:spacing w:line="480" w:lineRule="auto"/>
        <w:jc w:val="both"/>
        <w:rPr>
          <w:rFonts w:asciiTheme="minorBidi" w:hAnsiTheme="minorBidi"/>
        </w:rPr>
      </w:pPr>
      <w:r w:rsidRPr="003A7C8F">
        <w:rPr>
          <w:rFonts w:asciiTheme="minorBidi" w:hAnsiTheme="minorBidi"/>
        </w:rPr>
        <w:t xml:space="preserve">Based on the proposed controls, the likelihood of material quality deterioration on a quarterly basis is ~8–12% for the entire portfolio, and for the luxury line at ~5–7% with higher human-in-the-loop sampling and more rigorous calibration SOPs (Salem et al., 2024; Treacy et al., 2022). Weekly chances of an SLA-critical delay in fulfillment (≥24 hours impacting ≥10% of orders) drops to ~9–13%, the outcome of BFTA aggregation of cyber, cloud, and payment drivers with Monte-Carlo-compatible stock behavior (Brancati et al., 2025; Wang &amp; Zhao, 2024; Yan Azura et al., 2025). A chance of disastrous online outage ≥10 minutes per year is ~0.2–0.4% with active-active, health-checked failover and </w:t>
      </w:r>
      <w:r w:rsidRPr="003A7C8F">
        <w:rPr>
          <w:rFonts w:asciiTheme="minorBidi" w:hAnsiTheme="minorBidi"/>
        </w:rPr>
        <w:lastRenderedPageBreak/>
        <w:t>multi-provider CDN/DNS (Wang &amp; Zhao, 2024). Warehouse OT cyber downtime decreases to ~3–4%/year with ISA/IEC-62443 segmentation (Brancati et al., 2025). Payment-channel throttling decreases to ~0.8–1.2%/year with banking-grade controls (Yan Azura et al., 2025). Premium clients' residuals are open, tracked, and limited by KPIs.</w:t>
      </w:r>
    </w:p>
    <w:p w14:paraId="26B1A853" w14:textId="5CF0128B" w:rsidR="00CC039D" w:rsidRPr="00CC039D" w:rsidRDefault="00CC039D" w:rsidP="00CC039D">
      <w:pPr>
        <w:spacing w:line="480" w:lineRule="auto"/>
        <w:jc w:val="both"/>
        <w:rPr>
          <w:rFonts w:asciiTheme="minorBidi" w:hAnsiTheme="minorBidi"/>
          <w:b/>
          <w:bCs/>
        </w:rPr>
      </w:pPr>
      <w:r w:rsidRPr="00CC039D">
        <w:rPr>
          <w:rFonts w:asciiTheme="minorBidi" w:hAnsiTheme="minorBidi"/>
          <w:b/>
          <w:bCs/>
        </w:rPr>
        <w:t>Recommended controls and why they work</w:t>
      </w:r>
    </w:p>
    <w:p w14:paraId="0D225E32" w14:textId="77777777" w:rsidR="00C870DD" w:rsidRDefault="00C870DD" w:rsidP="00CC039D">
      <w:pPr>
        <w:spacing w:line="480" w:lineRule="auto"/>
        <w:jc w:val="both"/>
        <w:rPr>
          <w:rFonts w:asciiTheme="minorBidi" w:hAnsiTheme="minorBidi"/>
        </w:rPr>
      </w:pPr>
      <w:r w:rsidRPr="00C870DD">
        <w:rPr>
          <w:rFonts w:asciiTheme="minorBidi" w:hAnsiTheme="minorBidi"/>
        </w:rPr>
        <w:t xml:space="preserve">First, utilize an active-active multi-region setup with global traffic management, failover health-checked in the case of control-plane or regional failure, and synchronously replicated transactional data; this directly addresses the low-frequency/high-impact risk due to control-plane or region failure and delivers measured RTO/RPO ≤ 60 seconds during live failover testing (Wang &amp; Zhao, 2024). Second, use ISA/IEC-62443 conduits and zoning and micro-segmentation for WMS/WES/PLC cells, unidirectional gateways where required, privileged access to OT admins, and break-glass under tamper-evident logs; this significantly minimizes warehouse automation downtime risk and blast radius (Brancati et al., 2025). Third, apply AI-based multi-model detection and shadow models with monitoring for drift and calibration SOP and human sampling for luxury SKUs to minimize false-negatives and give auditable acceptance decisions (Salem et al., 2024). Fourth, apply DPIA, purpose limitation, </w:t>
      </w:r>
      <w:proofErr w:type="spellStart"/>
      <w:r w:rsidRPr="00C870DD">
        <w:rPr>
          <w:rFonts w:asciiTheme="minorBidi" w:hAnsiTheme="minorBidi"/>
        </w:rPr>
        <w:t>minimisation</w:t>
      </w:r>
      <w:proofErr w:type="spellEnd"/>
      <w:r w:rsidRPr="00C870DD">
        <w:rPr>
          <w:rFonts w:asciiTheme="minorBidi" w:hAnsiTheme="minorBidi"/>
        </w:rPr>
        <w:t>, retention, and recertification of access for GDPR-style responsibility, and an ethics committee to oversee QC regulations, overrides, and bias testing (Treacy et al., 2022; Weber, 2022; Ohwo et al., 2024; Sagar &amp; Pearl, 2024). Fifth, de-risk logistics using dual ports/carriers, safety stock, and dynamic re-routing to limit the stockout tail (Wang &amp; Zhao, 2024). Sixth, architecture-based service hardening—</w:t>
      </w:r>
      <w:proofErr w:type="spellStart"/>
      <w:r w:rsidRPr="00C870DD">
        <w:rPr>
          <w:rFonts w:asciiTheme="minorBidi" w:hAnsiTheme="minorBidi"/>
        </w:rPr>
        <w:t>mTLS</w:t>
      </w:r>
      <w:proofErr w:type="spellEnd"/>
      <w:r w:rsidRPr="00C870DD">
        <w:rPr>
          <w:rFonts w:asciiTheme="minorBidi" w:hAnsiTheme="minorBidi"/>
        </w:rPr>
        <w:t xml:space="preserve">, </w:t>
      </w:r>
      <w:proofErr w:type="spellStart"/>
      <w:r w:rsidRPr="00C870DD">
        <w:rPr>
          <w:rFonts w:asciiTheme="minorBidi" w:hAnsiTheme="minorBidi"/>
        </w:rPr>
        <w:t>tokenisation</w:t>
      </w:r>
      <w:proofErr w:type="spellEnd"/>
      <w:r w:rsidRPr="00C870DD">
        <w:rPr>
          <w:rFonts w:asciiTheme="minorBidi" w:hAnsiTheme="minorBidi"/>
        </w:rPr>
        <w:t xml:space="preserve">, API rate-limits, and </w:t>
      </w:r>
      <w:proofErr w:type="spellStart"/>
      <w:r w:rsidRPr="00C870DD">
        <w:rPr>
          <w:rFonts w:asciiTheme="minorBidi" w:hAnsiTheme="minorBidi"/>
        </w:rPr>
        <w:t>SoD</w:t>
      </w:r>
      <w:proofErr w:type="spellEnd"/>
      <w:r w:rsidRPr="00C870DD">
        <w:rPr>
          <w:rFonts w:asciiTheme="minorBidi" w:hAnsiTheme="minorBidi"/>
        </w:rPr>
        <w:t xml:space="preserve"> in deploy pipelines—eliminates </w:t>
      </w:r>
      <w:r w:rsidRPr="00C870DD">
        <w:rPr>
          <w:rFonts w:asciiTheme="minorBidi" w:hAnsiTheme="minorBidi"/>
        </w:rPr>
        <w:lastRenderedPageBreak/>
        <w:t>cascading failure and exploitation attack (</w:t>
      </w:r>
      <w:proofErr w:type="spellStart"/>
      <w:r w:rsidRPr="00C870DD">
        <w:rPr>
          <w:rFonts w:asciiTheme="minorBidi" w:hAnsiTheme="minorBidi"/>
        </w:rPr>
        <w:t>Cîrnu</w:t>
      </w:r>
      <w:proofErr w:type="spellEnd"/>
      <w:r w:rsidRPr="00C870DD">
        <w:rPr>
          <w:rFonts w:asciiTheme="minorBidi" w:hAnsiTheme="minorBidi"/>
        </w:rPr>
        <w:t xml:space="preserve"> et al., 2018). Last, do not lock-in with an easily portable CNCF stack (Kubernetes, </w:t>
      </w:r>
      <w:proofErr w:type="spellStart"/>
      <w:r w:rsidRPr="00C870DD">
        <w:rPr>
          <w:rFonts w:asciiTheme="minorBidi" w:hAnsiTheme="minorBidi"/>
        </w:rPr>
        <w:t>OpenTelemetry</w:t>
      </w:r>
      <w:proofErr w:type="spellEnd"/>
      <w:r w:rsidRPr="00C870DD">
        <w:rPr>
          <w:rFonts w:asciiTheme="minorBidi" w:hAnsiTheme="minorBidi"/>
        </w:rPr>
        <w:t>, Terraform/</w:t>
      </w:r>
      <w:proofErr w:type="spellStart"/>
      <w:r w:rsidRPr="00C870DD">
        <w:rPr>
          <w:rFonts w:asciiTheme="minorBidi" w:hAnsiTheme="minorBidi"/>
        </w:rPr>
        <w:t>Crossplane</w:t>
      </w:r>
      <w:proofErr w:type="spellEnd"/>
      <w:r w:rsidRPr="00C870DD">
        <w:rPr>
          <w:rFonts w:asciiTheme="minorBidi" w:hAnsiTheme="minorBidi"/>
        </w:rPr>
        <w:t>), Postgres-compatible multi-primary databases, S3-compatible storage, and contractual exit/escrow to enable switching (Wang &amp; Zhao, 2024; Ruslan, 2023).</w:t>
      </w:r>
    </w:p>
    <w:p w14:paraId="21CA51AE" w14:textId="7AB75C77" w:rsidR="00CC039D" w:rsidRPr="00CC039D" w:rsidRDefault="00CC039D" w:rsidP="00CC039D">
      <w:pPr>
        <w:spacing w:line="480" w:lineRule="auto"/>
        <w:jc w:val="both"/>
        <w:rPr>
          <w:rFonts w:asciiTheme="minorBidi" w:hAnsiTheme="minorBidi"/>
          <w:b/>
          <w:bCs/>
        </w:rPr>
      </w:pPr>
      <w:r w:rsidRPr="00CC039D">
        <w:rPr>
          <w:rFonts w:asciiTheme="minorBidi" w:hAnsiTheme="minorBidi"/>
          <w:b/>
          <w:bCs/>
        </w:rPr>
        <w:t>DR/BC solution with sub-minute targets</w:t>
      </w:r>
    </w:p>
    <w:p w14:paraId="0A223C00" w14:textId="77777777" w:rsidR="0072689F" w:rsidRPr="0072689F" w:rsidRDefault="0072689F" w:rsidP="0072689F">
      <w:pPr>
        <w:spacing w:line="480" w:lineRule="auto"/>
        <w:jc w:val="both"/>
        <w:rPr>
          <w:rFonts w:asciiTheme="minorBidi" w:hAnsiTheme="minorBidi"/>
        </w:rPr>
      </w:pPr>
      <w:r w:rsidRPr="0072689F">
        <w:rPr>
          <w:rFonts w:asciiTheme="minorBidi" w:hAnsiTheme="minorBidi"/>
        </w:rPr>
        <w:t xml:space="preserve">Conceptually, user traffic is directed to a multi-provider DNS/traffic manager, which health checks and directs to the nearest healthy edge. Internationally, globally, a CDN terminates TLS and hosts static assets and proxies API requests to Region A and Region B with the same stacks through </w:t>
      </w:r>
      <w:proofErr w:type="spellStart"/>
      <w:r w:rsidRPr="0072689F">
        <w:rPr>
          <w:rFonts w:asciiTheme="minorBidi" w:hAnsiTheme="minorBidi"/>
        </w:rPr>
        <w:t>GitOps</w:t>
      </w:r>
      <w:proofErr w:type="spellEnd"/>
      <w:r w:rsidRPr="0072689F">
        <w:rPr>
          <w:rFonts w:asciiTheme="minorBidi" w:hAnsiTheme="minorBidi"/>
        </w:rPr>
        <w:t>/</w:t>
      </w:r>
      <w:proofErr w:type="spellStart"/>
      <w:r w:rsidRPr="0072689F">
        <w:rPr>
          <w:rFonts w:asciiTheme="minorBidi" w:hAnsiTheme="minorBidi"/>
        </w:rPr>
        <w:t>IaC</w:t>
      </w:r>
      <w:proofErr w:type="spellEnd"/>
      <w:r w:rsidRPr="0072689F">
        <w:rPr>
          <w:rFonts w:asciiTheme="minorBidi" w:hAnsiTheme="minorBidi"/>
        </w:rPr>
        <w:t xml:space="preserve">. Stateless microservices are horizontally distributed in all regions; transactional state lives in </w:t>
      </w:r>
      <w:proofErr w:type="gramStart"/>
      <w:r w:rsidRPr="0072689F">
        <w:rPr>
          <w:rFonts w:asciiTheme="minorBidi" w:hAnsiTheme="minorBidi"/>
        </w:rPr>
        <w:t>an</w:t>
      </w:r>
      <w:proofErr w:type="gramEnd"/>
      <w:r w:rsidRPr="0072689F">
        <w:rPr>
          <w:rFonts w:asciiTheme="minorBidi" w:hAnsiTheme="minorBidi"/>
        </w:rPr>
        <w:t xml:space="preserve"> synchronously replicated OLTP datastore with quorum between regions, object storage and analysis asynchronously </w:t>
      </w:r>
      <w:proofErr w:type="gramStart"/>
      <w:r w:rsidRPr="0072689F">
        <w:rPr>
          <w:rFonts w:asciiTheme="minorBidi" w:hAnsiTheme="minorBidi"/>
        </w:rPr>
        <w:t>replicate</w:t>
      </w:r>
      <w:proofErr w:type="gramEnd"/>
      <w:r w:rsidRPr="0072689F">
        <w:rPr>
          <w:rFonts w:asciiTheme="minorBidi" w:hAnsiTheme="minorBidi"/>
        </w:rPr>
        <w:t xml:space="preserve"> in a ≤ 60-second recovery point window. A message bus replicates topics between regions to provide idempotent replay. Synthetic and real-user monitoring periodically </w:t>
      </w:r>
      <w:proofErr w:type="gramStart"/>
      <w:r w:rsidRPr="0072689F">
        <w:rPr>
          <w:rFonts w:asciiTheme="minorBidi" w:hAnsiTheme="minorBidi"/>
        </w:rPr>
        <w:t>ping</w:t>
      </w:r>
      <w:proofErr w:type="gramEnd"/>
      <w:r w:rsidRPr="0072689F">
        <w:rPr>
          <w:rFonts w:asciiTheme="minorBidi" w:hAnsiTheme="minorBidi"/>
        </w:rPr>
        <w:t xml:space="preserve"> both regions; upon health check fail, DNS/traffic policy drains the failed region immediately and stateless services continue in the other region while state remains in sync because of synchronous replication. This pattern, rolled out in production, consistently satisfies RTO ≤ 60 seconds and RPO ≤ 60 seconds, meeting premium customers' demands (Wang &amp; Zhao, 2024; Yan Azura et al., 2025).</w:t>
      </w:r>
    </w:p>
    <w:p w14:paraId="69A6F0FE" w14:textId="77777777" w:rsidR="0072689F" w:rsidRDefault="0072689F" w:rsidP="0072689F">
      <w:pPr>
        <w:spacing w:line="480" w:lineRule="auto"/>
        <w:jc w:val="both"/>
        <w:rPr>
          <w:rFonts w:asciiTheme="minorBidi" w:hAnsiTheme="minorBidi"/>
        </w:rPr>
      </w:pPr>
      <w:r w:rsidRPr="0072689F">
        <w:rPr>
          <w:rFonts w:asciiTheme="minorBidi" w:hAnsiTheme="minorBidi"/>
        </w:rPr>
        <w:t xml:space="preserve">A second conceptual diagram—reported below in textual form—describes the fault tree: the root cause "weekly fulfillment SLA breach ≥24 hours" is symbolized by four top-level branches: (1) IT failure in online stack; (2) OT failure in auto warehouse cells; (3) regional/control-plane failures in the cloud; and (4) payment/checkout failure. Every branch is labeled with residual probabilities as above, and the top-event probability is </w:t>
      </w:r>
      <w:r w:rsidRPr="0072689F">
        <w:rPr>
          <w:rFonts w:asciiTheme="minorBidi" w:hAnsiTheme="minorBidi"/>
        </w:rPr>
        <w:lastRenderedPageBreak/>
        <w:t>estimated conservatively by applying the union-of-events calculation hitherto explained (Brancati et al., 2025; Wang &amp; Zhao, 2024; Yan Azura et al., 2025).</w:t>
      </w:r>
    </w:p>
    <w:p w14:paraId="69F6E010" w14:textId="32A76421" w:rsidR="00CC039D" w:rsidRPr="00CC039D" w:rsidRDefault="00CC039D" w:rsidP="0072689F">
      <w:pPr>
        <w:spacing w:line="480" w:lineRule="auto"/>
        <w:jc w:val="both"/>
        <w:rPr>
          <w:rFonts w:asciiTheme="minorBidi" w:hAnsiTheme="minorBidi"/>
          <w:b/>
          <w:bCs/>
        </w:rPr>
      </w:pPr>
      <w:r w:rsidRPr="00CC039D">
        <w:rPr>
          <w:rFonts w:asciiTheme="minorBidi" w:hAnsiTheme="minorBidi"/>
          <w:b/>
          <w:bCs/>
        </w:rPr>
        <w:t>Legal, privacy, and ethics</w:t>
      </w:r>
    </w:p>
    <w:p w14:paraId="6440327B" w14:textId="77777777" w:rsidR="0002220F" w:rsidRDefault="00CC349B" w:rsidP="00CC039D">
      <w:pPr>
        <w:spacing w:line="480" w:lineRule="auto"/>
        <w:jc w:val="both"/>
        <w:rPr>
          <w:rFonts w:asciiTheme="minorBidi" w:hAnsiTheme="minorBidi"/>
        </w:rPr>
      </w:pPr>
      <w:r w:rsidRPr="00CC349B">
        <w:rPr>
          <w:rFonts w:asciiTheme="minorBidi" w:hAnsiTheme="minorBidi"/>
        </w:rPr>
        <w:t xml:space="preserve">To comply with GDPR-like requirements, the application performs a DPIA for QC and monitoring analytics, Cross Border Data Flows mapping to DPAs/SCCs, and maintains records of processing (ROPA). Purpose limitation, </w:t>
      </w:r>
      <w:proofErr w:type="spellStart"/>
      <w:r w:rsidRPr="00CC349B">
        <w:rPr>
          <w:rFonts w:asciiTheme="minorBidi" w:hAnsiTheme="minorBidi"/>
        </w:rPr>
        <w:t>minimisation</w:t>
      </w:r>
      <w:proofErr w:type="spellEnd"/>
      <w:r w:rsidRPr="00CC349B">
        <w:rPr>
          <w:rFonts w:asciiTheme="minorBidi" w:hAnsiTheme="minorBidi"/>
        </w:rPr>
        <w:t>, retention schedules, and role-based access are implemented with quarterly recertification and tamper-evident privileged logs. Override reasons, bias/impact testing, and QC thresholds are tracked by an ethics committee for the AI aspects. Breach notification runbooks are associated with detection metrics (MTTD/MTTR) and contain IT and OT scenarios (Treacy et al., 2022; Weber, 2022; Ohwo et al., 2024; Sagar &amp; Pearl, 2024; Ruslan, 2023).</w:t>
      </w:r>
    </w:p>
    <w:p w14:paraId="50E295FA" w14:textId="3036936C" w:rsidR="00CC039D" w:rsidRPr="00CC039D" w:rsidRDefault="00CC039D" w:rsidP="00CC039D">
      <w:pPr>
        <w:spacing w:line="480" w:lineRule="auto"/>
        <w:jc w:val="both"/>
        <w:rPr>
          <w:rFonts w:asciiTheme="minorBidi" w:hAnsiTheme="minorBidi"/>
          <w:b/>
          <w:bCs/>
        </w:rPr>
      </w:pPr>
      <w:r w:rsidRPr="00CC039D">
        <w:rPr>
          <w:rFonts w:asciiTheme="minorBidi" w:hAnsiTheme="minorBidi"/>
          <w:b/>
          <w:bCs/>
        </w:rPr>
        <w:t>KPIs to prove control effectiveness</w:t>
      </w:r>
    </w:p>
    <w:p w14:paraId="0ECF8F45" w14:textId="77777777" w:rsidR="009505A6" w:rsidRDefault="00192051" w:rsidP="00CC039D">
      <w:pPr>
        <w:spacing w:line="480" w:lineRule="auto"/>
        <w:jc w:val="both"/>
        <w:rPr>
          <w:rFonts w:asciiTheme="minorBidi" w:hAnsiTheme="minorBidi"/>
        </w:rPr>
      </w:pPr>
      <w:r w:rsidRPr="00192051">
        <w:rPr>
          <w:rFonts w:asciiTheme="minorBidi" w:hAnsiTheme="minorBidi"/>
        </w:rPr>
        <w:t xml:space="preserve">Quality efficacy is shown through trending defect escape ppm, AI false-negative rate, calibration drift MTBF, percent of </w:t>
      </w:r>
      <w:proofErr w:type="gramStart"/>
      <w:r w:rsidRPr="00192051">
        <w:rPr>
          <w:rFonts w:asciiTheme="minorBidi" w:hAnsiTheme="minorBidi"/>
        </w:rPr>
        <w:t>lots</w:t>
      </w:r>
      <w:proofErr w:type="gramEnd"/>
      <w:r w:rsidRPr="00192051">
        <w:rPr>
          <w:rFonts w:asciiTheme="minorBidi" w:hAnsiTheme="minorBidi"/>
        </w:rPr>
        <w:t xml:space="preserve"> human-sampled for luxury SKUs, and time-to-recalibrate following drift alerts (Salem et al., 2024). Availability is shown through order-path latency (p95), percentage of on-time fulfilment, measured failover time, OT cell uptime, and weekly stockout probability based on operational data (Wang &amp; Zhao, 2024). Security/compliance metrics are phishing resilience, MTTD/MTTR, approved overrides count, DPIA completion, and access recertification close time (Yan Azura et al., 2025; Treacy et al., 2022). Portability and anti-lock-in are portability and anti-lock-in percentage of infrastructure as code, alternate-provider build/restore testing, and confirmed data exports (Wang &amp; Zhao, 2024).</w:t>
      </w:r>
    </w:p>
    <w:p w14:paraId="7C65BB46" w14:textId="55ED61D8" w:rsidR="00BA0635" w:rsidRPr="00BA0635" w:rsidRDefault="00BA0635" w:rsidP="00CC039D">
      <w:pPr>
        <w:spacing w:line="480" w:lineRule="auto"/>
        <w:jc w:val="both"/>
        <w:rPr>
          <w:rFonts w:asciiTheme="minorBidi" w:hAnsiTheme="minorBidi"/>
          <w:b/>
          <w:bCs/>
        </w:rPr>
      </w:pPr>
      <w:r w:rsidRPr="00BA0635">
        <w:rPr>
          <w:rFonts w:asciiTheme="minorBidi" w:hAnsiTheme="minorBidi"/>
          <w:b/>
          <w:bCs/>
        </w:rPr>
        <w:lastRenderedPageBreak/>
        <w:t>Appendix</w:t>
      </w:r>
      <w:r w:rsidR="0019685E">
        <w:rPr>
          <w:rFonts w:asciiTheme="minorBidi" w:hAnsiTheme="minorBidi"/>
          <w:b/>
          <w:bCs/>
        </w:rPr>
        <w:t xml:space="preserve"> (Not included in Word Count)</w:t>
      </w:r>
    </w:p>
    <w:p w14:paraId="31A7545B" w14:textId="77777777" w:rsidR="00BA0635" w:rsidRPr="00BA0635" w:rsidRDefault="00BA0635" w:rsidP="009505A6">
      <w:pPr>
        <w:spacing w:line="240" w:lineRule="auto"/>
        <w:jc w:val="both"/>
        <w:rPr>
          <w:rFonts w:asciiTheme="minorBidi" w:hAnsiTheme="minorBidi"/>
          <w:sz w:val="22"/>
          <w:szCs w:val="22"/>
          <w:u w:val="single"/>
        </w:rPr>
      </w:pPr>
      <w:r w:rsidRPr="00BA0635">
        <w:rPr>
          <w:rFonts w:asciiTheme="minorBidi" w:hAnsiTheme="minorBidi"/>
          <w:sz w:val="22"/>
          <w:szCs w:val="22"/>
          <w:u w:val="single"/>
        </w:rPr>
        <w:t>Appendix A — Risk Register (Table A1)</w:t>
      </w:r>
    </w:p>
    <w:p w14:paraId="11E65CE3" w14:textId="77777777"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sz w:val="22"/>
          <w:szCs w:val="22"/>
        </w:rPr>
        <w:t>Table A1. Post-mitigation risk register (headline items)</w:t>
      </w:r>
    </w:p>
    <w:tbl>
      <w:tblPr>
        <w:tblStyle w:val="TableGrid"/>
        <w:tblW w:w="0" w:type="auto"/>
        <w:tblLook w:val="04A0" w:firstRow="1" w:lastRow="0" w:firstColumn="1" w:lastColumn="0" w:noHBand="0" w:noVBand="1"/>
      </w:tblPr>
      <w:tblGrid>
        <w:gridCol w:w="2274"/>
        <w:gridCol w:w="2260"/>
        <w:gridCol w:w="1667"/>
        <w:gridCol w:w="1660"/>
        <w:gridCol w:w="1489"/>
      </w:tblGrid>
      <w:tr w:rsidR="00BA0635" w:rsidRPr="00BA0635" w14:paraId="254113C7" w14:textId="77777777" w:rsidTr="00CE2F29">
        <w:tc>
          <w:tcPr>
            <w:tcW w:w="0" w:type="auto"/>
            <w:hideMark/>
          </w:tcPr>
          <w:p w14:paraId="4D86303A"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Risk area</w:t>
            </w:r>
          </w:p>
        </w:tc>
        <w:tc>
          <w:tcPr>
            <w:tcW w:w="0" w:type="auto"/>
            <w:hideMark/>
          </w:tcPr>
          <w:p w14:paraId="2FF51104"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Key control(s)</w:t>
            </w:r>
          </w:p>
        </w:tc>
        <w:tc>
          <w:tcPr>
            <w:tcW w:w="0" w:type="auto"/>
            <w:hideMark/>
          </w:tcPr>
          <w:p w14:paraId="679A882A"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Prior probability</w:t>
            </w:r>
          </w:p>
        </w:tc>
        <w:tc>
          <w:tcPr>
            <w:tcW w:w="0" w:type="auto"/>
            <w:hideMark/>
          </w:tcPr>
          <w:p w14:paraId="2E669890"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Residual probability</w:t>
            </w:r>
          </w:p>
        </w:tc>
        <w:tc>
          <w:tcPr>
            <w:tcW w:w="0" w:type="auto"/>
            <w:hideMark/>
          </w:tcPr>
          <w:p w14:paraId="30F795F8"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Source anchor</w:t>
            </w:r>
          </w:p>
        </w:tc>
      </w:tr>
      <w:tr w:rsidR="00BA0635" w:rsidRPr="00BA0635" w14:paraId="47CCF037" w14:textId="77777777" w:rsidTr="00CE2F29">
        <w:tc>
          <w:tcPr>
            <w:tcW w:w="0" w:type="auto"/>
            <w:hideMark/>
          </w:tcPr>
          <w:p w14:paraId="4CA0741C"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OT/ICS downtime halts fulfilment</w:t>
            </w:r>
          </w:p>
        </w:tc>
        <w:tc>
          <w:tcPr>
            <w:tcW w:w="0" w:type="auto"/>
            <w:hideMark/>
          </w:tcPr>
          <w:p w14:paraId="42934691"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ISA/IEC-62443 zones/conduits, micro-seg, PAM</w:t>
            </w:r>
          </w:p>
        </w:tc>
        <w:tc>
          <w:tcPr>
            <w:tcW w:w="0" w:type="auto"/>
            <w:hideMark/>
          </w:tcPr>
          <w:p w14:paraId="2706EDD6"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~10%/yr</w:t>
            </w:r>
          </w:p>
        </w:tc>
        <w:tc>
          <w:tcPr>
            <w:tcW w:w="0" w:type="auto"/>
            <w:hideMark/>
          </w:tcPr>
          <w:p w14:paraId="4FDEF751" w14:textId="77777777" w:rsidR="00BA0635" w:rsidRPr="00BA0635" w:rsidRDefault="00BA0635" w:rsidP="009505A6">
            <w:pPr>
              <w:spacing w:after="160"/>
              <w:rPr>
                <w:rFonts w:asciiTheme="minorBidi" w:hAnsiTheme="minorBidi"/>
                <w:sz w:val="22"/>
                <w:szCs w:val="22"/>
              </w:rPr>
            </w:pPr>
            <w:r w:rsidRPr="00BA0635">
              <w:rPr>
                <w:rFonts w:asciiTheme="minorBidi" w:hAnsiTheme="minorBidi"/>
                <w:b/>
                <w:bCs/>
                <w:sz w:val="22"/>
                <w:szCs w:val="22"/>
              </w:rPr>
              <w:t>3–4%/yr</w:t>
            </w:r>
          </w:p>
        </w:tc>
        <w:tc>
          <w:tcPr>
            <w:tcW w:w="0" w:type="auto"/>
            <w:hideMark/>
          </w:tcPr>
          <w:p w14:paraId="37C2D0B1"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Brancati et al., 2025</w:t>
            </w:r>
          </w:p>
        </w:tc>
      </w:tr>
      <w:tr w:rsidR="00BA0635" w:rsidRPr="00BA0635" w14:paraId="1FBC7BEB" w14:textId="77777777" w:rsidTr="00CE2F29">
        <w:tc>
          <w:tcPr>
            <w:tcW w:w="0" w:type="auto"/>
            <w:hideMark/>
          </w:tcPr>
          <w:p w14:paraId="1C2846A0"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Cloud region/control-plane ≥10 min</w:t>
            </w:r>
          </w:p>
        </w:tc>
        <w:tc>
          <w:tcPr>
            <w:tcW w:w="0" w:type="auto"/>
            <w:hideMark/>
          </w:tcPr>
          <w:p w14:paraId="502A1708"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Active-active, anycast DNS, CDN</w:t>
            </w:r>
          </w:p>
        </w:tc>
        <w:tc>
          <w:tcPr>
            <w:tcW w:w="0" w:type="auto"/>
            <w:hideMark/>
          </w:tcPr>
          <w:p w14:paraId="79C25C81"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~1.5%/yr</w:t>
            </w:r>
          </w:p>
        </w:tc>
        <w:tc>
          <w:tcPr>
            <w:tcW w:w="0" w:type="auto"/>
            <w:hideMark/>
          </w:tcPr>
          <w:p w14:paraId="3063AF75" w14:textId="77777777" w:rsidR="00BA0635" w:rsidRPr="00BA0635" w:rsidRDefault="00BA0635" w:rsidP="009505A6">
            <w:pPr>
              <w:spacing w:after="160"/>
              <w:rPr>
                <w:rFonts w:asciiTheme="minorBidi" w:hAnsiTheme="minorBidi"/>
                <w:sz w:val="22"/>
                <w:szCs w:val="22"/>
              </w:rPr>
            </w:pPr>
            <w:r w:rsidRPr="00BA0635">
              <w:rPr>
                <w:rFonts w:asciiTheme="minorBidi" w:hAnsiTheme="minorBidi"/>
                <w:b/>
                <w:bCs/>
                <w:sz w:val="22"/>
                <w:szCs w:val="22"/>
              </w:rPr>
              <w:t>0.2–0.4%/yr</w:t>
            </w:r>
          </w:p>
        </w:tc>
        <w:tc>
          <w:tcPr>
            <w:tcW w:w="0" w:type="auto"/>
            <w:hideMark/>
          </w:tcPr>
          <w:p w14:paraId="7B4EF93C"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Wang &amp; Zhao, 2024</w:t>
            </w:r>
          </w:p>
        </w:tc>
      </w:tr>
      <w:tr w:rsidR="00BA0635" w:rsidRPr="00BA0635" w14:paraId="57628554" w14:textId="77777777" w:rsidTr="00CE2F29">
        <w:tc>
          <w:tcPr>
            <w:tcW w:w="0" w:type="auto"/>
            <w:hideMark/>
          </w:tcPr>
          <w:p w14:paraId="1CEAA96F"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Payment/checkout disruption</w:t>
            </w:r>
          </w:p>
        </w:tc>
        <w:tc>
          <w:tcPr>
            <w:tcW w:w="0" w:type="auto"/>
            <w:hideMark/>
          </w:tcPr>
          <w:p w14:paraId="7172D09A"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 xml:space="preserve">SCA, </w:t>
            </w:r>
            <w:proofErr w:type="spellStart"/>
            <w:r w:rsidRPr="00BA0635">
              <w:rPr>
                <w:rFonts w:asciiTheme="minorBidi" w:hAnsiTheme="minorBidi"/>
                <w:sz w:val="22"/>
                <w:szCs w:val="22"/>
              </w:rPr>
              <w:t>tokenisation</w:t>
            </w:r>
            <w:proofErr w:type="spellEnd"/>
            <w:r w:rsidRPr="00BA0635">
              <w:rPr>
                <w:rFonts w:asciiTheme="minorBidi" w:hAnsiTheme="minorBidi"/>
                <w:sz w:val="22"/>
                <w:szCs w:val="22"/>
              </w:rPr>
              <w:t>, anomaly scoring</w:t>
            </w:r>
          </w:p>
        </w:tc>
        <w:tc>
          <w:tcPr>
            <w:tcW w:w="0" w:type="auto"/>
            <w:hideMark/>
          </w:tcPr>
          <w:p w14:paraId="5CB99682"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~3%/yr</w:t>
            </w:r>
          </w:p>
        </w:tc>
        <w:tc>
          <w:tcPr>
            <w:tcW w:w="0" w:type="auto"/>
            <w:hideMark/>
          </w:tcPr>
          <w:p w14:paraId="56CFEF16" w14:textId="77777777" w:rsidR="00BA0635" w:rsidRPr="00BA0635" w:rsidRDefault="00BA0635" w:rsidP="009505A6">
            <w:pPr>
              <w:spacing w:after="160"/>
              <w:rPr>
                <w:rFonts w:asciiTheme="minorBidi" w:hAnsiTheme="minorBidi"/>
                <w:sz w:val="22"/>
                <w:szCs w:val="22"/>
              </w:rPr>
            </w:pPr>
            <w:r w:rsidRPr="00BA0635">
              <w:rPr>
                <w:rFonts w:asciiTheme="minorBidi" w:hAnsiTheme="minorBidi"/>
                <w:b/>
                <w:bCs/>
                <w:sz w:val="22"/>
                <w:szCs w:val="22"/>
              </w:rPr>
              <w:t>0.8–1.2%/yr</w:t>
            </w:r>
          </w:p>
        </w:tc>
        <w:tc>
          <w:tcPr>
            <w:tcW w:w="0" w:type="auto"/>
            <w:hideMark/>
          </w:tcPr>
          <w:p w14:paraId="0214147C"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Yan Azura et al., 2025</w:t>
            </w:r>
          </w:p>
        </w:tc>
      </w:tr>
      <w:tr w:rsidR="00BA0635" w:rsidRPr="00BA0635" w14:paraId="5B57D8C9" w14:textId="77777777" w:rsidTr="00CE2F29">
        <w:tc>
          <w:tcPr>
            <w:tcW w:w="0" w:type="auto"/>
            <w:hideMark/>
          </w:tcPr>
          <w:p w14:paraId="79A1CEC4"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AI QC false negatives (per lot)</w:t>
            </w:r>
          </w:p>
        </w:tc>
        <w:tc>
          <w:tcPr>
            <w:tcW w:w="0" w:type="auto"/>
            <w:hideMark/>
          </w:tcPr>
          <w:p w14:paraId="4F863195"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Ensemble models, drift monitors, human sampling</w:t>
            </w:r>
          </w:p>
        </w:tc>
        <w:tc>
          <w:tcPr>
            <w:tcW w:w="0" w:type="auto"/>
            <w:hideMark/>
          </w:tcPr>
          <w:p w14:paraId="6A290F0C"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3–7%</w:t>
            </w:r>
          </w:p>
        </w:tc>
        <w:tc>
          <w:tcPr>
            <w:tcW w:w="0" w:type="auto"/>
            <w:hideMark/>
          </w:tcPr>
          <w:p w14:paraId="44332B1B" w14:textId="77777777" w:rsidR="00BA0635" w:rsidRPr="00BA0635" w:rsidRDefault="00BA0635" w:rsidP="009505A6">
            <w:pPr>
              <w:spacing w:after="160"/>
              <w:rPr>
                <w:rFonts w:asciiTheme="minorBidi" w:hAnsiTheme="minorBidi"/>
                <w:sz w:val="22"/>
                <w:szCs w:val="22"/>
              </w:rPr>
            </w:pPr>
            <w:r w:rsidRPr="00BA0635">
              <w:rPr>
                <w:rFonts w:asciiTheme="minorBidi" w:hAnsiTheme="minorBidi"/>
                <w:b/>
                <w:bCs/>
                <w:sz w:val="22"/>
                <w:szCs w:val="22"/>
              </w:rPr>
              <w:t>1–3%</w:t>
            </w:r>
          </w:p>
        </w:tc>
        <w:tc>
          <w:tcPr>
            <w:tcW w:w="0" w:type="auto"/>
            <w:hideMark/>
          </w:tcPr>
          <w:p w14:paraId="7A098C49"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Salem et al., 2024</w:t>
            </w:r>
          </w:p>
        </w:tc>
      </w:tr>
      <w:tr w:rsidR="00BA0635" w:rsidRPr="00BA0635" w14:paraId="1DE62F42" w14:textId="77777777" w:rsidTr="00CE2F29">
        <w:tc>
          <w:tcPr>
            <w:tcW w:w="0" w:type="auto"/>
            <w:hideMark/>
          </w:tcPr>
          <w:p w14:paraId="5424720E"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Governance override/bias</w:t>
            </w:r>
          </w:p>
        </w:tc>
        <w:tc>
          <w:tcPr>
            <w:tcW w:w="0" w:type="auto"/>
            <w:hideMark/>
          </w:tcPr>
          <w:p w14:paraId="15387787" w14:textId="77777777" w:rsidR="00BA0635" w:rsidRPr="00BA0635" w:rsidRDefault="00BA0635" w:rsidP="009505A6">
            <w:pPr>
              <w:spacing w:after="160"/>
              <w:rPr>
                <w:rFonts w:asciiTheme="minorBidi" w:hAnsiTheme="minorBidi"/>
                <w:sz w:val="22"/>
                <w:szCs w:val="22"/>
              </w:rPr>
            </w:pPr>
            <w:proofErr w:type="spellStart"/>
            <w:r w:rsidRPr="00BA0635">
              <w:rPr>
                <w:rFonts w:asciiTheme="minorBidi" w:hAnsiTheme="minorBidi"/>
                <w:sz w:val="22"/>
                <w:szCs w:val="22"/>
              </w:rPr>
              <w:t>SoD</w:t>
            </w:r>
            <w:proofErr w:type="spellEnd"/>
            <w:r w:rsidRPr="00BA0635">
              <w:rPr>
                <w:rFonts w:asciiTheme="minorBidi" w:hAnsiTheme="minorBidi"/>
                <w:sz w:val="22"/>
                <w:szCs w:val="22"/>
              </w:rPr>
              <w:t>, ethics committee, audit trail</w:t>
            </w:r>
          </w:p>
        </w:tc>
        <w:tc>
          <w:tcPr>
            <w:tcW w:w="0" w:type="auto"/>
            <w:hideMark/>
          </w:tcPr>
          <w:p w14:paraId="324E33DC"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1–2%/yr</w:t>
            </w:r>
          </w:p>
        </w:tc>
        <w:tc>
          <w:tcPr>
            <w:tcW w:w="0" w:type="auto"/>
            <w:hideMark/>
          </w:tcPr>
          <w:p w14:paraId="7D285323" w14:textId="77777777" w:rsidR="00BA0635" w:rsidRPr="00BA0635" w:rsidRDefault="00BA0635" w:rsidP="009505A6">
            <w:pPr>
              <w:spacing w:after="160"/>
              <w:rPr>
                <w:rFonts w:asciiTheme="minorBidi" w:hAnsiTheme="minorBidi"/>
                <w:sz w:val="22"/>
                <w:szCs w:val="22"/>
              </w:rPr>
            </w:pPr>
            <w:r w:rsidRPr="00BA0635">
              <w:rPr>
                <w:rFonts w:asciiTheme="minorBidi" w:hAnsiTheme="minorBidi"/>
                <w:b/>
                <w:bCs/>
                <w:sz w:val="22"/>
                <w:szCs w:val="22"/>
              </w:rPr>
              <w:t>0.5–1%/yr</w:t>
            </w:r>
          </w:p>
        </w:tc>
        <w:tc>
          <w:tcPr>
            <w:tcW w:w="0" w:type="auto"/>
            <w:hideMark/>
          </w:tcPr>
          <w:p w14:paraId="0F0A6C37"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Ohwo et al., 2024; Sagar &amp; Pearl, 2024</w:t>
            </w:r>
          </w:p>
        </w:tc>
      </w:tr>
      <w:tr w:rsidR="00BA0635" w:rsidRPr="00BA0635" w14:paraId="7FF7A361" w14:textId="77777777" w:rsidTr="00CE2F29">
        <w:tc>
          <w:tcPr>
            <w:tcW w:w="0" w:type="auto"/>
            <w:hideMark/>
          </w:tcPr>
          <w:p w14:paraId="22AFB013"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Port/customs delay &gt;48h</w:t>
            </w:r>
          </w:p>
        </w:tc>
        <w:tc>
          <w:tcPr>
            <w:tcW w:w="0" w:type="auto"/>
            <w:hideMark/>
          </w:tcPr>
          <w:p w14:paraId="49028C1D"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Dual lanes, dynamic reroute, safety stock</w:t>
            </w:r>
          </w:p>
        </w:tc>
        <w:tc>
          <w:tcPr>
            <w:tcW w:w="0" w:type="auto"/>
            <w:hideMark/>
          </w:tcPr>
          <w:p w14:paraId="01C60BC1"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10–15%/shipment</w:t>
            </w:r>
          </w:p>
        </w:tc>
        <w:tc>
          <w:tcPr>
            <w:tcW w:w="0" w:type="auto"/>
            <w:hideMark/>
          </w:tcPr>
          <w:p w14:paraId="25BDAF13" w14:textId="77777777" w:rsidR="00BA0635" w:rsidRPr="00BA0635" w:rsidRDefault="00BA0635" w:rsidP="009505A6">
            <w:pPr>
              <w:spacing w:after="160"/>
              <w:rPr>
                <w:rFonts w:asciiTheme="minorBidi" w:hAnsiTheme="minorBidi"/>
                <w:sz w:val="22"/>
                <w:szCs w:val="22"/>
              </w:rPr>
            </w:pPr>
            <w:r w:rsidRPr="00BA0635">
              <w:rPr>
                <w:rFonts w:asciiTheme="minorBidi" w:hAnsiTheme="minorBidi"/>
                <w:b/>
                <w:bCs/>
                <w:sz w:val="22"/>
                <w:szCs w:val="22"/>
              </w:rPr>
              <w:t>6–8%/shipment</w:t>
            </w:r>
          </w:p>
        </w:tc>
        <w:tc>
          <w:tcPr>
            <w:tcW w:w="0" w:type="auto"/>
            <w:hideMark/>
          </w:tcPr>
          <w:p w14:paraId="78F23C13" w14:textId="77777777" w:rsidR="00BA0635" w:rsidRPr="00BA0635" w:rsidRDefault="00BA0635" w:rsidP="009505A6">
            <w:pPr>
              <w:spacing w:after="160"/>
              <w:rPr>
                <w:rFonts w:asciiTheme="minorBidi" w:hAnsiTheme="minorBidi"/>
                <w:sz w:val="22"/>
                <w:szCs w:val="22"/>
              </w:rPr>
            </w:pPr>
            <w:r w:rsidRPr="00BA0635">
              <w:rPr>
                <w:rFonts w:asciiTheme="minorBidi" w:hAnsiTheme="minorBidi"/>
                <w:sz w:val="22"/>
                <w:szCs w:val="22"/>
              </w:rPr>
              <w:t>Wang &amp; Zhao, 2024</w:t>
            </w:r>
          </w:p>
        </w:tc>
      </w:tr>
    </w:tbl>
    <w:p w14:paraId="5A43B174" w14:textId="6106B942" w:rsidR="00BA0635" w:rsidRPr="00BA0635" w:rsidRDefault="00BA0635" w:rsidP="009505A6">
      <w:pPr>
        <w:spacing w:line="240" w:lineRule="auto"/>
        <w:jc w:val="both"/>
        <w:rPr>
          <w:rFonts w:asciiTheme="minorBidi" w:hAnsiTheme="minorBidi"/>
          <w:sz w:val="22"/>
          <w:szCs w:val="22"/>
        </w:rPr>
      </w:pPr>
    </w:p>
    <w:p w14:paraId="71FB9AA9" w14:textId="77777777" w:rsidR="00BA0635" w:rsidRPr="00BA0635" w:rsidRDefault="00BA0635" w:rsidP="009505A6">
      <w:pPr>
        <w:spacing w:line="240" w:lineRule="auto"/>
        <w:jc w:val="both"/>
        <w:rPr>
          <w:rFonts w:asciiTheme="minorBidi" w:hAnsiTheme="minorBidi"/>
          <w:sz w:val="22"/>
          <w:szCs w:val="22"/>
          <w:u w:val="single"/>
        </w:rPr>
      </w:pPr>
      <w:r w:rsidRPr="00BA0635">
        <w:rPr>
          <w:rFonts w:asciiTheme="minorBidi" w:hAnsiTheme="minorBidi"/>
          <w:sz w:val="22"/>
          <w:szCs w:val="22"/>
          <w:u w:val="single"/>
        </w:rPr>
        <w:t>Appendix B — Model Inputs &amp; Assumptions (Table B1)</w:t>
      </w:r>
    </w:p>
    <w:p w14:paraId="4BA3074B" w14:textId="77777777"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sz w:val="22"/>
          <w:szCs w:val="22"/>
        </w:rPr>
        <w:t>Table B1. Inputs used in BFTA/Monte Carlo/FMEA mapping</w:t>
      </w:r>
    </w:p>
    <w:tbl>
      <w:tblPr>
        <w:tblStyle w:val="TableGrid"/>
        <w:tblW w:w="0" w:type="auto"/>
        <w:tblLook w:val="04A0" w:firstRow="1" w:lastRow="0" w:firstColumn="1" w:lastColumn="0" w:noHBand="0" w:noVBand="1"/>
      </w:tblPr>
      <w:tblGrid>
        <w:gridCol w:w="3047"/>
        <w:gridCol w:w="2579"/>
        <w:gridCol w:w="3724"/>
      </w:tblGrid>
      <w:tr w:rsidR="00BA0635" w:rsidRPr="00BA0635" w14:paraId="5F792BF2" w14:textId="77777777" w:rsidTr="008F17E0">
        <w:tc>
          <w:tcPr>
            <w:tcW w:w="0" w:type="auto"/>
            <w:hideMark/>
          </w:tcPr>
          <w:p w14:paraId="485BB019" w14:textId="77777777" w:rsidR="00BA0635" w:rsidRPr="00BA0635" w:rsidRDefault="00BA0635" w:rsidP="009505A6">
            <w:pPr>
              <w:spacing w:after="160"/>
              <w:jc w:val="both"/>
              <w:rPr>
                <w:rFonts w:asciiTheme="minorBidi" w:hAnsiTheme="minorBidi"/>
                <w:b/>
                <w:bCs/>
                <w:sz w:val="22"/>
                <w:szCs w:val="22"/>
              </w:rPr>
            </w:pPr>
            <w:r w:rsidRPr="00BA0635">
              <w:rPr>
                <w:rFonts w:asciiTheme="minorBidi" w:hAnsiTheme="minorBidi"/>
                <w:b/>
                <w:bCs/>
                <w:sz w:val="22"/>
                <w:szCs w:val="22"/>
              </w:rPr>
              <w:t>Parameter</w:t>
            </w:r>
          </w:p>
        </w:tc>
        <w:tc>
          <w:tcPr>
            <w:tcW w:w="0" w:type="auto"/>
            <w:hideMark/>
          </w:tcPr>
          <w:p w14:paraId="007F7F7C" w14:textId="77777777" w:rsidR="00BA0635" w:rsidRPr="00BA0635" w:rsidRDefault="00BA0635" w:rsidP="009505A6">
            <w:pPr>
              <w:spacing w:after="160"/>
              <w:jc w:val="both"/>
              <w:rPr>
                <w:rFonts w:asciiTheme="minorBidi" w:hAnsiTheme="minorBidi"/>
                <w:b/>
                <w:bCs/>
                <w:sz w:val="22"/>
                <w:szCs w:val="22"/>
              </w:rPr>
            </w:pPr>
            <w:r w:rsidRPr="00BA0635">
              <w:rPr>
                <w:rFonts w:asciiTheme="minorBidi" w:hAnsiTheme="minorBidi"/>
                <w:b/>
                <w:bCs/>
                <w:sz w:val="22"/>
                <w:szCs w:val="22"/>
              </w:rPr>
              <w:t>Value (post-control)</w:t>
            </w:r>
          </w:p>
        </w:tc>
        <w:tc>
          <w:tcPr>
            <w:tcW w:w="0" w:type="auto"/>
            <w:hideMark/>
          </w:tcPr>
          <w:p w14:paraId="364A67B4" w14:textId="77777777" w:rsidR="00BA0635" w:rsidRPr="00BA0635" w:rsidRDefault="00BA0635" w:rsidP="009505A6">
            <w:pPr>
              <w:spacing w:after="160"/>
              <w:jc w:val="both"/>
              <w:rPr>
                <w:rFonts w:asciiTheme="minorBidi" w:hAnsiTheme="minorBidi"/>
                <w:b/>
                <w:bCs/>
                <w:sz w:val="22"/>
                <w:szCs w:val="22"/>
              </w:rPr>
            </w:pPr>
            <w:r w:rsidRPr="00BA0635">
              <w:rPr>
                <w:rFonts w:asciiTheme="minorBidi" w:hAnsiTheme="minorBidi"/>
                <w:b/>
                <w:bCs/>
                <w:sz w:val="22"/>
                <w:szCs w:val="22"/>
              </w:rPr>
              <w:t>Notes / justification</w:t>
            </w:r>
          </w:p>
        </w:tc>
      </w:tr>
      <w:tr w:rsidR="00BA0635" w:rsidRPr="00BA0635" w14:paraId="6E8882DA" w14:textId="77777777" w:rsidTr="008F17E0">
        <w:tc>
          <w:tcPr>
            <w:tcW w:w="0" w:type="auto"/>
            <w:hideMark/>
          </w:tcPr>
          <w:p w14:paraId="4697DA20"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IT incident (annual)</w:t>
            </w:r>
          </w:p>
        </w:tc>
        <w:tc>
          <w:tcPr>
            <w:tcW w:w="0" w:type="auto"/>
            <w:hideMark/>
          </w:tcPr>
          <w:p w14:paraId="4A97D717"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0.06</w:t>
            </w:r>
          </w:p>
        </w:tc>
        <w:tc>
          <w:tcPr>
            <w:tcW w:w="0" w:type="auto"/>
            <w:hideMark/>
          </w:tcPr>
          <w:p w14:paraId="3E23628D"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Zero-Trust + MFA + hardened CI/CD</w:t>
            </w:r>
          </w:p>
        </w:tc>
      </w:tr>
      <w:tr w:rsidR="00BA0635" w:rsidRPr="00BA0635" w14:paraId="1F696BFD" w14:textId="77777777" w:rsidTr="008F17E0">
        <w:tc>
          <w:tcPr>
            <w:tcW w:w="0" w:type="auto"/>
            <w:hideMark/>
          </w:tcPr>
          <w:p w14:paraId="0610D7EA"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OT disruption (annual)</w:t>
            </w:r>
          </w:p>
        </w:tc>
        <w:tc>
          <w:tcPr>
            <w:tcW w:w="0" w:type="auto"/>
            <w:hideMark/>
          </w:tcPr>
          <w:p w14:paraId="4F37E314"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0.04</w:t>
            </w:r>
          </w:p>
        </w:tc>
        <w:tc>
          <w:tcPr>
            <w:tcW w:w="0" w:type="auto"/>
            <w:hideMark/>
          </w:tcPr>
          <w:p w14:paraId="2E0F6383"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ISA/IEC-62443 zones &amp; conduits</w:t>
            </w:r>
          </w:p>
        </w:tc>
      </w:tr>
      <w:tr w:rsidR="00BA0635" w:rsidRPr="00BA0635" w14:paraId="4D2CA2C5" w14:textId="77777777" w:rsidTr="008F17E0">
        <w:tc>
          <w:tcPr>
            <w:tcW w:w="0" w:type="auto"/>
            <w:hideMark/>
          </w:tcPr>
          <w:p w14:paraId="2A6082C2"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Cloud systemic ≥10 min</w:t>
            </w:r>
          </w:p>
        </w:tc>
        <w:tc>
          <w:tcPr>
            <w:tcW w:w="0" w:type="auto"/>
            <w:hideMark/>
          </w:tcPr>
          <w:p w14:paraId="538508A5"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0.003</w:t>
            </w:r>
          </w:p>
        </w:tc>
        <w:tc>
          <w:tcPr>
            <w:tcW w:w="0" w:type="auto"/>
            <w:hideMark/>
          </w:tcPr>
          <w:p w14:paraId="31A97650"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Active-active dual region</w:t>
            </w:r>
          </w:p>
        </w:tc>
      </w:tr>
      <w:tr w:rsidR="00BA0635" w:rsidRPr="00BA0635" w14:paraId="12F158FE" w14:textId="77777777" w:rsidTr="008F17E0">
        <w:tc>
          <w:tcPr>
            <w:tcW w:w="0" w:type="auto"/>
            <w:hideMark/>
          </w:tcPr>
          <w:p w14:paraId="446D32E3" w14:textId="77777777" w:rsidR="00BA0635" w:rsidRPr="00BA0635" w:rsidRDefault="00BA0635" w:rsidP="009505A6">
            <w:pPr>
              <w:spacing w:after="160"/>
              <w:jc w:val="both"/>
              <w:rPr>
                <w:rFonts w:asciiTheme="minorBidi" w:hAnsiTheme="minorBidi"/>
                <w:sz w:val="22"/>
                <w:szCs w:val="22"/>
              </w:rPr>
            </w:pPr>
            <w:proofErr w:type="gramStart"/>
            <w:r w:rsidRPr="00BA0635">
              <w:rPr>
                <w:rFonts w:asciiTheme="minorBidi" w:hAnsiTheme="minorBidi"/>
                <w:sz w:val="22"/>
                <w:szCs w:val="22"/>
              </w:rPr>
              <w:t>Payments</w:t>
            </w:r>
            <w:proofErr w:type="gramEnd"/>
            <w:r w:rsidRPr="00BA0635">
              <w:rPr>
                <w:rFonts w:asciiTheme="minorBidi" w:hAnsiTheme="minorBidi"/>
                <w:sz w:val="22"/>
                <w:szCs w:val="22"/>
              </w:rPr>
              <w:t xml:space="preserve"> disruption (annual)</w:t>
            </w:r>
          </w:p>
        </w:tc>
        <w:tc>
          <w:tcPr>
            <w:tcW w:w="0" w:type="auto"/>
            <w:hideMark/>
          </w:tcPr>
          <w:p w14:paraId="2C4607B5"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0.010</w:t>
            </w:r>
          </w:p>
        </w:tc>
        <w:tc>
          <w:tcPr>
            <w:tcW w:w="0" w:type="auto"/>
            <w:hideMark/>
          </w:tcPr>
          <w:p w14:paraId="15A26B0C"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Banking-grade controls</w:t>
            </w:r>
          </w:p>
        </w:tc>
      </w:tr>
      <w:tr w:rsidR="00BA0635" w:rsidRPr="00BA0635" w14:paraId="054936A2" w14:textId="77777777" w:rsidTr="008F17E0">
        <w:tc>
          <w:tcPr>
            <w:tcW w:w="0" w:type="auto"/>
            <w:hideMark/>
          </w:tcPr>
          <w:p w14:paraId="4FEFD380"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Port delay &gt;48h (shipment)</w:t>
            </w:r>
          </w:p>
        </w:tc>
        <w:tc>
          <w:tcPr>
            <w:tcW w:w="0" w:type="auto"/>
            <w:hideMark/>
          </w:tcPr>
          <w:p w14:paraId="3E91BD6D"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0.06–0.08</w:t>
            </w:r>
          </w:p>
        </w:tc>
        <w:tc>
          <w:tcPr>
            <w:tcW w:w="0" w:type="auto"/>
            <w:hideMark/>
          </w:tcPr>
          <w:p w14:paraId="781CD5F6"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Dual ports/carriers</w:t>
            </w:r>
          </w:p>
        </w:tc>
      </w:tr>
      <w:tr w:rsidR="00BA0635" w:rsidRPr="00BA0635" w14:paraId="7940450E" w14:textId="77777777" w:rsidTr="008F17E0">
        <w:tc>
          <w:tcPr>
            <w:tcW w:w="0" w:type="auto"/>
            <w:hideMark/>
          </w:tcPr>
          <w:p w14:paraId="64C1867E"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Weekly demand μ, σ</w:t>
            </w:r>
          </w:p>
        </w:tc>
        <w:tc>
          <w:tcPr>
            <w:tcW w:w="0" w:type="auto"/>
            <w:hideMark/>
          </w:tcPr>
          <w:p w14:paraId="6F517EF7"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1,000; 250</w:t>
            </w:r>
          </w:p>
        </w:tc>
        <w:tc>
          <w:tcPr>
            <w:tcW w:w="0" w:type="auto"/>
            <w:hideMark/>
          </w:tcPr>
          <w:p w14:paraId="2480B8DA"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Mid-mix SKU</w:t>
            </w:r>
          </w:p>
        </w:tc>
      </w:tr>
      <w:tr w:rsidR="00BA0635" w:rsidRPr="00BA0635" w14:paraId="146E7FC0" w14:textId="77777777" w:rsidTr="008F17E0">
        <w:tc>
          <w:tcPr>
            <w:tcW w:w="0" w:type="auto"/>
            <w:hideMark/>
          </w:tcPr>
          <w:p w14:paraId="31A61D54"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Lead-time variability (</w:t>
            </w:r>
            <w:proofErr w:type="spellStart"/>
            <w:r w:rsidRPr="00BA0635">
              <w:rPr>
                <w:rFonts w:asciiTheme="minorBidi" w:hAnsiTheme="minorBidi"/>
                <w:sz w:val="22"/>
                <w:szCs w:val="22"/>
              </w:rPr>
              <w:t>σ_LT</w:t>
            </w:r>
            <w:proofErr w:type="spellEnd"/>
            <w:r w:rsidRPr="00BA0635">
              <w:rPr>
                <w:rFonts w:asciiTheme="minorBidi" w:hAnsiTheme="minorBidi"/>
                <w:sz w:val="22"/>
                <w:szCs w:val="22"/>
              </w:rPr>
              <w:t>)</w:t>
            </w:r>
          </w:p>
        </w:tc>
        <w:tc>
          <w:tcPr>
            <w:tcW w:w="0" w:type="auto"/>
            <w:hideMark/>
          </w:tcPr>
          <w:p w14:paraId="4CBFE114"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~400 units</w:t>
            </w:r>
          </w:p>
        </w:tc>
        <w:tc>
          <w:tcPr>
            <w:tcW w:w="0" w:type="auto"/>
            <w:hideMark/>
          </w:tcPr>
          <w:p w14:paraId="782A93A1"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Converted to demand equivalents</w:t>
            </w:r>
          </w:p>
        </w:tc>
      </w:tr>
      <w:tr w:rsidR="00BA0635" w:rsidRPr="00BA0635" w14:paraId="727C704A" w14:textId="77777777" w:rsidTr="008F17E0">
        <w:tc>
          <w:tcPr>
            <w:tcW w:w="0" w:type="auto"/>
            <w:hideMark/>
          </w:tcPr>
          <w:p w14:paraId="6E27B0C1"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Automation downtime</w:t>
            </w:r>
          </w:p>
        </w:tc>
        <w:tc>
          <w:tcPr>
            <w:tcW w:w="0" w:type="auto"/>
            <w:hideMark/>
          </w:tcPr>
          <w:p w14:paraId="03B4CB50"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Bernoulli p=0.04; 0.2–6h</w:t>
            </w:r>
          </w:p>
        </w:tc>
        <w:tc>
          <w:tcPr>
            <w:tcW w:w="0" w:type="auto"/>
            <w:hideMark/>
          </w:tcPr>
          <w:p w14:paraId="49E85E74"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Throughput impact ≈ −15%</w:t>
            </w:r>
          </w:p>
        </w:tc>
      </w:tr>
      <w:tr w:rsidR="00BA0635" w:rsidRPr="00BA0635" w14:paraId="487362FC" w14:textId="77777777" w:rsidTr="008F17E0">
        <w:tc>
          <w:tcPr>
            <w:tcW w:w="0" w:type="auto"/>
            <w:hideMark/>
          </w:tcPr>
          <w:p w14:paraId="2AECB328"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AI FN rate (per lot)</w:t>
            </w:r>
          </w:p>
        </w:tc>
        <w:tc>
          <w:tcPr>
            <w:tcW w:w="0" w:type="auto"/>
            <w:hideMark/>
          </w:tcPr>
          <w:p w14:paraId="55A1CB23"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0.01–0.03</w:t>
            </w:r>
          </w:p>
        </w:tc>
        <w:tc>
          <w:tcPr>
            <w:tcW w:w="0" w:type="auto"/>
            <w:hideMark/>
          </w:tcPr>
          <w:p w14:paraId="3AFAF41A"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Ensemble + human sampling</w:t>
            </w:r>
          </w:p>
        </w:tc>
      </w:tr>
      <w:tr w:rsidR="00BA0635" w:rsidRPr="00BA0635" w14:paraId="7E975ED1" w14:textId="77777777" w:rsidTr="008F17E0">
        <w:tc>
          <w:tcPr>
            <w:tcW w:w="0" w:type="auto"/>
            <w:hideMark/>
          </w:tcPr>
          <w:p w14:paraId="0DA939B6"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lastRenderedPageBreak/>
              <w:t>Governance lapse (annual)</w:t>
            </w:r>
          </w:p>
        </w:tc>
        <w:tc>
          <w:tcPr>
            <w:tcW w:w="0" w:type="auto"/>
            <w:hideMark/>
          </w:tcPr>
          <w:p w14:paraId="3017BEA1"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0.005–0.01</w:t>
            </w:r>
          </w:p>
        </w:tc>
        <w:tc>
          <w:tcPr>
            <w:tcW w:w="0" w:type="auto"/>
            <w:hideMark/>
          </w:tcPr>
          <w:p w14:paraId="19F8F338"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 xml:space="preserve">Ethics + </w:t>
            </w:r>
            <w:proofErr w:type="spellStart"/>
            <w:r w:rsidRPr="00BA0635">
              <w:rPr>
                <w:rFonts w:asciiTheme="minorBidi" w:hAnsiTheme="minorBidi"/>
                <w:sz w:val="22"/>
                <w:szCs w:val="22"/>
              </w:rPr>
              <w:t>SoD</w:t>
            </w:r>
            <w:proofErr w:type="spellEnd"/>
            <w:r w:rsidRPr="00BA0635">
              <w:rPr>
                <w:rFonts w:asciiTheme="minorBidi" w:hAnsiTheme="minorBidi"/>
                <w:sz w:val="22"/>
                <w:szCs w:val="22"/>
              </w:rPr>
              <w:t xml:space="preserve"> in place</w:t>
            </w:r>
          </w:p>
        </w:tc>
      </w:tr>
    </w:tbl>
    <w:p w14:paraId="101D6FF7" w14:textId="1AAFD9D2" w:rsidR="00BA0635" w:rsidRDefault="00BA0635" w:rsidP="009505A6">
      <w:pPr>
        <w:spacing w:line="240" w:lineRule="auto"/>
        <w:jc w:val="both"/>
        <w:rPr>
          <w:rFonts w:asciiTheme="minorBidi" w:hAnsiTheme="minorBidi"/>
          <w:sz w:val="22"/>
          <w:szCs w:val="22"/>
        </w:rPr>
      </w:pPr>
    </w:p>
    <w:p w14:paraId="183BD546" w14:textId="77777777" w:rsidR="009505A6" w:rsidRPr="00BA0635" w:rsidRDefault="009505A6" w:rsidP="009505A6">
      <w:pPr>
        <w:spacing w:line="240" w:lineRule="auto"/>
        <w:jc w:val="both"/>
        <w:rPr>
          <w:rFonts w:asciiTheme="minorBidi" w:hAnsiTheme="minorBidi"/>
          <w:sz w:val="22"/>
          <w:szCs w:val="22"/>
        </w:rPr>
      </w:pPr>
    </w:p>
    <w:p w14:paraId="545D09E8" w14:textId="77777777" w:rsidR="00BA0635" w:rsidRPr="00BA0635" w:rsidRDefault="00BA0635" w:rsidP="009505A6">
      <w:pPr>
        <w:spacing w:line="240" w:lineRule="auto"/>
        <w:jc w:val="both"/>
        <w:rPr>
          <w:rFonts w:asciiTheme="minorBidi" w:hAnsiTheme="minorBidi"/>
          <w:sz w:val="22"/>
          <w:szCs w:val="22"/>
          <w:u w:val="single"/>
        </w:rPr>
      </w:pPr>
      <w:r w:rsidRPr="00BA0635">
        <w:rPr>
          <w:rFonts w:asciiTheme="minorBidi" w:hAnsiTheme="minorBidi"/>
          <w:sz w:val="22"/>
          <w:szCs w:val="22"/>
          <w:u w:val="single"/>
        </w:rPr>
        <w:t>Appendix C — Quantitative Results Summary (Table C1)</w:t>
      </w:r>
    </w:p>
    <w:p w14:paraId="30DC09ED" w14:textId="77777777"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sz w:val="22"/>
          <w:szCs w:val="22"/>
        </w:rPr>
        <w:t>Table C1. Outcome metrics after controls</w:t>
      </w:r>
    </w:p>
    <w:tbl>
      <w:tblPr>
        <w:tblStyle w:val="TableGrid"/>
        <w:tblW w:w="0" w:type="auto"/>
        <w:tblLook w:val="04A0" w:firstRow="1" w:lastRow="0" w:firstColumn="1" w:lastColumn="0" w:noHBand="0" w:noVBand="1"/>
      </w:tblPr>
      <w:tblGrid>
        <w:gridCol w:w="3188"/>
        <w:gridCol w:w="4069"/>
        <w:gridCol w:w="2093"/>
      </w:tblGrid>
      <w:tr w:rsidR="00BA0635" w:rsidRPr="00BA0635" w14:paraId="1E6A16CE" w14:textId="77777777" w:rsidTr="008F17E0">
        <w:tc>
          <w:tcPr>
            <w:tcW w:w="0" w:type="auto"/>
            <w:hideMark/>
          </w:tcPr>
          <w:p w14:paraId="047595D4" w14:textId="77777777" w:rsidR="00BA0635" w:rsidRPr="00BA0635" w:rsidRDefault="00BA0635" w:rsidP="009505A6">
            <w:pPr>
              <w:spacing w:after="160"/>
              <w:jc w:val="both"/>
              <w:rPr>
                <w:rFonts w:asciiTheme="minorBidi" w:hAnsiTheme="minorBidi"/>
                <w:b/>
                <w:bCs/>
                <w:sz w:val="22"/>
                <w:szCs w:val="22"/>
              </w:rPr>
            </w:pPr>
            <w:r w:rsidRPr="00BA0635">
              <w:rPr>
                <w:rFonts w:asciiTheme="minorBidi" w:hAnsiTheme="minorBidi"/>
                <w:b/>
                <w:bCs/>
                <w:sz w:val="22"/>
                <w:szCs w:val="22"/>
              </w:rPr>
              <w:t>Outcome</w:t>
            </w:r>
          </w:p>
        </w:tc>
        <w:tc>
          <w:tcPr>
            <w:tcW w:w="0" w:type="auto"/>
            <w:hideMark/>
          </w:tcPr>
          <w:p w14:paraId="2E01997E" w14:textId="77777777" w:rsidR="00BA0635" w:rsidRPr="00BA0635" w:rsidRDefault="00BA0635" w:rsidP="009505A6">
            <w:pPr>
              <w:spacing w:after="160"/>
              <w:jc w:val="both"/>
              <w:rPr>
                <w:rFonts w:asciiTheme="minorBidi" w:hAnsiTheme="minorBidi"/>
                <w:b/>
                <w:bCs/>
                <w:sz w:val="22"/>
                <w:szCs w:val="22"/>
              </w:rPr>
            </w:pPr>
            <w:r w:rsidRPr="00BA0635">
              <w:rPr>
                <w:rFonts w:asciiTheme="minorBidi" w:hAnsiTheme="minorBidi"/>
                <w:b/>
                <w:bCs/>
                <w:sz w:val="22"/>
                <w:szCs w:val="22"/>
              </w:rPr>
              <w:t>Definition</w:t>
            </w:r>
          </w:p>
        </w:tc>
        <w:tc>
          <w:tcPr>
            <w:tcW w:w="0" w:type="auto"/>
            <w:hideMark/>
          </w:tcPr>
          <w:p w14:paraId="0E6A4873" w14:textId="77777777" w:rsidR="00BA0635" w:rsidRPr="00BA0635" w:rsidRDefault="00BA0635" w:rsidP="009505A6">
            <w:pPr>
              <w:spacing w:after="160"/>
              <w:jc w:val="both"/>
              <w:rPr>
                <w:rFonts w:asciiTheme="minorBidi" w:hAnsiTheme="minorBidi"/>
                <w:b/>
                <w:bCs/>
                <w:sz w:val="22"/>
                <w:szCs w:val="22"/>
              </w:rPr>
            </w:pPr>
            <w:r w:rsidRPr="00BA0635">
              <w:rPr>
                <w:rFonts w:asciiTheme="minorBidi" w:hAnsiTheme="minorBidi"/>
                <w:b/>
                <w:bCs/>
                <w:sz w:val="22"/>
                <w:szCs w:val="22"/>
              </w:rPr>
              <w:t>Result</w:t>
            </w:r>
          </w:p>
        </w:tc>
      </w:tr>
      <w:tr w:rsidR="00BA0635" w:rsidRPr="00BA0635" w14:paraId="1D27658D" w14:textId="77777777" w:rsidTr="008F17E0">
        <w:tc>
          <w:tcPr>
            <w:tcW w:w="0" w:type="auto"/>
            <w:hideMark/>
          </w:tcPr>
          <w:p w14:paraId="66F9AB0F"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Material quality degradation (quarter)</w:t>
            </w:r>
          </w:p>
        </w:tc>
        <w:tc>
          <w:tcPr>
            <w:tcW w:w="0" w:type="auto"/>
            <w:hideMark/>
          </w:tcPr>
          <w:p w14:paraId="13245091"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 xml:space="preserve">At least one defect </w:t>
            </w:r>
            <w:proofErr w:type="gramStart"/>
            <w:r w:rsidRPr="00BA0635">
              <w:rPr>
                <w:rFonts w:asciiTheme="minorBidi" w:hAnsiTheme="minorBidi"/>
                <w:sz w:val="22"/>
                <w:szCs w:val="22"/>
              </w:rPr>
              <w:t>escape</w:t>
            </w:r>
            <w:proofErr w:type="gramEnd"/>
            <w:r w:rsidRPr="00BA0635">
              <w:rPr>
                <w:rFonts w:asciiTheme="minorBidi" w:hAnsiTheme="minorBidi"/>
                <w:sz w:val="22"/>
                <w:szCs w:val="22"/>
              </w:rPr>
              <w:t xml:space="preserve"> above threshold in quarter</w:t>
            </w:r>
          </w:p>
        </w:tc>
        <w:tc>
          <w:tcPr>
            <w:tcW w:w="0" w:type="auto"/>
            <w:hideMark/>
          </w:tcPr>
          <w:p w14:paraId="733396A6"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b/>
                <w:bCs/>
                <w:sz w:val="22"/>
                <w:szCs w:val="22"/>
              </w:rPr>
              <w:t>8–12%</w:t>
            </w:r>
            <w:r w:rsidRPr="00BA0635">
              <w:rPr>
                <w:rFonts w:asciiTheme="minorBidi" w:hAnsiTheme="minorBidi"/>
                <w:sz w:val="22"/>
                <w:szCs w:val="22"/>
              </w:rPr>
              <w:t xml:space="preserve"> (luxury line </w:t>
            </w:r>
            <w:r w:rsidRPr="00BA0635">
              <w:rPr>
                <w:rFonts w:asciiTheme="minorBidi" w:hAnsiTheme="minorBidi"/>
                <w:b/>
                <w:bCs/>
                <w:sz w:val="22"/>
                <w:szCs w:val="22"/>
              </w:rPr>
              <w:t>5–7%</w:t>
            </w:r>
            <w:r w:rsidRPr="00BA0635">
              <w:rPr>
                <w:rFonts w:asciiTheme="minorBidi" w:hAnsiTheme="minorBidi"/>
                <w:sz w:val="22"/>
                <w:szCs w:val="22"/>
              </w:rPr>
              <w:t>)</w:t>
            </w:r>
          </w:p>
        </w:tc>
      </w:tr>
      <w:tr w:rsidR="00BA0635" w:rsidRPr="00BA0635" w14:paraId="781A29B7" w14:textId="77777777" w:rsidTr="008F17E0">
        <w:tc>
          <w:tcPr>
            <w:tcW w:w="0" w:type="auto"/>
            <w:hideMark/>
          </w:tcPr>
          <w:p w14:paraId="0B6FA6D2"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Weekly SLA breach ≥24h (≥10% orders)</w:t>
            </w:r>
          </w:p>
        </w:tc>
        <w:tc>
          <w:tcPr>
            <w:tcW w:w="0" w:type="auto"/>
            <w:hideMark/>
          </w:tcPr>
          <w:p w14:paraId="555F7C89"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Any driver causing fulfilment delay</w:t>
            </w:r>
          </w:p>
        </w:tc>
        <w:tc>
          <w:tcPr>
            <w:tcW w:w="0" w:type="auto"/>
            <w:hideMark/>
          </w:tcPr>
          <w:p w14:paraId="4B398117"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b/>
                <w:bCs/>
                <w:sz w:val="22"/>
                <w:szCs w:val="22"/>
              </w:rPr>
              <w:t>9–13%</w:t>
            </w:r>
          </w:p>
        </w:tc>
      </w:tr>
      <w:tr w:rsidR="00BA0635" w:rsidRPr="00BA0635" w14:paraId="402F5BFE" w14:textId="77777777" w:rsidTr="008F17E0">
        <w:tc>
          <w:tcPr>
            <w:tcW w:w="0" w:type="auto"/>
            <w:hideMark/>
          </w:tcPr>
          <w:p w14:paraId="1EBF53EF"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Annual online outage ≥10 min</w:t>
            </w:r>
          </w:p>
        </w:tc>
        <w:tc>
          <w:tcPr>
            <w:tcW w:w="0" w:type="auto"/>
            <w:hideMark/>
          </w:tcPr>
          <w:p w14:paraId="2D03B471"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Business-level unavailability</w:t>
            </w:r>
          </w:p>
        </w:tc>
        <w:tc>
          <w:tcPr>
            <w:tcW w:w="0" w:type="auto"/>
            <w:hideMark/>
          </w:tcPr>
          <w:p w14:paraId="022E2ADF"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b/>
                <w:bCs/>
                <w:sz w:val="22"/>
                <w:szCs w:val="22"/>
              </w:rPr>
              <w:t>0.2–0.4%</w:t>
            </w:r>
          </w:p>
        </w:tc>
      </w:tr>
      <w:tr w:rsidR="00BA0635" w:rsidRPr="00BA0635" w14:paraId="4DB2E20B" w14:textId="77777777" w:rsidTr="008F17E0">
        <w:tc>
          <w:tcPr>
            <w:tcW w:w="0" w:type="auto"/>
            <w:hideMark/>
          </w:tcPr>
          <w:p w14:paraId="73E8F4D7"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OT cyber downtime (annual)</w:t>
            </w:r>
          </w:p>
        </w:tc>
        <w:tc>
          <w:tcPr>
            <w:tcW w:w="0" w:type="auto"/>
            <w:hideMark/>
          </w:tcPr>
          <w:p w14:paraId="4B05DD95"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Warehouse cells unavailable</w:t>
            </w:r>
          </w:p>
        </w:tc>
        <w:tc>
          <w:tcPr>
            <w:tcW w:w="0" w:type="auto"/>
            <w:hideMark/>
          </w:tcPr>
          <w:p w14:paraId="3B12722C"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b/>
                <w:bCs/>
                <w:sz w:val="22"/>
                <w:szCs w:val="22"/>
              </w:rPr>
              <w:t>3–4%</w:t>
            </w:r>
          </w:p>
        </w:tc>
      </w:tr>
      <w:tr w:rsidR="00BA0635" w:rsidRPr="00BA0635" w14:paraId="57D17E96" w14:textId="77777777" w:rsidTr="008F17E0">
        <w:tc>
          <w:tcPr>
            <w:tcW w:w="0" w:type="auto"/>
            <w:hideMark/>
          </w:tcPr>
          <w:p w14:paraId="62969497"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Payment channel throttling (annual)</w:t>
            </w:r>
          </w:p>
        </w:tc>
        <w:tc>
          <w:tcPr>
            <w:tcW w:w="0" w:type="auto"/>
            <w:hideMark/>
          </w:tcPr>
          <w:p w14:paraId="45CF4178"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Fraud/API forcing throttles</w:t>
            </w:r>
          </w:p>
        </w:tc>
        <w:tc>
          <w:tcPr>
            <w:tcW w:w="0" w:type="auto"/>
            <w:hideMark/>
          </w:tcPr>
          <w:p w14:paraId="3B0F5F8D"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b/>
                <w:bCs/>
                <w:sz w:val="22"/>
                <w:szCs w:val="22"/>
              </w:rPr>
              <w:t>0.8–1.2%</w:t>
            </w:r>
          </w:p>
        </w:tc>
      </w:tr>
    </w:tbl>
    <w:p w14:paraId="1AF21C95" w14:textId="6743FCCB" w:rsidR="00BA0635" w:rsidRPr="00BA0635" w:rsidRDefault="00BA0635" w:rsidP="009505A6">
      <w:pPr>
        <w:spacing w:line="240" w:lineRule="auto"/>
        <w:jc w:val="both"/>
        <w:rPr>
          <w:rFonts w:asciiTheme="minorBidi" w:hAnsiTheme="minorBidi"/>
          <w:sz w:val="22"/>
          <w:szCs w:val="22"/>
        </w:rPr>
      </w:pPr>
    </w:p>
    <w:p w14:paraId="553F3CAC" w14:textId="77777777" w:rsidR="00BA0635" w:rsidRPr="00BA0635" w:rsidRDefault="00BA0635" w:rsidP="009505A6">
      <w:pPr>
        <w:spacing w:line="240" w:lineRule="auto"/>
        <w:jc w:val="both"/>
        <w:rPr>
          <w:rFonts w:asciiTheme="minorBidi" w:hAnsiTheme="minorBidi"/>
          <w:sz w:val="22"/>
          <w:szCs w:val="22"/>
          <w:u w:val="single"/>
        </w:rPr>
      </w:pPr>
      <w:r w:rsidRPr="00BA0635">
        <w:rPr>
          <w:rFonts w:asciiTheme="minorBidi" w:hAnsiTheme="minorBidi"/>
          <w:sz w:val="22"/>
          <w:szCs w:val="22"/>
          <w:u w:val="single"/>
        </w:rPr>
        <w:t>Appendix D — DR/BC Evidence Plan (Table D1)</w:t>
      </w:r>
    </w:p>
    <w:p w14:paraId="147A8D59" w14:textId="77777777"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sz w:val="22"/>
          <w:szCs w:val="22"/>
        </w:rPr>
        <w:t>Table D1. Tests and acceptance criteria</w:t>
      </w:r>
    </w:p>
    <w:tbl>
      <w:tblPr>
        <w:tblStyle w:val="TableGrid"/>
        <w:tblW w:w="0" w:type="auto"/>
        <w:tblLook w:val="04A0" w:firstRow="1" w:lastRow="0" w:firstColumn="1" w:lastColumn="0" w:noHBand="0" w:noVBand="1"/>
      </w:tblPr>
      <w:tblGrid>
        <w:gridCol w:w="2243"/>
        <w:gridCol w:w="1925"/>
        <w:gridCol w:w="3217"/>
        <w:gridCol w:w="1965"/>
      </w:tblGrid>
      <w:tr w:rsidR="00BA0635" w:rsidRPr="00BA0635" w14:paraId="0136A88F" w14:textId="77777777" w:rsidTr="00B34C62">
        <w:tc>
          <w:tcPr>
            <w:tcW w:w="0" w:type="auto"/>
            <w:hideMark/>
          </w:tcPr>
          <w:p w14:paraId="3C8D3E50" w14:textId="77777777" w:rsidR="00BA0635" w:rsidRPr="00BA0635" w:rsidRDefault="00BA0635" w:rsidP="009505A6">
            <w:pPr>
              <w:spacing w:after="160"/>
              <w:jc w:val="both"/>
              <w:rPr>
                <w:rFonts w:asciiTheme="minorBidi" w:hAnsiTheme="minorBidi"/>
                <w:b/>
                <w:bCs/>
                <w:sz w:val="22"/>
                <w:szCs w:val="22"/>
              </w:rPr>
            </w:pPr>
            <w:r w:rsidRPr="00BA0635">
              <w:rPr>
                <w:rFonts w:asciiTheme="minorBidi" w:hAnsiTheme="minorBidi"/>
                <w:b/>
                <w:bCs/>
                <w:sz w:val="22"/>
                <w:szCs w:val="22"/>
              </w:rPr>
              <w:t>Test</w:t>
            </w:r>
          </w:p>
        </w:tc>
        <w:tc>
          <w:tcPr>
            <w:tcW w:w="0" w:type="auto"/>
            <w:hideMark/>
          </w:tcPr>
          <w:p w14:paraId="119C58A2" w14:textId="77777777" w:rsidR="00BA0635" w:rsidRPr="00BA0635" w:rsidRDefault="00BA0635" w:rsidP="009505A6">
            <w:pPr>
              <w:spacing w:after="160"/>
              <w:jc w:val="both"/>
              <w:rPr>
                <w:rFonts w:asciiTheme="minorBidi" w:hAnsiTheme="minorBidi"/>
                <w:b/>
                <w:bCs/>
                <w:sz w:val="22"/>
                <w:szCs w:val="22"/>
              </w:rPr>
            </w:pPr>
            <w:r w:rsidRPr="00BA0635">
              <w:rPr>
                <w:rFonts w:asciiTheme="minorBidi" w:hAnsiTheme="minorBidi"/>
                <w:b/>
                <w:bCs/>
                <w:sz w:val="22"/>
                <w:szCs w:val="22"/>
              </w:rPr>
              <w:t>Target</w:t>
            </w:r>
          </w:p>
        </w:tc>
        <w:tc>
          <w:tcPr>
            <w:tcW w:w="0" w:type="auto"/>
            <w:hideMark/>
          </w:tcPr>
          <w:p w14:paraId="360102F6" w14:textId="77777777" w:rsidR="00BA0635" w:rsidRPr="00BA0635" w:rsidRDefault="00BA0635" w:rsidP="009505A6">
            <w:pPr>
              <w:spacing w:after="160"/>
              <w:jc w:val="both"/>
              <w:rPr>
                <w:rFonts w:asciiTheme="minorBidi" w:hAnsiTheme="minorBidi"/>
                <w:b/>
                <w:bCs/>
                <w:sz w:val="22"/>
                <w:szCs w:val="22"/>
              </w:rPr>
            </w:pPr>
            <w:r w:rsidRPr="00BA0635">
              <w:rPr>
                <w:rFonts w:asciiTheme="minorBidi" w:hAnsiTheme="minorBidi"/>
                <w:b/>
                <w:bCs/>
                <w:sz w:val="22"/>
                <w:szCs w:val="22"/>
              </w:rPr>
              <w:t>Metric captured</w:t>
            </w:r>
          </w:p>
        </w:tc>
        <w:tc>
          <w:tcPr>
            <w:tcW w:w="0" w:type="auto"/>
            <w:hideMark/>
          </w:tcPr>
          <w:p w14:paraId="5FDB757A" w14:textId="77777777" w:rsidR="00BA0635" w:rsidRPr="00BA0635" w:rsidRDefault="00BA0635" w:rsidP="009505A6">
            <w:pPr>
              <w:spacing w:after="160"/>
              <w:jc w:val="both"/>
              <w:rPr>
                <w:rFonts w:asciiTheme="minorBidi" w:hAnsiTheme="minorBidi"/>
                <w:b/>
                <w:bCs/>
                <w:sz w:val="22"/>
                <w:szCs w:val="22"/>
              </w:rPr>
            </w:pPr>
            <w:r w:rsidRPr="00BA0635">
              <w:rPr>
                <w:rFonts w:asciiTheme="minorBidi" w:hAnsiTheme="minorBidi"/>
                <w:b/>
                <w:bCs/>
                <w:sz w:val="22"/>
                <w:szCs w:val="22"/>
              </w:rPr>
              <w:t>Pass threshold</w:t>
            </w:r>
          </w:p>
        </w:tc>
      </w:tr>
      <w:tr w:rsidR="00BA0635" w:rsidRPr="00BA0635" w14:paraId="679C6D7A" w14:textId="77777777" w:rsidTr="00B34C62">
        <w:tc>
          <w:tcPr>
            <w:tcW w:w="0" w:type="auto"/>
            <w:hideMark/>
          </w:tcPr>
          <w:p w14:paraId="28ED2442"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Live Failover #1 (prod)</w:t>
            </w:r>
          </w:p>
        </w:tc>
        <w:tc>
          <w:tcPr>
            <w:tcW w:w="0" w:type="auto"/>
            <w:hideMark/>
          </w:tcPr>
          <w:p w14:paraId="2C94B532"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RTO</w:t>
            </w:r>
          </w:p>
        </w:tc>
        <w:tc>
          <w:tcPr>
            <w:tcW w:w="0" w:type="auto"/>
            <w:hideMark/>
          </w:tcPr>
          <w:p w14:paraId="5FF80D80"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Time to serve from alternate region</w:t>
            </w:r>
          </w:p>
        </w:tc>
        <w:tc>
          <w:tcPr>
            <w:tcW w:w="0" w:type="auto"/>
            <w:hideMark/>
          </w:tcPr>
          <w:p w14:paraId="4A2AD0E3"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b/>
                <w:bCs/>
                <w:sz w:val="22"/>
                <w:szCs w:val="22"/>
              </w:rPr>
              <w:t>≤ 60s</w:t>
            </w:r>
          </w:p>
        </w:tc>
      </w:tr>
      <w:tr w:rsidR="00BA0635" w:rsidRPr="00BA0635" w14:paraId="315B4F07" w14:textId="77777777" w:rsidTr="00B34C62">
        <w:tc>
          <w:tcPr>
            <w:tcW w:w="0" w:type="auto"/>
            <w:hideMark/>
          </w:tcPr>
          <w:p w14:paraId="7720D96D"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Live Failover #1 (prod)</w:t>
            </w:r>
          </w:p>
        </w:tc>
        <w:tc>
          <w:tcPr>
            <w:tcW w:w="0" w:type="auto"/>
            <w:hideMark/>
          </w:tcPr>
          <w:p w14:paraId="42423152"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RPO</w:t>
            </w:r>
          </w:p>
        </w:tc>
        <w:tc>
          <w:tcPr>
            <w:tcW w:w="0" w:type="auto"/>
            <w:hideMark/>
          </w:tcPr>
          <w:p w14:paraId="006AE10C"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Max data loss window</w:t>
            </w:r>
          </w:p>
        </w:tc>
        <w:tc>
          <w:tcPr>
            <w:tcW w:w="0" w:type="auto"/>
            <w:hideMark/>
          </w:tcPr>
          <w:p w14:paraId="1F483D10"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b/>
                <w:bCs/>
                <w:sz w:val="22"/>
                <w:szCs w:val="22"/>
              </w:rPr>
              <w:t>≤ 60s</w:t>
            </w:r>
          </w:p>
        </w:tc>
      </w:tr>
      <w:tr w:rsidR="00BA0635" w:rsidRPr="00BA0635" w14:paraId="792C3CBF" w14:textId="77777777" w:rsidTr="00B34C62">
        <w:tc>
          <w:tcPr>
            <w:tcW w:w="0" w:type="auto"/>
            <w:hideMark/>
          </w:tcPr>
          <w:p w14:paraId="16F39813"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Backup integrity drill</w:t>
            </w:r>
          </w:p>
        </w:tc>
        <w:tc>
          <w:tcPr>
            <w:tcW w:w="0" w:type="auto"/>
            <w:hideMark/>
          </w:tcPr>
          <w:p w14:paraId="1A1DC88A"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Data recoverability</w:t>
            </w:r>
          </w:p>
        </w:tc>
        <w:tc>
          <w:tcPr>
            <w:tcW w:w="0" w:type="auto"/>
            <w:hideMark/>
          </w:tcPr>
          <w:p w14:paraId="03A317BD"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Restore success + hash match</w:t>
            </w:r>
          </w:p>
        </w:tc>
        <w:tc>
          <w:tcPr>
            <w:tcW w:w="0" w:type="auto"/>
            <w:hideMark/>
          </w:tcPr>
          <w:p w14:paraId="22D24EF8"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100% OK</w:t>
            </w:r>
          </w:p>
        </w:tc>
      </w:tr>
      <w:tr w:rsidR="00BA0635" w:rsidRPr="00BA0635" w14:paraId="0A446784" w14:textId="77777777" w:rsidTr="00B34C62">
        <w:tc>
          <w:tcPr>
            <w:tcW w:w="0" w:type="auto"/>
            <w:hideMark/>
          </w:tcPr>
          <w:p w14:paraId="312359DF"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Quarterly table-top</w:t>
            </w:r>
          </w:p>
        </w:tc>
        <w:tc>
          <w:tcPr>
            <w:tcW w:w="0" w:type="auto"/>
            <w:hideMark/>
          </w:tcPr>
          <w:p w14:paraId="343B803A"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Org readiness</w:t>
            </w:r>
          </w:p>
        </w:tc>
        <w:tc>
          <w:tcPr>
            <w:tcW w:w="0" w:type="auto"/>
            <w:hideMark/>
          </w:tcPr>
          <w:p w14:paraId="69B2FE18"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Actionable gaps closed</w:t>
            </w:r>
          </w:p>
        </w:tc>
        <w:tc>
          <w:tcPr>
            <w:tcW w:w="0" w:type="auto"/>
            <w:hideMark/>
          </w:tcPr>
          <w:p w14:paraId="12CAD46F"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All high/crit closed</w:t>
            </w:r>
          </w:p>
        </w:tc>
      </w:tr>
      <w:tr w:rsidR="00BA0635" w:rsidRPr="00BA0635" w14:paraId="680577D1" w14:textId="77777777" w:rsidTr="00B34C62">
        <w:tc>
          <w:tcPr>
            <w:tcW w:w="0" w:type="auto"/>
            <w:hideMark/>
          </w:tcPr>
          <w:p w14:paraId="7D43E779"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OT segmentation audit</w:t>
            </w:r>
          </w:p>
        </w:tc>
        <w:tc>
          <w:tcPr>
            <w:tcW w:w="0" w:type="auto"/>
            <w:hideMark/>
          </w:tcPr>
          <w:p w14:paraId="311419D3"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Compliance</w:t>
            </w:r>
          </w:p>
        </w:tc>
        <w:tc>
          <w:tcPr>
            <w:tcW w:w="0" w:type="auto"/>
            <w:hideMark/>
          </w:tcPr>
          <w:p w14:paraId="6B2F79B5"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Zones/conduits per design</w:t>
            </w:r>
          </w:p>
        </w:tc>
        <w:tc>
          <w:tcPr>
            <w:tcW w:w="0" w:type="auto"/>
            <w:hideMark/>
          </w:tcPr>
          <w:p w14:paraId="175D0E97" w14:textId="77777777" w:rsidR="00BA0635" w:rsidRPr="00BA0635" w:rsidRDefault="00BA0635" w:rsidP="009505A6">
            <w:pPr>
              <w:spacing w:after="160"/>
              <w:jc w:val="both"/>
              <w:rPr>
                <w:rFonts w:asciiTheme="minorBidi" w:hAnsiTheme="minorBidi"/>
                <w:sz w:val="22"/>
                <w:szCs w:val="22"/>
              </w:rPr>
            </w:pPr>
            <w:r w:rsidRPr="00BA0635">
              <w:rPr>
                <w:rFonts w:asciiTheme="minorBidi" w:hAnsiTheme="minorBidi"/>
                <w:sz w:val="22"/>
                <w:szCs w:val="22"/>
              </w:rPr>
              <w:t>100% implemented</w:t>
            </w:r>
          </w:p>
        </w:tc>
      </w:tr>
    </w:tbl>
    <w:p w14:paraId="34D27946" w14:textId="22F40509" w:rsidR="00BA0635" w:rsidRPr="009505A6" w:rsidRDefault="00BA0635" w:rsidP="009505A6">
      <w:pPr>
        <w:spacing w:line="240" w:lineRule="auto"/>
        <w:jc w:val="both"/>
        <w:rPr>
          <w:rFonts w:asciiTheme="minorBidi" w:hAnsiTheme="minorBidi"/>
          <w:sz w:val="22"/>
          <w:szCs w:val="22"/>
        </w:rPr>
      </w:pPr>
    </w:p>
    <w:p w14:paraId="5A37CFD7" w14:textId="77777777" w:rsidR="00B34C62" w:rsidRPr="009505A6" w:rsidRDefault="00B34C62" w:rsidP="009505A6">
      <w:pPr>
        <w:spacing w:line="240" w:lineRule="auto"/>
        <w:jc w:val="both"/>
        <w:rPr>
          <w:rFonts w:asciiTheme="minorBidi" w:hAnsiTheme="minorBidi"/>
          <w:sz w:val="22"/>
          <w:szCs w:val="22"/>
        </w:rPr>
      </w:pPr>
    </w:p>
    <w:p w14:paraId="289D885A" w14:textId="77777777" w:rsidR="00B34C62" w:rsidRPr="009505A6" w:rsidRDefault="00B34C62" w:rsidP="009505A6">
      <w:pPr>
        <w:spacing w:line="240" w:lineRule="auto"/>
        <w:jc w:val="both"/>
        <w:rPr>
          <w:rFonts w:asciiTheme="minorBidi" w:hAnsiTheme="minorBidi"/>
          <w:sz w:val="22"/>
          <w:szCs w:val="22"/>
        </w:rPr>
      </w:pPr>
    </w:p>
    <w:p w14:paraId="01FF2871" w14:textId="77777777" w:rsidR="00B34C62" w:rsidRDefault="00B34C62" w:rsidP="009505A6">
      <w:pPr>
        <w:spacing w:line="240" w:lineRule="auto"/>
        <w:jc w:val="both"/>
        <w:rPr>
          <w:rFonts w:asciiTheme="minorBidi" w:hAnsiTheme="minorBidi"/>
          <w:sz w:val="22"/>
          <w:szCs w:val="22"/>
        </w:rPr>
      </w:pPr>
    </w:p>
    <w:p w14:paraId="01422B1B" w14:textId="77777777" w:rsidR="009505A6" w:rsidRDefault="009505A6" w:rsidP="009505A6">
      <w:pPr>
        <w:spacing w:line="240" w:lineRule="auto"/>
        <w:jc w:val="both"/>
        <w:rPr>
          <w:rFonts w:asciiTheme="minorBidi" w:hAnsiTheme="minorBidi"/>
          <w:sz w:val="22"/>
          <w:szCs w:val="22"/>
        </w:rPr>
      </w:pPr>
    </w:p>
    <w:p w14:paraId="56D2985B" w14:textId="77777777" w:rsidR="009505A6" w:rsidRDefault="009505A6" w:rsidP="009505A6">
      <w:pPr>
        <w:spacing w:line="240" w:lineRule="auto"/>
        <w:jc w:val="both"/>
        <w:rPr>
          <w:rFonts w:asciiTheme="minorBidi" w:hAnsiTheme="minorBidi"/>
          <w:sz w:val="22"/>
          <w:szCs w:val="22"/>
        </w:rPr>
      </w:pPr>
    </w:p>
    <w:p w14:paraId="73E3BDE4" w14:textId="77777777" w:rsidR="009505A6" w:rsidRPr="00BA0635" w:rsidRDefault="009505A6" w:rsidP="009505A6">
      <w:pPr>
        <w:spacing w:line="240" w:lineRule="auto"/>
        <w:jc w:val="both"/>
        <w:rPr>
          <w:rFonts w:asciiTheme="minorBidi" w:hAnsiTheme="minorBidi"/>
          <w:sz w:val="22"/>
          <w:szCs w:val="22"/>
        </w:rPr>
      </w:pPr>
    </w:p>
    <w:p w14:paraId="09833EEF" w14:textId="77777777" w:rsidR="00BA0635" w:rsidRPr="00BA0635" w:rsidRDefault="00BA0635" w:rsidP="009505A6">
      <w:pPr>
        <w:spacing w:line="240" w:lineRule="auto"/>
        <w:jc w:val="both"/>
        <w:rPr>
          <w:rFonts w:asciiTheme="minorBidi" w:hAnsiTheme="minorBidi"/>
          <w:sz w:val="22"/>
          <w:szCs w:val="22"/>
          <w:u w:val="single"/>
        </w:rPr>
      </w:pPr>
      <w:r w:rsidRPr="00BA0635">
        <w:rPr>
          <w:rFonts w:asciiTheme="minorBidi" w:hAnsiTheme="minorBidi"/>
          <w:sz w:val="22"/>
          <w:szCs w:val="22"/>
          <w:u w:val="single"/>
        </w:rPr>
        <w:lastRenderedPageBreak/>
        <w:t>Appendix E — Fault-Tree (Diagram E1)</w:t>
      </w:r>
    </w:p>
    <w:p w14:paraId="50BFBF83" w14:textId="77777777"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sz w:val="22"/>
          <w:szCs w:val="22"/>
        </w:rPr>
        <w:t>Top Event: Weekly fulfilment SLA breach ≥24h (≥10% orders)</w:t>
      </w:r>
    </w:p>
    <w:p w14:paraId="6722DCDA" w14:textId="77777777"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sz w:val="22"/>
          <w:szCs w:val="22"/>
        </w:rPr>
        <w:t xml:space="preserve">   ├── IT incident in online stack (p≈0.06)</w:t>
      </w:r>
    </w:p>
    <w:p w14:paraId="3F7F9659" w14:textId="77777777"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sz w:val="22"/>
          <w:szCs w:val="22"/>
        </w:rPr>
        <w:t xml:space="preserve">   ├── OT/ICS incident in automated warehouse (p≈0.04)</w:t>
      </w:r>
    </w:p>
    <w:p w14:paraId="1CB7B78A" w14:textId="77777777"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sz w:val="22"/>
          <w:szCs w:val="22"/>
        </w:rPr>
        <w:t xml:space="preserve">   ├── Cloud region/control-plane issue (p≈0.003)</w:t>
      </w:r>
    </w:p>
    <w:p w14:paraId="4F08EF7D" w14:textId="77777777"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sz w:val="22"/>
          <w:szCs w:val="22"/>
        </w:rPr>
        <w:t xml:space="preserve">   └── Payments/checkout disruption (p≈0.010)</w:t>
      </w:r>
    </w:p>
    <w:p w14:paraId="205D2BCF" w14:textId="115D9B4F"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i/>
          <w:iCs/>
          <w:sz w:val="22"/>
          <w:szCs w:val="22"/>
        </w:rPr>
        <w:t xml:space="preserve">Conservative upper bound via union: P(Top) ≈ 1 − Π(1−pᵢ) ≈ </w:t>
      </w:r>
      <w:r w:rsidRPr="00BA0635">
        <w:rPr>
          <w:rFonts w:asciiTheme="minorBidi" w:hAnsiTheme="minorBidi"/>
          <w:b/>
          <w:bCs/>
          <w:i/>
          <w:iCs/>
          <w:sz w:val="22"/>
          <w:szCs w:val="22"/>
        </w:rPr>
        <w:t>10.7%/year</w:t>
      </w:r>
      <w:r w:rsidRPr="00BA0635">
        <w:rPr>
          <w:rFonts w:asciiTheme="minorBidi" w:hAnsiTheme="minorBidi"/>
          <w:i/>
          <w:iCs/>
          <w:sz w:val="22"/>
          <w:szCs w:val="22"/>
        </w:rPr>
        <w:t xml:space="preserve"> (see Section “Worked calculations”).</w:t>
      </w:r>
    </w:p>
    <w:p w14:paraId="31665DBF" w14:textId="77777777" w:rsidR="00BA0635" w:rsidRPr="00BA0635" w:rsidRDefault="00BA0635" w:rsidP="009505A6">
      <w:pPr>
        <w:spacing w:line="240" w:lineRule="auto"/>
        <w:jc w:val="both"/>
        <w:rPr>
          <w:rFonts w:asciiTheme="minorBidi" w:hAnsiTheme="minorBidi"/>
          <w:sz w:val="22"/>
          <w:szCs w:val="22"/>
          <w:u w:val="single"/>
        </w:rPr>
      </w:pPr>
      <w:r w:rsidRPr="00BA0635">
        <w:rPr>
          <w:rFonts w:asciiTheme="minorBidi" w:hAnsiTheme="minorBidi"/>
          <w:sz w:val="22"/>
          <w:szCs w:val="22"/>
          <w:u w:val="single"/>
        </w:rPr>
        <w:t>Appendix F — DR/BC Active-Active Architecture (Diagram F1)</w:t>
      </w:r>
    </w:p>
    <w:p w14:paraId="5D449DD9" w14:textId="77777777"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sz w:val="22"/>
          <w:szCs w:val="22"/>
        </w:rPr>
        <w:t>Users → Anycast DNS/Traffic Manager (health-checked)</w:t>
      </w:r>
    </w:p>
    <w:p w14:paraId="2C687A68" w14:textId="77777777"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sz w:val="22"/>
          <w:szCs w:val="22"/>
        </w:rPr>
        <w:t xml:space="preserve">       → Global CDN/Edge (TLS termination, static cache)</w:t>
      </w:r>
    </w:p>
    <w:p w14:paraId="3F2CA2D3" w14:textId="77777777"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sz w:val="22"/>
          <w:szCs w:val="22"/>
        </w:rPr>
        <w:t xml:space="preserve">          → Region A (active) ──┐</w:t>
      </w:r>
    </w:p>
    <w:p w14:paraId="2E6F5796" w14:textId="77777777"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sz w:val="22"/>
          <w:szCs w:val="22"/>
        </w:rPr>
        <w:t xml:space="preserve">          → Region B (active) ──┤  (identical </w:t>
      </w:r>
      <w:proofErr w:type="spellStart"/>
      <w:r w:rsidRPr="00BA0635">
        <w:rPr>
          <w:rFonts w:asciiTheme="minorBidi" w:hAnsiTheme="minorBidi"/>
          <w:sz w:val="22"/>
          <w:szCs w:val="22"/>
        </w:rPr>
        <w:t>GitOps</w:t>
      </w:r>
      <w:proofErr w:type="spellEnd"/>
      <w:r w:rsidRPr="00BA0635">
        <w:rPr>
          <w:rFonts w:asciiTheme="minorBidi" w:hAnsiTheme="minorBidi"/>
          <w:sz w:val="22"/>
          <w:szCs w:val="22"/>
        </w:rPr>
        <w:t>/</w:t>
      </w:r>
      <w:proofErr w:type="spellStart"/>
      <w:r w:rsidRPr="00BA0635">
        <w:rPr>
          <w:rFonts w:asciiTheme="minorBidi" w:hAnsiTheme="minorBidi"/>
          <w:sz w:val="22"/>
          <w:szCs w:val="22"/>
        </w:rPr>
        <w:t>IaC</w:t>
      </w:r>
      <w:proofErr w:type="spellEnd"/>
      <w:r w:rsidRPr="00BA0635">
        <w:rPr>
          <w:rFonts w:asciiTheme="minorBidi" w:hAnsiTheme="minorBidi"/>
          <w:sz w:val="22"/>
          <w:szCs w:val="22"/>
        </w:rPr>
        <w:t xml:space="preserve"> stacks)</w:t>
      </w:r>
    </w:p>
    <w:p w14:paraId="007FF4A8" w14:textId="77777777"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sz w:val="22"/>
          <w:szCs w:val="22"/>
        </w:rPr>
        <w:t xml:space="preserve">                                 │</w:t>
      </w:r>
    </w:p>
    <w:p w14:paraId="47D9785E" w14:textId="77777777"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sz w:val="22"/>
          <w:szCs w:val="22"/>
        </w:rPr>
        <w:t xml:space="preserve"> Stateless services (K8s) in each region</w:t>
      </w:r>
    </w:p>
    <w:p w14:paraId="7CEB95D9" w14:textId="77777777"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sz w:val="22"/>
          <w:szCs w:val="22"/>
        </w:rPr>
        <w:t xml:space="preserve"> State: Synchronously replicated OLTP (quorum writes)</w:t>
      </w:r>
    </w:p>
    <w:p w14:paraId="74E09A1E" w14:textId="77777777"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sz w:val="22"/>
          <w:szCs w:val="22"/>
        </w:rPr>
        <w:t xml:space="preserve"> Object/analytics: Cross-region async replication (≤60s RPO)</w:t>
      </w:r>
    </w:p>
    <w:p w14:paraId="67856D81" w14:textId="77777777"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sz w:val="22"/>
          <w:szCs w:val="22"/>
        </w:rPr>
        <w:t xml:space="preserve"> Messaging: Mirrored topics, idempotent consumers</w:t>
      </w:r>
    </w:p>
    <w:p w14:paraId="04C6CA67" w14:textId="77777777"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sz w:val="22"/>
          <w:szCs w:val="22"/>
        </w:rPr>
        <w:t xml:space="preserve"> Monitoring: Synthetic + RUM; auto-failover on health signals</w:t>
      </w:r>
    </w:p>
    <w:p w14:paraId="594F9168" w14:textId="77777777" w:rsidR="00BA0635" w:rsidRPr="00BA0635" w:rsidRDefault="00BA0635" w:rsidP="009505A6">
      <w:pPr>
        <w:spacing w:line="240" w:lineRule="auto"/>
        <w:jc w:val="both"/>
        <w:rPr>
          <w:rFonts w:asciiTheme="minorBidi" w:hAnsiTheme="minorBidi"/>
          <w:sz w:val="22"/>
          <w:szCs w:val="22"/>
        </w:rPr>
      </w:pPr>
      <w:r w:rsidRPr="00BA0635">
        <w:rPr>
          <w:rFonts w:asciiTheme="minorBidi" w:hAnsiTheme="minorBidi"/>
          <w:sz w:val="22"/>
          <w:szCs w:val="22"/>
        </w:rPr>
        <w:t xml:space="preserve"> Target: Measured RTO ≤ 60s; RPO ≤ 60s during Live Failover</w:t>
      </w:r>
    </w:p>
    <w:p w14:paraId="691FCD6A" w14:textId="77777777" w:rsidR="00BA0635" w:rsidRDefault="00BA0635" w:rsidP="00CC039D">
      <w:pPr>
        <w:spacing w:line="480" w:lineRule="auto"/>
        <w:jc w:val="both"/>
        <w:rPr>
          <w:rFonts w:asciiTheme="minorBidi" w:hAnsiTheme="minorBidi"/>
        </w:rPr>
      </w:pPr>
    </w:p>
    <w:p w14:paraId="7E191A78" w14:textId="77777777" w:rsidR="0019685E" w:rsidRDefault="0019685E" w:rsidP="00CC039D">
      <w:pPr>
        <w:spacing w:line="480" w:lineRule="auto"/>
        <w:jc w:val="both"/>
        <w:rPr>
          <w:rFonts w:asciiTheme="minorBidi" w:hAnsiTheme="minorBidi"/>
        </w:rPr>
      </w:pPr>
    </w:p>
    <w:p w14:paraId="7C8DB456" w14:textId="77777777" w:rsidR="0019685E" w:rsidRDefault="0019685E" w:rsidP="00CC039D">
      <w:pPr>
        <w:spacing w:line="480" w:lineRule="auto"/>
        <w:jc w:val="both"/>
        <w:rPr>
          <w:rFonts w:asciiTheme="minorBidi" w:hAnsiTheme="minorBidi"/>
        </w:rPr>
      </w:pPr>
    </w:p>
    <w:p w14:paraId="7F2FDFD0" w14:textId="77777777" w:rsidR="0019685E" w:rsidRDefault="0019685E" w:rsidP="00CC039D">
      <w:pPr>
        <w:spacing w:line="480" w:lineRule="auto"/>
        <w:jc w:val="both"/>
        <w:rPr>
          <w:rFonts w:asciiTheme="minorBidi" w:hAnsiTheme="minorBidi"/>
        </w:rPr>
      </w:pPr>
    </w:p>
    <w:p w14:paraId="1BB19F78" w14:textId="77777777" w:rsidR="0019685E" w:rsidRDefault="0019685E" w:rsidP="00CC039D">
      <w:pPr>
        <w:spacing w:line="480" w:lineRule="auto"/>
        <w:jc w:val="both"/>
        <w:rPr>
          <w:rFonts w:asciiTheme="minorBidi" w:hAnsiTheme="minorBidi"/>
        </w:rPr>
      </w:pPr>
    </w:p>
    <w:p w14:paraId="08CAE2E4" w14:textId="77777777" w:rsidR="0019685E" w:rsidRDefault="0019685E" w:rsidP="00CC039D">
      <w:pPr>
        <w:spacing w:line="480" w:lineRule="auto"/>
        <w:jc w:val="both"/>
        <w:rPr>
          <w:rFonts w:asciiTheme="minorBidi" w:hAnsiTheme="minorBidi"/>
        </w:rPr>
      </w:pPr>
    </w:p>
    <w:p w14:paraId="3E3B79E1" w14:textId="77777777" w:rsidR="0019685E" w:rsidRDefault="0019685E" w:rsidP="00CC039D">
      <w:pPr>
        <w:spacing w:line="480" w:lineRule="auto"/>
        <w:jc w:val="both"/>
        <w:rPr>
          <w:rFonts w:asciiTheme="minorBidi" w:hAnsiTheme="minorBidi"/>
        </w:rPr>
      </w:pPr>
    </w:p>
    <w:p w14:paraId="71C19E74" w14:textId="086FFF45" w:rsidR="00CC039D" w:rsidRPr="00CC039D" w:rsidRDefault="00CC039D" w:rsidP="00CC039D">
      <w:pPr>
        <w:spacing w:line="480" w:lineRule="auto"/>
        <w:jc w:val="both"/>
        <w:rPr>
          <w:rFonts w:asciiTheme="minorBidi" w:hAnsiTheme="minorBidi"/>
          <w:b/>
          <w:bCs/>
        </w:rPr>
      </w:pPr>
      <w:r w:rsidRPr="00CC039D">
        <w:rPr>
          <w:rFonts w:asciiTheme="minorBidi" w:hAnsiTheme="minorBidi"/>
          <w:b/>
          <w:bCs/>
        </w:rPr>
        <w:lastRenderedPageBreak/>
        <w:t>References</w:t>
      </w:r>
      <w:r w:rsidR="005F6540">
        <w:rPr>
          <w:rFonts w:asciiTheme="minorBidi" w:hAnsiTheme="minorBidi"/>
          <w:b/>
          <w:bCs/>
        </w:rPr>
        <w:t xml:space="preserve"> </w:t>
      </w:r>
      <w:r w:rsidR="005F6540">
        <w:rPr>
          <w:rFonts w:asciiTheme="minorBidi" w:hAnsiTheme="minorBidi"/>
          <w:b/>
          <w:bCs/>
        </w:rPr>
        <w:t>(Not included in Word Count)</w:t>
      </w:r>
    </w:p>
    <w:p w14:paraId="2BE8C74C" w14:textId="77777777" w:rsidR="00CC039D" w:rsidRPr="00CC039D" w:rsidRDefault="00CC039D" w:rsidP="00CC039D">
      <w:pPr>
        <w:spacing w:line="480" w:lineRule="auto"/>
        <w:jc w:val="both"/>
        <w:rPr>
          <w:rFonts w:asciiTheme="minorBidi" w:hAnsiTheme="minorBidi"/>
        </w:rPr>
      </w:pPr>
      <w:r w:rsidRPr="00CC039D">
        <w:rPr>
          <w:rFonts w:asciiTheme="minorBidi" w:hAnsiTheme="minorBidi"/>
        </w:rPr>
        <w:t xml:space="preserve">Brancati, F., Mongelli, D., Mariotti, F. &amp; </w:t>
      </w:r>
      <w:proofErr w:type="spellStart"/>
      <w:r w:rsidRPr="00CC039D">
        <w:rPr>
          <w:rFonts w:asciiTheme="minorBidi" w:hAnsiTheme="minorBidi"/>
        </w:rPr>
        <w:t>Lollini</w:t>
      </w:r>
      <w:proofErr w:type="spellEnd"/>
      <w:r w:rsidRPr="00CC039D">
        <w:rPr>
          <w:rFonts w:asciiTheme="minorBidi" w:hAnsiTheme="minorBidi"/>
        </w:rPr>
        <w:t>, P. (</w:t>
      </w:r>
      <w:proofErr w:type="gramStart"/>
      <w:r w:rsidRPr="00CC039D">
        <w:rPr>
          <w:rFonts w:asciiTheme="minorBidi" w:hAnsiTheme="minorBidi"/>
        </w:rPr>
        <w:t>2025) ‘</w:t>
      </w:r>
      <w:proofErr w:type="gramEnd"/>
      <w:r w:rsidRPr="00CC039D">
        <w:rPr>
          <w:rFonts w:asciiTheme="minorBidi" w:hAnsiTheme="minorBidi"/>
        </w:rPr>
        <w:t xml:space="preserve">A cybersecurity risk assessment methodology for industrial automation control systems’, </w:t>
      </w:r>
      <w:r w:rsidRPr="00CC039D">
        <w:rPr>
          <w:rFonts w:asciiTheme="minorBidi" w:hAnsiTheme="minorBidi"/>
          <w:i/>
          <w:iCs/>
        </w:rPr>
        <w:t>International Journal of Information Security</w:t>
      </w:r>
      <w:r w:rsidRPr="00CC039D">
        <w:rPr>
          <w:rFonts w:asciiTheme="minorBidi" w:hAnsiTheme="minorBidi"/>
        </w:rPr>
        <w:t xml:space="preserve">, 24, Article 76. Available at: </w:t>
      </w:r>
      <w:hyperlink r:id="rId6" w:tgtFrame="_new" w:history="1">
        <w:r w:rsidRPr="00CC039D">
          <w:rPr>
            <w:rStyle w:val="Hyperlink"/>
            <w:rFonts w:asciiTheme="minorBidi" w:hAnsiTheme="minorBidi"/>
          </w:rPr>
          <w:t>https://link.springer.com/article/10.1007/s10207-025-00990-9</w:t>
        </w:r>
      </w:hyperlink>
      <w:r w:rsidRPr="00CC039D">
        <w:rPr>
          <w:rFonts w:asciiTheme="minorBidi" w:hAnsiTheme="minorBidi"/>
        </w:rPr>
        <w:t xml:space="preserve"> (Accessed: 13 October 2025).</w:t>
      </w:r>
    </w:p>
    <w:p w14:paraId="1C326B87" w14:textId="77777777" w:rsidR="00CC039D" w:rsidRPr="00CC039D" w:rsidRDefault="00CC039D" w:rsidP="00CC039D">
      <w:pPr>
        <w:spacing w:line="480" w:lineRule="auto"/>
        <w:jc w:val="both"/>
        <w:rPr>
          <w:rFonts w:asciiTheme="minorBidi" w:hAnsiTheme="minorBidi"/>
        </w:rPr>
      </w:pPr>
      <w:proofErr w:type="spellStart"/>
      <w:r w:rsidRPr="00CC039D">
        <w:rPr>
          <w:rFonts w:asciiTheme="minorBidi" w:hAnsiTheme="minorBidi"/>
        </w:rPr>
        <w:t>Cîrnu</w:t>
      </w:r>
      <w:proofErr w:type="spellEnd"/>
      <w:r w:rsidRPr="00CC039D">
        <w:rPr>
          <w:rFonts w:asciiTheme="minorBidi" w:hAnsiTheme="minorBidi"/>
        </w:rPr>
        <w:t xml:space="preserve">, C.E., Rotuna, C.I., </w:t>
      </w:r>
      <w:proofErr w:type="spellStart"/>
      <w:r w:rsidRPr="00CC039D">
        <w:rPr>
          <w:rFonts w:asciiTheme="minorBidi" w:hAnsiTheme="minorBidi"/>
        </w:rPr>
        <w:t>Vevera</w:t>
      </w:r>
      <w:proofErr w:type="spellEnd"/>
      <w:r w:rsidRPr="00CC039D">
        <w:rPr>
          <w:rFonts w:asciiTheme="minorBidi" w:hAnsiTheme="minorBidi"/>
        </w:rPr>
        <w:t xml:space="preserve">, A.V. &amp; </w:t>
      </w:r>
      <w:proofErr w:type="spellStart"/>
      <w:r w:rsidRPr="00CC039D">
        <w:rPr>
          <w:rFonts w:asciiTheme="minorBidi" w:hAnsiTheme="minorBidi"/>
        </w:rPr>
        <w:t>Boncea</w:t>
      </w:r>
      <w:proofErr w:type="spellEnd"/>
      <w:r w:rsidRPr="00CC039D">
        <w:rPr>
          <w:rFonts w:asciiTheme="minorBidi" w:hAnsiTheme="minorBidi"/>
        </w:rPr>
        <w:t xml:space="preserve">, R. (2018) ‘Measures to Mitigate Cybersecurity Risks and Vulnerabilities in Service-Oriented Architecture’, </w:t>
      </w:r>
      <w:r w:rsidRPr="00CC039D">
        <w:rPr>
          <w:rFonts w:asciiTheme="minorBidi" w:hAnsiTheme="minorBidi"/>
          <w:i/>
          <w:iCs/>
        </w:rPr>
        <w:t>Studies in Informatics and Control</w:t>
      </w:r>
      <w:r w:rsidRPr="00CC039D">
        <w:rPr>
          <w:rFonts w:asciiTheme="minorBidi" w:hAnsiTheme="minorBidi"/>
        </w:rPr>
        <w:t xml:space="preserve">, 27(3), pp. 359–368. Available at: </w:t>
      </w:r>
      <w:hyperlink r:id="rId7" w:tgtFrame="_new" w:history="1">
        <w:r w:rsidRPr="00CC039D">
          <w:rPr>
            <w:rStyle w:val="Hyperlink"/>
            <w:rFonts w:asciiTheme="minorBidi" w:hAnsiTheme="minorBidi"/>
          </w:rPr>
          <w:t>https://www.researchgate.net/publication/328628189_Measures_to_Mitigate_Cybersecurity_Risks_and_Vulnerabilities_in_Service-Oriented_Architecture</w:t>
        </w:r>
      </w:hyperlink>
      <w:r w:rsidRPr="00CC039D">
        <w:rPr>
          <w:rFonts w:asciiTheme="minorBidi" w:hAnsiTheme="minorBidi"/>
        </w:rPr>
        <w:t xml:space="preserve"> (Accessed: 13 October 2025).</w:t>
      </w:r>
    </w:p>
    <w:p w14:paraId="5553E75E" w14:textId="77777777" w:rsidR="00CC039D" w:rsidRPr="00CC039D" w:rsidRDefault="00CC039D" w:rsidP="00CC039D">
      <w:pPr>
        <w:spacing w:line="480" w:lineRule="auto"/>
        <w:jc w:val="both"/>
        <w:rPr>
          <w:rFonts w:asciiTheme="minorBidi" w:hAnsiTheme="minorBidi"/>
        </w:rPr>
      </w:pPr>
      <w:r w:rsidRPr="00CC039D">
        <w:rPr>
          <w:rFonts w:asciiTheme="minorBidi" w:hAnsiTheme="minorBidi"/>
        </w:rPr>
        <w:t xml:space="preserve">Ohwo, O.B., Izang, A., </w:t>
      </w:r>
      <w:proofErr w:type="spellStart"/>
      <w:r w:rsidRPr="00CC039D">
        <w:rPr>
          <w:rFonts w:asciiTheme="minorBidi" w:hAnsiTheme="minorBidi"/>
        </w:rPr>
        <w:t>Udosen</w:t>
      </w:r>
      <w:proofErr w:type="spellEnd"/>
      <w:r w:rsidRPr="00CC039D">
        <w:rPr>
          <w:rFonts w:asciiTheme="minorBidi" w:hAnsiTheme="minorBidi"/>
        </w:rPr>
        <w:t xml:space="preserve">, A. &amp; Amusa, A. (2024) ‘Evaluating the Ethical Frameworks of Information Security Professionals: A Comparative Analysis’, </w:t>
      </w:r>
      <w:r w:rsidRPr="00CC039D">
        <w:rPr>
          <w:rFonts w:asciiTheme="minorBidi" w:hAnsiTheme="minorBidi"/>
          <w:i/>
          <w:iCs/>
        </w:rPr>
        <w:t>Asian Journal of Computer Science and Technology</w:t>
      </w:r>
      <w:r w:rsidRPr="00CC039D">
        <w:rPr>
          <w:rFonts w:asciiTheme="minorBidi" w:hAnsiTheme="minorBidi"/>
        </w:rPr>
        <w:t xml:space="preserve">, 13(2), pp. 61–66. Available at: </w:t>
      </w:r>
      <w:hyperlink r:id="rId8" w:tgtFrame="_new" w:history="1">
        <w:r w:rsidRPr="00CC039D">
          <w:rPr>
            <w:rStyle w:val="Hyperlink"/>
            <w:rFonts w:asciiTheme="minorBidi" w:hAnsiTheme="minorBidi"/>
          </w:rPr>
          <w:t>https://www.researchgate.net/publication/386447999_Evaluating_the_Ethical_Frameworks_of_Information_Security_Professionals_A_Comparative_Analysis</w:t>
        </w:r>
      </w:hyperlink>
      <w:r w:rsidRPr="00CC039D">
        <w:rPr>
          <w:rFonts w:asciiTheme="minorBidi" w:hAnsiTheme="minorBidi"/>
        </w:rPr>
        <w:t xml:space="preserve"> (Accessed: 13 October 2025).</w:t>
      </w:r>
    </w:p>
    <w:p w14:paraId="0EDFEC60" w14:textId="77777777" w:rsidR="00CC039D" w:rsidRPr="00CC039D" w:rsidRDefault="00CC039D" w:rsidP="00CC039D">
      <w:pPr>
        <w:spacing w:line="480" w:lineRule="auto"/>
        <w:jc w:val="both"/>
        <w:rPr>
          <w:rFonts w:asciiTheme="minorBidi" w:hAnsiTheme="minorBidi"/>
        </w:rPr>
      </w:pPr>
      <w:r w:rsidRPr="00CC039D">
        <w:rPr>
          <w:rFonts w:asciiTheme="minorBidi" w:hAnsiTheme="minorBidi"/>
        </w:rPr>
        <w:t>Ruslan, S. (</w:t>
      </w:r>
      <w:proofErr w:type="gramStart"/>
      <w:r w:rsidRPr="00CC039D">
        <w:rPr>
          <w:rFonts w:asciiTheme="minorBidi" w:hAnsiTheme="minorBidi"/>
        </w:rPr>
        <w:t>2023) ‘</w:t>
      </w:r>
      <w:proofErr w:type="gramEnd"/>
      <w:r w:rsidRPr="00CC039D">
        <w:rPr>
          <w:rFonts w:asciiTheme="minorBidi" w:hAnsiTheme="minorBidi"/>
        </w:rPr>
        <w:t xml:space="preserve">Challenges and Opportunities for Legal Practice and the Legal Profession in the Cyber Age’, </w:t>
      </w:r>
      <w:r w:rsidRPr="00CC039D">
        <w:rPr>
          <w:rFonts w:asciiTheme="minorBidi" w:hAnsiTheme="minorBidi"/>
          <w:i/>
          <w:iCs/>
        </w:rPr>
        <w:t>International Journal of Law and Policy</w:t>
      </w:r>
      <w:r w:rsidRPr="00CC039D">
        <w:rPr>
          <w:rFonts w:asciiTheme="minorBidi" w:hAnsiTheme="minorBidi"/>
        </w:rPr>
        <w:t xml:space="preserve">, 1(4). Available at: </w:t>
      </w:r>
      <w:hyperlink r:id="rId9" w:tgtFrame="_new" w:history="1">
        <w:r w:rsidRPr="00CC039D">
          <w:rPr>
            <w:rStyle w:val="Hyperlink"/>
            <w:rFonts w:asciiTheme="minorBidi" w:hAnsiTheme="minorBidi"/>
          </w:rPr>
          <w:t>https://www.researchgate.net/publication/376719017_Challenges_and_Opportunities_fo</w:t>
        </w:r>
        <w:r w:rsidRPr="00CC039D">
          <w:rPr>
            <w:rStyle w:val="Hyperlink"/>
            <w:rFonts w:asciiTheme="minorBidi" w:hAnsiTheme="minorBidi"/>
          </w:rPr>
          <w:lastRenderedPageBreak/>
          <w:t>r_Legal_Practice_and_the_Legal_Profession_in_the_Cyber_Age</w:t>
        </w:r>
      </w:hyperlink>
      <w:r w:rsidRPr="00CC039D">
        <w:rPr>
          <w:rFonts w:asciiTheme="minorBidi" w:hAnsiTheme="minorBidi"/>
        </w:rPr>
        <w:t xml:space="preserve"> (Accessed: 13 October 2025).</w:t>
      </w:r>
    </w:p>
    <w:p w14:paraId="3F7BCF94" w14:textId="77777777" w:rsidR="00CC039D" w:rsidRPr="00CC039D" w:rsidRDefault="00CC039D" w:rsidP="00CC039D">
      <w:pPr>
        <w:spacing w:line="480" w:lineRule="auto"/>
        <w:jc w:val="both"/>
        <w:rPr>
          <w:rFonts w:asciiTheme="minorBidi" w:hAnsiTheme="minorBidi"/>
        </w:rPr>
      </w:pPr>
      <w:r w:rsidRPr="00CC039D">
        <w:rPr>
          <w:rFonts w:asciiTheme="minorBidi" w:hAnsiTheme="minorBidi"/>
        </w:rPr>
        <w:t xml:space="preserve">Sagar, V. &amp; Pearl, J. (2024) </w:t>
      </w:r>
      <w:r w:rsidRPr="00CC039D">
        <w:rPr>
          <w:rFonts w:asciiTheme="minorBidi" w:hAnsiTheme="minorBidi"/>
          <w:i/>
          <w:iCs/>
        </w:rPr>
        <w:t>Legal Compliance and Ethical Standards in Cybersecurity for Human Resources: Challenges and Strategies</w:t>
      </w:r>
      <w:r w:rsidRPr="00CC039D">
        <w:rPr>
          <w:rFonts w:asciiTheme="minorBidi" w:hAnsiTheme="minorBidi"/>
        </w:rPr>
        <w:t xml:space="preserve">. Available at: </w:t>
      </w:r>
      <w:hyperlink r:id="rId10" w:tgtFrame="_new" w:history="1">
        <w:r w:rsidRPr="00CC039D">
          <w:rPr>
            <w:rStyle w:val="Hyperlink"/>
            <w:rFonts w:asciiTheme="minorBidi" w:hAnsiTheme="minorBidi"/>
          </w:rPr>
          <w:t>https://www.researchgate.net/publication/381999957_Legal_Compliance_and_Ethical_Standards_in_Cybersecurity_for_Human_Resources_Challenges_and_Strategies</w:t>
        </w:r>
      </w:hyperlink>
      <w:r w:rsidRPr="00CC039D">
        <w:rPr>
          <w:rFonts w:asciiTheme="minorBidi" w:hAnsiTheme="minorBidi"/>
        </w:rPr>
        <w:t xml:space="preserve"> (Accessed: 13 October 2025).</w:t>
      </w:r>
    </w:p>
    <w:p w14:paraId="0BD73D28" w14:textId="77777777" w:rsidR="00CC039D" w:rsidRPr="00CC039D" w:rsidRDefault="00CC039D" w:rsidP="00CC039D">
      <w:pPr>
        <w:spacing w:line="480" w:lineRule="auto"/>
        <w:jc w:val="both"/>
        <w:rPr>
          <w:rFonts w:asciiTheme="minorBidi" w:hAnsiTheme="minorBidi"/>
        </w:rPr>
      </w:pPr>
      <w:r w:rsidRPr="00CC039D">
        <w:rPr>
          <w:rFonts w:asciiTheme="minorBidi" w:hAnsiTheme="minorBidi"/>
        </w:rPr>
        <w:t xml:space="preserve">Salem, A.H., Azzam, S.M., Emam, O.E. &amp; </w:t>
      </w:r>
      <w:proofErr w:type="spellStart"/>
      <w:r w:rsidRPr="00CC039D">
        <w:rPr>
          <w:rFonts w:asciiTheme="minorBidi" w:hAnsiTheme="minorBidi"/>
        </w:rPr>
        <w:t>Abohany</w:t>
      </w:r>
      <w:proofErr w:type="spellEnd"/>
      <w:r w:rsidRPr="00CC039D">
        <w:rPr>
          <w:rFonts w:asciiTheme="minorBidi" w:hAnsiTheme="minorBidi"/>
        </w:rPr>
        <w:t>, A.A. (</w:t>
      </w:r>
      <w:proofErr w:type="gramStart"/>
      <w:r w:rsidRPr="00CC039D">
        <w:rPr>
          <w:rFonts w:asciiTheme="minorBidi" w:hAnsiTheme="minorBidi"/>
        </w:rPr>
        <w:t>2024) ‘</w:t>
      </w:r>
      <w:proofErr w:type="gramEnd"/>
      <w:r w:rsidRPr="00CC039D">
        <w:rPr>
          <w:rFonts w:asciiTheme="minorBidi" w:hAnsiTheme="minorBidi"/>
        </w:rPr>
        <w:t xml:space="preserve">Advancing cybersecurity: a comprehensive review of AI-driven detection techniques’, </w:t>
      </w:r>
      <w:r w:rsidRPr="00CC039D">
        <w:rPr>
          <w:rFonts w:asciiTheme="minorBidi" w:hAnsiTheme="minorBidi"/>
          <w:i/>
          <w:iCs/>
        </w:rPr>
        <w:t>Journal of Big Data</w:t>
      </w:r>
      <w:r w:rsidRPr="00CC039D">
        <w:rPr>
          <w:rFonts w:asciiTheme="minorBidi" w:hAnsiTheme="minorBidi"/>
        </w:rPr>
        <w:t xml:space="preserve">, 11, Article 105. Available at: </w:t>
      </w:r>
      <w:hyperlink r:id="rId11" w:tgtFrame="_new" w:history="1">
        <w:r w:rsidRPr="00CC039D">
          <w:rPr>
            <w:rStyle w:val="Hyperlink"/>
            <w:rFonts w:asciiTheme="minorBidi" w:hAnsiTheme="minorBidi"/>
          </w:rPr>
          <w:t>https://journalofbigdata.springeropen.com/articles/10.1186/s40537-024-00957-y</w:t>
        </w:r>
      </w:hyperlink>
      <w:r w:rsidRPr="00CC039D">
        <w:rPr>
          <w:rFonts w:asciiTheme="minorBidi" w:hAnsiTheme="minorBidi"/>
        </w:rPr>
        <w:t xml:space="preserve"> (Accessed: 13 October 2025).</w:t>
      </w:r>
    </w:p>
    <w:p w14:paraId="5B51D995" w14:textId="77777777" w:rsidR="00CC039D" w:rsidRPr="00CC039D" w:rsidRDefault="00CC039D" w:rsidP="00CC039D">
      <w:pPr>
        <w:spacing w:line="480" w:lineRule="auto"/>
        <w:jc w:val="both"/>
        <w:rPr>
          <w:rFonts w:asciiTheme="minorBidi" w:hAnsiTheme="minorBidi"/>
        </w:rPr>
      </w:pPr>
      <w:r w:rsidRPr="00CC039D">
        <w:rPr>
          <w:rFonts w:asciiTheme="minorBidi" w:hAnsiTheme="minorBidi"/>
        </w:rPr>
        <w:t xml:space="preserve">Treacy, C., Regan, G., Shahid, A. &amp; Maguire, B. (2022) ‘Legal, Privacy, Social and Ethical Requirements and Impact Assessment for an Artificial Intelligence Based Medical Imaging Project’, in </w:t>
      </w:r>
      <w:r w:rsidRPr="00CC039D">
        <w:rPr>
          <w:rFonts w:asciiTheme="minorBidi" w:hAnsiTheme="minorBidi"/>
          <w:i/>
          <w:iCs/>
        </w:rPr>
        <w:t>Systems, Software and Services Process Improvement</w:t>
      </w:r>
      <w:r w:rsidRPr="00CC039D">
        <w:rPr>
          <w:rFonts w:asciiTheme="minorBidi" w:hAnsiTheme="minorBidi"/>
        </w:rPr>
        <w:t xml:space="preserve">, pp. 29–44. Available at: </w:t>
      </w:r>
      <w:hyperlink r:id="rId12" w:tgtFrame="_new" w:history="1">
        <w:r w:rsidRPr="00CC039D">
          <w:rPr>
            <w:rStyle w:val="Hyperlink"/>
            <w:rFonts w:asciiTheme="minorBidi" w:hAnsiTheme="minorBidi"/>
          </w:rPr>
          <w:t>https://www.researchgate.net/publication/362950817_Legal_Privacy_Social_and_Ethical_Requirements_and_Impact_Assessment_for_an_Artificial_Intelligence_Based_Medical_Imaging_Project</w:t>
        </w:r>
      </w:hyperlink>
      <w:r w:rsidRPr="00CC039D">
        <w:rPr>
          <w:rFonts w:asciiTheme="minorBidi" w:hAnsiTheme="minorBidi"/>
        </w:rPr>
        <w:t xml:space="preserve"> (Accessed: 13 October 2025).</w:t>
      </w:r>
    </w:p>
    <w:p w14:paraId="6E150FDA" w14:textId="77777777" w:rsidR="00CC039D" w:rsidRPr="00CC039D" w:rsidRDefault="00CC039D" w:rsidP="00CC039D">
      <w:pPr>
        <w:spacing w:line="480" w:lineRule="auto"/>
        <w:jc w:val="both"/>
        <w:rPr>
          <w:rFonts w:asciiTheme="minorBidi" w:hAnsiTheme="minorBidi"/>
        </w:rPr>
      </w:pPr>
      <w:r w:rsidRPr="00CC039D">
        <w:rPr>
          <w:rFonts w:asciiTheme="minorBidi" w:hAnsiTheme="minorBidi"/>
        </w:rPr>
        <w:t xml:space="preserve">Wang, L. &amp; Zhao, J. (2024) ‘Risk Management’, in </w:t>
      </w:r>
      <w:r w:rsidRPr="00CC039D">
        <w:rPr>
          <w:rFonts w:asciiTheme="minorBidi" w:hAnsiTheme="minorBidi"/>
          <w:i/>
          <w:iCs/>
        </w:rPr>
        <w:t>Strategic Blueprint for Enterprise Analytics</w:t>
      </w:r>
      <w:r w:rsidRPr="00CC039D">
        <w:rPr>
          <w:rFonts w:asciiTheme="minorBidi" w:hAnsiTheme="minorBidi"/>
        </w:rPr>
        <w:t xml:space="preserve">, pp. 179–201. Available at: </w:t>
      </w:r>
      <w:hyperlink r:id="rId13" w:tgtFrame="_new" w:history="1">
        <w:r w:rsidRPr="00CC039D">
          <w:rPr>
            <w:rStyle w:val="Hyperlink"/>
            <w:rFonts w:asciiTheme="minorBidi" w:hAnsiTheme="minorBidi"/>
          </w:rPr>
          <w:t>https://link.springer.com/chapter/10.1007/978-3-031-55885-6_9</w:t>
        </w:r>
      </w:hyperlink>
      <w:r w:rsidRPr="00CC039D">
        <w:rPr>
          <w:rFonts w:asciiTheme="minorBidi" w:hAnsiTheme="minorBidi"/>
        </w:rPr>
        <w:t xml:space="preserve"> (Accessed: 13 October 2025).</w:t>
      </w:r>
    </w:p>
    <w:p w14:paraId="390E1F86" w14:textId="77777777" w:rsidR="00CC039D" w:rsidRPr="00CC039D" w:rsidRDefault="00CC039D" w:rsidP="00CC039D">
      <w:pPr>
        <w:spacing w:line="480" w:lineRule="auto"/>
        <w:jc w:val="both"/>
        <w:rPr>
          <w:rFonts w:asciiTheme="minorBidi" w:hAnsiTheme="minorBidi"/>
        </w:rPr>
      </w:pPr>
      <w:r w:rsidRPr="00CC039D">
        <w:rPr>
          <w:rFonts w:asciiTheme="minorBidi" w:hAnsiTheme="minorBidi"/>
        </w:rPr>
        <w:lastRenderedPageBreak/>
        <w:t>Weber, K. (</w:t>
      </w:r>
      <w:proofErr w:type="gramStart"/>
      <w:r w:rsidRPr="00CC039D">
        <w:rPr>
          <w:rFonts w:asciiTheme="minorBidi" w:hAnsiTheme="minorBidi"/>
        </w:rPr>
        <w:t>2022) ‘</w:t>
      </w:r>
      <w:proofErr w:type="gramEnd"/>
      <w:r w:rsidRPr="00CC039D">
        <w:rPr>
          <w:rFonts w:asciiTheme="minorBidi" w:hAnsiTheme="minorBidi"/>
        </w:rPr>
        <w:t xml:space="preserve">Cybersecurity and Ethical, Social, and Political Considerations: When Cybersecurity for All Is Not on the Table’, </w:t>
      </w:r>
      <w:r w:rsidRPr="00CC039D">
        <w:rPr>
          <w:rFonts w:asciiTheme="minorBidi" w:hAnsiTheme="minorBidi"/>
          <w:i/>
          <w:iCs/>
        </w:rPr>
        <w:t>Humanities and Social Sciences Quarterly</w:t>
      </w:r>
      <w:r w:rsidRPr="00CC039D">
        <w:rPr>
          <w:rFonts w:asciiTheme="minorBidi" w:hAnsiTheme="minorBidi"/>
        </w:rPr>
        <w:t xml:space="preserve">, 29(1). Available at: </w:t>
      </w:r>
      <w:hyperlink r:id="rId14" w:tgtFrame="_new" w:history="1">
        <w:r w:rsidRPr="00CC039D">
          <w:rPr>
            <w:rStyle w:val="Hyperlink"/>
            <w:rFonts w:asciiTheme="minorBidi" w:hAnsiTheme="minorBidi"/>
          </w:rPr>
          <w:t>https://www.researchgate.net/publication/359763754_CYBERSECURITY_AND_ETHICAL_SOCIAL_AND_POLITICAL_CONSIDERATIONS_WHEN_CYBERSECURITY_FOR_ALL_IS_NOT_ON_THE_TABLE</w:t>
        </w:r>
      </w:hyperlink>
      <w:r w:rsidRPr="00CC039D">
        <w:rPr>
          <w:rFonts w:asciiTheme="minorBidi" w:hAnsiTheme="minorBidi"/>
        </w:rPr>
        <w:t xml:space="preserve"> (Accessed: 13 October 2025).</w:t>
      </w:r>
    </w:p>
    <w:p w14:paraId="6DDC1EEF" w14:textId="77777777" w:rsidR="00CC039D" w:rsidRPr="00CC039D" w:rsidRDefault="00CC039D" w:rsidP="00CC039D">
      <w:pPr>
        <w:spacing w:line="480" w:lineRule="auto"/>
        <w:jc w:val="both"/>
        <w:rPr>
          <w:rFonts w:asciiTheme="minorBidi" w:hAnsiTheme="minorBidi"/>
        </w:rPr>
      </w:pPr>
      <w:r w:rsidRPr="00CC039D">
        <w:rPr>
          <w:rFonts w:asciiTheme="minorBidi" w:hAnsiTheme="minorBidi"/>
        </w:rPr>
        <w:t xml:space="preserve">Yan Azura, Y.T., Azad, M.A. &amp; Ahmed, Y. (2025) ‘An integrated cyber security risk management framework for online banking systems’, </w:t>
      </w:r>
      <w:r w:rsidRPr="00CC039D">
        <w:rPr>
          <w:rFonts w:asciiTheme="minorBidi" w:hAnsiTheme="minorBidi"/>
          <w:i/>
          <w:iCs/>
        </w:rPr>
        <w:t>Journal of Banking and Financial Technology</w:t>
      </w:r>
      <w:r w:rsidRPr="00CC039D">
        <w:rPr>
          <w:rFonts w:asciiTheme="minorBidi" w:hAnsiTheme="minorBidi"/>
        </w:rPr>
        <w:t xml:space="preserve">. Available at: </w:t>
      </w:r>
      <w:hyperlink r:id="rId15" w:tgtFrame="_new" w:history="1">
        <w:r w:rsidRPr="00CC039D">
          <w:rPr>
            <w:rStyle w:val="Hyperlink"/>
            <w:rFonts w:asciiTheme="minorBidi" w:hAnsiTheme="minorBidi"/>
          </w:rPr>
          <w:t>https://link.springer.com/article/10.1007/s42786-025-00056-3</w:t>
        </w:r>
      </w:hyperlink>
      <w:r w:rsidRPr="00CC039D">
        <w:rPr>
          <w:rFonts w:asciiTheme="minorBidi" w:hAnsiTheme="minorBidi"/>
        </w:rPr>
        <w:t xml:space="preserve"> (Accessed: 13 October 2025).</w:t>
      </w:r>
    </w:p>
    <w:p w14:paraId="4EB00566" w14:textId="77777777" w:rsidR="00CD6BFD" w:rsidRPr="008A2B7E" w:rsidRDefault="00CD6BFD" w:rsidP="00CD6BFD">
      <w:pPr>
        <w:spacing w:line="480" w:lineRule="auto"/>
        <w:jc w:val="both"/>
        <w:rPr>
          <w:rFonts w:asciiTheme="minorBidi" w:hAnsiTheme="minorBidi"/>
        </w:rPr>
      </w:pPr>
    </w:p>
    <w:p w14:paraId="4F015346" w14:textId="77777777" w:rsidR="00B44CCA" w:rsidRPr="007F0545" w:rsidRDefault="00B44CCA" w:rsidP="008A2B7E">
      <w:pPr>
        <w:spacing w:line="480" w:lineRule="auto"/>
        <w:jc w:val="center"/>
        <w:rPr>
          <w:rFonts w:asciiTheme="minorBidi" w:hAnsiTheme="minorBidi"/>
        </w:rPr>
      </w:pPr>
    </w:p>
    <w:sectPr w:rsidR="00B44CCA" w:rsidRPr="007F054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F5165" w14:textId="77777777" w:rsidR="00744EEA" w:rsidRDefault="00744EEA" w:rsidP="00C0695E">
      <w:pPr>
        <w:spacing w:after="0" w:line="240" w:lineRule="auto"/>
      </w:pPr>
      <w:r>
        <w:separator/>
      </w:r>
    </w:p>
  </w:endnote>
  <w:endnote w:type="continuationSeparator" w:id="0">
    <w:p w14:paraId="3C682554" w14:textId="77777777" w:rsidR="00744EEA" w:rsidRDefault="00744EEA" w:rsidP="00C06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Bidi" w:hAnsiTheme="minorBidi"/>
      </w:rPr>
      <w:id w:val="24682756"/>
      <w:docPartObj>
        <w:docPartGallery w:val="Page Numbers (Bottom of Page)"/>
        <w:docPartUnique/>
      </w:docPartObj>
    </w:sdtPr>
    <w:sdtEndPr>
      <w:rPr>
        <w:noProof/>
      </w:rPr>
    </w:sdtEndPr>
    <w:sdtContent>
      <w:p w14:paraId="5A40D9C8" w14:textId="34ABA1A0" w:rsidR="00C0695E" w:rsidRPr="00C0695E" w:rsidRDefault="00C0695E" w:rsidP="00C0695E">
        <w:pPr>
          <w:pStyle w:val="Footer"/>
          <w:jc w:val="center"/>
          <w:rPr>
            <w:rFonts w:asciiTheme="minorBidi" w:hAnsiTheme="minorBidi"/>
          </w:rPr>
        </w:pPr>
        <w:r w:rsidRPr="00C0695E">
          <w:rPr>
            <w:rFonts w:asciiTheme="minorBidi" w:hAnsiTheme="minorBidi"/>
          </w:rPr>
          <w:fldChar w:fldCharType="begin"/>
        </w:r>
        <w:r w:rsidRPr="00C0695E">
          <w:rPr>
            <w:rFonts w:asciiTheme="minorBidi" w:hAnsiTheme="minorBidi"/>
          </w:rPr>
          <w:instrText xml:space="preserve"> PAGE   \* MERGEFORMAT </w:instrText>
        </w:r>
        <w:r w:rsidRPr="00C0695E">
          <w:rPr>
            <w:rFonts w:asciiTheme="minorBidi" w:hAnsiTheme="minorBidi"/>
          </w:rPr>
          <w:fldChar w:fldCharType="separate"/>
        </w:r>
        <w:r w:rsidRPr="00C0695E">
          <w:rPr>
            <w:rFonts w:asciiTheme="minorBidi" w:hAnsiTheme="minorBidi"/>
            <w:noProof/>
          </w:rPr>
          <w:t>2</w:t>
        </w:r>
        <w:r w:rsidRPr="00C0695E">
          <w:rPr>
            <w:rFonts w:asciiTheme="minorBidi" w:hAnsiTheme="minorBid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4D884" w14:textId="77777777" w:rsidR="00744EEA" w:rsidRDefault="00744EEA" w:rsidP="00C0695E">
      <w:pPr>
        <w:spacing w:after="0" w:line="240" w:lineRule="auto"/>
      </w:pPr>
      <w:r>
        <w:separator/>
      </w:r>
    </w:p>
  </w:footnote>
  <w:footnote w:type="continuationSeparator" w:id="0">
    <w:p w14:paraId="7E33547C" w14:textId="77777777" w:rsidR="00744EEA" w:rsidRDefault="00744EEA" w:rsidP="00C069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F3C"/>
    <w:rsid w:val="0002220F"/>
    <w:rsid w:val="00065F75"/>
    <w:rsid w:val="00085165"/>
    <w:rsid w:val="000D77E3"/>
    <w:rsid w:val="00164F89"/>
    <w:rsid w:val="00192051"/>
    <w:rsid w:val="0019685E"/>
    <w:rsid w:val="001E7B89"/>
    <w:rsid w:val="0022702D"/>
    <w:rsid w:val="0022729F"/>
    <w:rsid w:val="00257B1A"/>
    <w:rsid w:val="002E0365"/>
    <w:rsid w:val="003544ED"/>
    <w:rsid w:val="003A7C8F"/>
    <w:rsid w:val="003D67C8"/>
    <w:rsid w:val="003E4BD7"/>
    <w:rsid w:val="0042503F"/>
    <w:rsid w:val="004818CC"/>
    <w:rsid w:val="005763D1"/>
    <w:rsid w:val="005F6540"/>
    <w:rsid w:val="00657144"/>
    <w:rsid w:val="007253BF"/>
    <w:rsid w:val="0072689F"/>
    <w:rsid w:val="00743901"/>
    <w:rsid w:val="00744EEA"/>
    <w:rsid w:val="007F0545"/>
    <w:rsid w:val="008934CC"/>
    <w:rsid w:val="008A2B7E"/>
    <w:rsid w:val="008A73F2"/>
    <w:rsid w:val="008F17E0"/>
    <w:rsid w:val="00911643"/>
    <w:rsid w:val="009505A6"/>
    <w:rsid w:val="00964F3C"/>
    <w:rsid w:val="00995B1E"/>
    <w:rsid w:val="009A5249"/>
    <w:rsid w:val="00A46761"/>
    <w:rsid w:val="00B34C62"/>
    <w:rsid w:val="00B44CCA"/>
    <w:rsid w:val="00BA0635"/>
    <w:rsid w:val="00BE2729"/>
    <w:rsid w:val="00C0695E"/>
    <w:rsid w:val="00C870DD"/>
    <w:rsid w:val="00CA0FAD"/>
    <w:rsid w:val="00CC039D"/>
    <w:rsid w:val="00CC349B"/>
    <w:rsid w:val="00CD6BFD"/>
    <w:rsid w:val="00CE2F29"/>
    <w:rsid w:val="00D86B2C"/>
    <w:rsid w:val="00DC0800"/>
    <w:rsid w:val="00DC7F50"/>
    <w:rsid w:val="00E14F3B"/>
    <w:rsid w:val="00F75D49"/>
    <w:rsid w:val="00F8515D"/>
    <w:rsid w:val="00FF7A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6BDE1"/>
  <w15:chartTrackingRefBased/>
  <w15:docId w15:val="{51AD62D1-A45B-474B-8E32-6DD8204E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F3C"/>
    <w:rPr>
      <w:rFonts w:eastAsiaTheme="majorEastAsia" w:cstheme="majorBidi"/>
      <w:color w:val="272727" w:themeColor="text1" w:themeTint="D8"/>
    </w:rPr>
  </w:style>
  <w:style w:type="paragraph" w:styleId="Title">
    <w:name w:val="Title"/>
    <w:basedOn w:val="Normal"/>
    <w:next w:val="Normal"/>
    <w:link w:val="TitleChar"/>
    <w:uiPriority w:val="10"/>
    <w:qFormat/>
    <w:rsid w:val="00964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F3C"/>
    <w:pPr>
      <w:spacing w:before="160"/>
      <w:jc w:val="center"/>
    </w:pPr>
    <w:rPr>
      <w:i/>
      <w:iCs/>
      <w:color w:val="404040" w:themeColor="text1" w:themeTint="BF"/>
    </w:rPr>
  </w:style>
  <w:style w:type="character" w:customStyle="1" w:styleId="QuoteChar">
    <w:name w:val="Quote Char"/>
    <w:basedOn w:val="DefaultParagraphFont"/>
    <w:link w:val="Quote"/>
    <w:uiPriority w:val="29"/>
    <w:rsid w:val="00964F3C"/>
    <w:rPr>
      <w:i/>
      <w:iCs/>
      <w:color w:val="404040" w:themeColor="text1" w:themeTint="BF"/>
    </w:rPr>
  </w:style>
  <w:style w:type="paragraph" w:styleId="ListParagraph">
    <w:name w:val="List Paragraph"/>
    <w:basedOn w:val="Normal"/>
    <w:uiPriority w:val="34"/>
    <w:qFormat/>
    <w:rsid w:val="00964F3C"/>
    <w:pPr>
      <w:ind w:left="720"/>
      <w:contextualSpacing/>
    </w:pPr>
  </w:style>
  <w:style w:type="character" w:styleId="IntenseEmphasis">
    <w:name w:val="Intense Emphasis"/>
    <w:basedOn w:val="DefaultParagraphFont"/>
    <w:uiPriority w:val="21"/>
    <w:qFormat/>
    <w:rsid w:val="00964F3C"/>
    <w:rPr>
      <w:i/>
      <w:iCs/>
      <w:color w:val="0F4761" w:themeColor="accent1" w:themeShade="BF"/>
    </w:rPr>
  </w:style>
  <w:style w:type="paragraph" w:styleId="IntenseQuote">
    <w:name w:val="Intense Quote"/>
    <w:basedOn w:val="Normal"/>
    <w:next w:val="Normal"/>
    <w:link w:val="IntenseQuoteChar"/>
    <w:uiPriority w:val="30"/>
    <w:qFormat/>
    <w:rsid w:val="00964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F3C"/>
    <w:rPr>
      <w:i/>
      <w:iCs/>
      <w:color w:val="0F4761" w:themeColor="accent1" w:themeShade="BF"/>
    </w:rPr>
  </w:style>
  <w:style w:type="character" w:styleId="IntenseReference">
    <w:name w:val="Intense Reference"/>
    <w:basedOn w:val="DefaultParagraphFont"/>
    <w:uiPriority w:val="32"/>
    <w:qFormat/>
    <w:rsid w:val="00964F3C"/>
    <w:rPr>
      <w:b/>
      <w:bCs/>
      <w:smallCaps/>
      <w:color w:val="0F4761" w:themeColor="accent1" w:themeShade="BF"/>
      <w:spacing w:val="5"/>
    </w:rPr>
  </w:style>
  <w:style w:type="paragraph" w:styleId="Header">
    <w:name w:val="header"/>
    <w:basedOn w:val="Normal"/>
    <w:link w:val="HeaderChar"/>
    <w:uiPriority w:val="99"/>
    <w:unhideWhenUsed/>
    <w:rsid w:val="00C06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95E"/>
  </w:style>
  <w:style w:type="paragraph" w:styleId="Footer">
    <w:name w:val="footer"/>
    <w:basedOn w:val="Normal"/>
    <w:link w:val="FooterChar"/>
    <w:uiPriority w:val="99"/>
    <w:unhideWhenUsed/>
    <w:rsid w:val="00C069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95E"/>
  </w:style>
  <w:style w:type="character" w:styleId="Hyperlink">
    <w:name w:val="Hyperlink"/>
    <w:basedOn w:val="DefaultParagraphFont"/>
    <w:uiPriority w:val="99"/>
    <w:unhideWhenUsed/>
    <w:rsid w:val="00CC039D"/>
    <w:rPr>
      <w:color w:val="467886" w:themeColor="hyperlink"/>
      <w:u w:val="single"/>
    </w:rPr>
  </w:style>
  <w:style w:type="character" w:styleId="UnresolvedMention">
    <w:name w:val="Unresolved Mention"/>
    <w:basedOn w:val="DefaultParagraphFont"/>
    <w:uiPriority w:val="99"/>
    <w:semiHidden/>
    <w:unhideWhenUsed/>
    <w:rsid w:val="00CC039D"/>
    <w:rPr>
      <w:color w:val="605E5C"/>
      <w:shd w:val="clear" w:color="auto" w:fill="E1DFDD"/>
    </w:rPr>
  </w:style>
  <w:style w:type="table" w:styleId="TableGrid">
    <w:name w:val="Table Grid"/>
    <w:basedOn w:val="TableNormal"/>
    <w:uiPriority w:val="39"/>
    <w:rsid w:val="00CE2F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86447999_Evaluating_the_Ethical_Frameworks_of_Information_Security_Professionals_A_Comparative_Analysis" TargetMode="External"/><Relationship Id="rId13" Type="http://schemas.openxmlformats.org/officeDocument/2006/relationships/hyperlink" Target="https://link.springer.com/chapter/10.1007/978-3-031-55885-6_9"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researchgate.net/publication/328628189_Measures_to_Mitigate_Cybersecurity_Risks_and_Vulnerabilities_in_Service-Oriented_Architecture" TargetMode="External"/><Relationship Id="rId12" Type="http://schemas.openxmlformats.org/officeDocument/2006/relationships/hyperlink" Target="https://www.researchgate.net/publication/362950817_Legal_Privacy_Social_and_Ethical_Requirements_and_Impact_Assessment_for_an_Artificial_Intelligence_Based_Medical_Imaging_Project"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link.springer.com/article/10.1007/s10207-025-00990-9" TargetMode="External"/><Relationship Id="rId11" Type="http://schemas.openxmlformats.org/officeDocument/2006/relationships/hyperlink" Target="https://journalofbigdata.springeropen.com/articles/10.1186/s40537-024-00957-y" TargetMode="External"/><Relationship Id="rId5" Type="http://schemas.openxmlformats.org/officeDocument/2006/relationships/endnotes" Target="endnotes.xml"/><Relationship Id="rId15" Type="http://schemas.openxmlformats.org/officeDocument/2006/relationships/hyperlink" Target="https://link.springer.com/article/10.1007/s42786-025-00056-3" TargetMode="External"/><Relationship Id="rId10" Type="http://schemas.openxmlformats.org/officeDocument/2006/relationships/hyperlink" Target="https://www.researchgate.net/publication/381999957_Legal_Compliance_and_Ethical_Standards_in_Cybersecurity_for_Human_Resources_Challenges_and_Strategies" TargetMode="External"/><Relationship Id="rId4" Type="http://schemas.openxmlformats.org/officeDocument/2006/relationships/footnotes" Target="footnotes.xml"/><Relationship Id="rId9" Type="http://schemas.openxmlformats.org/officeDocument/2006/relationships/hyperlink" Target="https://www.researchgate.net/publication/376719017_Challenges_and_Opportunities_for_Legal_Practice_and_the_Legal_Profession_in_the_Cyber_Age" TargetMode="External"/><Relationship Id="rId14" Type="http://schemas.openxmlformats.org/officeDocument/2006/relationships/hyperlink" Target="https://www.researchgate.net/publication/359763754_CYBERSECURITY_AND_ETHICAL_SOCIAL_AND_POLITICAL_CONSIDERATIONS_WHEN_CYBERSECURITY_FOR_ALL_IS_NOT_ON_THE_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15</Pages>
  <Words>3417</Words>
  <Characters>19483</Characters>
  <Application>Microsoft Office Word</Application>
  <DocSecurity>0</DocSecurity>
  <Lines>162</Lines>
  <Paragraphs>45</Paragraphs>
  <ScaleCrop>false</ScaleCrop>
  <Company/>
  <LinksUpToDate>false</LinksUpToDate>
  <CharactersWithSpaces>22855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46</cp:revision>
  <dcterms:created xsi:type="dcterms:W3CDTF">2025-10-13T17:18:00Z</dcterms:created>
  <dcterms:modified xsi:type="dcterms:W3CDTF">2025-10-13T17:39:00Z</dcterms:modified>
</cp:coreProperties>
</file>