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60"/>
      </w:pPr>
      <w:r>
        <w:rPr>
          <w:b/>
          <w:bCs/>
          <w:color w:val="1F3864"/>
          <w:sz w:val="30"/>
          <w:szCs w:val="30"/>
        </w:rPr>
        <w:t xml:space="preserve">SHIFT+G</w:t>
      </w:r>
    </w:p>
    <w:p>
      <w:pPr>
        <w:spacing w:after="240"/>
      </w:pPr>
      <w:r>
        <w:rPr>
          <w:color w:val="595959"/>
          <w:sz w:val="18"/>
          <w:szCs w:val="18"/>
        </w:rPr>
        <w:t xml:space="preserve">Software Factory + IA</w:t>
      </w:r>
    </w:p>
    <w:p>
      <w:pPr>
        <w:spacing w:after="60" w:before="200"/>
      </w:pPr>
      <w:r>
        <w:rPr>
          <w:b/>
          <w:bCs/>
          <w:color w:val="1F3864"/>
          <w:sz w:val="40"/>
          <w:szCs w:val="40"/>
        </w:rPr>
        <w:t xml:space="preserve">Análise Estratégica e de Viabilidade</w:t>
      </w:r>
    </w:p>
    <w:p>
      <w:pPr>
        <w:spacing w:after="60"/>
      </w:pPr>
      <w:r>
        <w:rPr>
          <w:color w:val="2E75B6"/>
          <w:sz w:val="28"/>
          <w:szCs w:val="28"/>
        </w:rPr>
        <w:t xml:space="preserve">Calculadora Jurídico-Tributária de Recuperação de Créditos</w:t>
      </w:r>
    </w:p>
    <w:p>
      <w:pPr>
        <w:pBdr>
          <w:bottom w:val="single" w:color="2E75B6" w:sz="8" w:space="6"/>
        </w:pBdr>
        <w:spacing w:after="40" w:before="120"/>
      </w:pPr>
      <w:r>
        <w:rPr>
          <w:color w:val="595959"/>
          <w:sz w:val="20"/>
          <w:szCs w:val="20"/>
        </w:rPr>
        <w:t xml:space="preserve">Parceria com escritório de advocacia  ·  Junho de 2026</w:t>
      </w:r>
    </w:p>
    <w:p>
      <w:pPr>
        <w:pStyle w:val="Heading1"/>
        <w:spacing w:after="140" w:before="280"/>
      </w:pPr>
      <w:r>
        <w:rPr>
          <w:color w:val="1F3864"/>
        </w:rPr>
        <w:t xml:space="preserve">1. Sumário executivo e recomendação</w:t>
      </w:r>
    </w:p>
    <w:p>
      <w:pPr>
        <w:spacing w:after="120" w:before="0" w:line="276"/>
      </w:pPr>
      <w:r>
        <w:t xml:space="preserve">A ideia é boa e o mercado é grande — mas não é novo. Já existem players ativos (Recuperatax, Sittax, Revizia, Recupera Simples, e-Auditoria). “Ter uma calculadora” não é diferencial. O ganho real está em três coisas: posicionamento jurídico defensável, experiência e enriquecimento automático via CNPJ, e um modelo de receita que não nos exponha a risco ético/regulatório.</w:t>
      </w:r>
    </w:p>
    <w:p>
      <w:pPr>
        <w:spacing w:after="120" w:line="276"/>
      </w:pPr>
      <w:r>
        <w:rPr>
          <w:b/>
          <w:bCs/>
        </w:rPr>
        <w:t xml:space="preserve">Recomendação de modelo (o que você pediu): </w:t>
      </w:r>
      <w:r>
        <w:t xml:space="preserve">NÃO fazer revenue-share sobre os créditos recuperados. </w:t>
      </w:r>
      <w:r>
        <w:t xml:space="preserve">Receber percentual de êxito caracteriza partilha de honorários com não-advogado — vedada pelo Estatuto da OAB — além de nos prender a um ciclo de caixa longo e incerto. </w:t>
      </w:r>
      <w:r>
        <w:rPr>
          <w:b/>
          <w:bCs/>
        </w:rPr>
        <w:t xml:space="preserve">Faça receita de tecnologia: setup (one-time) + SaaS mensal + variável por lead qualificado, com white-label como vetor de escala.</w:t>
      </w:r>
    </w:p>
    <w:p>
      <w:pPr>
        <w:spacing w:after="120" w:line="276"/>
      </w:pPr>
      <w:r>
        <w:rPr>
          <w:b/>
          <w:bCs/>
        </w:rPr>
        <w:t xml:space="preserve">Veredito: </w:t>
      </w:r>
      <w:r>
        <w:t xml:space="preserve">viável e atrativo, desde que o produto seja posicionado como </w:t>
      </w:r>
      <w:r>
        <w:rPr>
          <w:b/>
          <w:bCs/>
        </w:rPr>
        <w:t xml:space="preserve">estimador educativo de potencial (faixas), nunca como promessa de valor exato ou de resultado</w:t>
      </w:r>
      <w:r>
        <w:t xml:space="preserve">. Esse posicionamento resolve, de uma só vez, o risco jurídico do cálculo e o risco do Provimento 205/2021 da OAB.</w:t>
      </w:r>
    </w:p>
    <w:p>
      <w:pPr>
        <w:pStyle w:val="Heading1"/>
        <w:spacing w:after="140" w:before="280"/>
      </w:pPr>
      <w:r>
        <w:rPr>
          <w:color w:val="1F3864"/>
        </w:rPr>
        <w:t xml:space="preserve">2. A oportunidade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Dor real: </w:t>
      </w:r>
      <w:r>
        <w:t xml:space="preserve">recuperação tributária é uma das maiores fontes de caixa imediato para empresas no Lucro Real (e parte do Presumido). A dor é concreta e o ticket de honorários é alto.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Janela 2026–2027: </w:t>
      </w:r>
      <w:r>
        <w:t xml:space="preserve">a reforma tributária (LC 214/2025) torna 2026 o ano crítico. 2026 é fase de teste (CBS a 0,9% e IBS a 0,1%, simbólicos), com PIS, COFINS, ICMS e ISS ainda plenamente exigíveis. Em 2027 a CBS substitui PIS/COFINS. A extinção não cancela créditos de períodos anteriores, mas o prazo prescricional de 5 anos continua correndo.</w:t>
      </w:r>
    </w:p>
    <w:p>
      <w:pPr>
        <w:spacing w:after="120" w:line="276"/>
      </w:pPr>
      <w:r>
        <w:rPr>
          <w:b/>
          <w:bCs/>
        </w:rPr>
        <w:t xml:space="preserve">Consequência comercial: </w:t>
      </w:r>
      <w:r>
        <w:t xml:space="preserve">há um gatilho de urgência real — “o relógio dos 5 anos não para e as teses de PIS/COFINS migram para a CBS”. É um argumento de venda forte, desde que comunicado de forma informativa (não como promessa).</w:t>
      </w:r>
    </w:p>
    <w:p>
      <w:pPr>
        <w:pStyle w:val="Heading1"/>
        <w:spacing w:after="140" w:before="280"/>
      </w:pPr>
      <w:r>
        <w:rPr>
          <w:color w:val="1F3864"/>
        </w:rPr>
        <w:t xml:space="preserve">3. Viabilidade jurídica — defensabilidade das teses</w:t>
      </w:r>
    </w:p>
    <w:p>
      <w:pPr>
        <w:spacing w:after="120" w:line="276"/>
      </w:pPr>
      <w:r>
        <w:rPr>
          <w:b/>
          <w:bCs/>
        </w:rPr>
        <w:t xml:space="preserve">Filtro mestre: </w:t>
      </w:r>
      <w:r>
        <w:t xml:space="preserve">as teses de PIS/COFINS só valem para o regime não cumulativo (essencialmente Lucro Real). Simples Nacional e Lucro Presumido, em regra, não geram esses créditos. As teses de folha (INSS/terceiros) dependem da composição da folha, não do simples número de colaboradores. A calculadora precisa filtrar por regime logo na entrada.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0"/>
        <w:gridCol w:w="1900"/>
        <w:gridCol w:w="1750"/>
        <w:gridCol w:w="2826"/>
      </w:tblGrid>
      <w:tr>
        <w:trPr>
          <w:tblHeader/>
        </w:trPr>
        <w:tc>
          <w:tcPr>
            <w:tcW w:type="dxa" w:w="2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Tese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 (jun/2026)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Defensabilidade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 quem se aplica</w:t>
            </w:r>
          </w:p>
        </w:tc>
      </w:tr>
      <w:tr>
        <w:tc>
          <w:tcPr>
            <w:tcW w:type="dxa" w:w="2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Exclusão do ICMS da base do PIS/COFINS — “tese do século” (Tema 69/STF)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Julgada (2017), modulada (2021)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0B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ALTA</w:t>
            </w:r>
            <w:r>
              <w:rPr>
                <w:sz w:val="19"/>
                <w:szCs w:val="19"/>
              </w:rPr>
              <w:br/>
              <w:t xml:space="preserve">tese consolidada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Lucro Real (não cumulativo)</w:t>
            </w:r>
          </w:p>
        </w:tc>
      </w:tr>
      <w:tr>
        <w:tc>
          <w:tcPr>
            <w:tcW w:type="dxa" w:w="2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Exclusão do ISS da base do PIS/COFINS (Tema 118/STF)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69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Pendente no STF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69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MÉDIA</w:t>
            </w:r>
            <w:r>
              <w:rPr>
                <w:sz w:val="19"/>
                <w:szCs w:val="19"/>
              </w:rPr>
              <w:br/>
              <w:t xml:space="preserve">ajuizar p/ garantir 5 anos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Prestadores de serviço (Lucro Real)</w:t>
            </w:r>
          </w:p>
        </w:tc>
      </w:tr>
      <w:tr>
        <w:tc>
          <w:tcPr>
            <w:tcW w:type="dxa" w:w="2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PIS/COFINS sobre a própria base (Tema 1067/STF)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69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Pendente no STF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69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MÉDIA</w:t>
            </w:r>
            <w:r>
              <w:rPr>
                <w:sz w:val="19"/>
                <w:szCs w:val="19"/>
              </w:rPr>
              <w:br/>
              <w:t xml:space="preserve">preventiva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Regime não cumulativo</w:t>
            </w:r>
          </w:p>
        </w:tc>
      </w:tr>
      <w:tr>
        <w:tc>
          <w:tcPr>
            <w:tcW w:type="dxa" w:w="2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Créditos presumidos de ICMS (Tema 843/STF)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69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Pendente no STF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69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MÉDIA</w:t>
            </w:r>
            <w:r>
              <w:rPr>
                <w:sz w:val="19"/>
                <w:szCs w:val="19"/>
              </w:rPr>
              <w:br/>
              <w:t xml:space="preserve">alcance amplo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Amplo (Lucro Real)</w:t>
            </w:r>
          </w:p>
        </w:tc>
      </w:tr>
      <w:tr>
        <w:tc>
          <w:tcPr>
            <w:tcW w:type="dxa" w:w="2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Limite de 20 salários mínimos — contribuições de terceiros / Sistema S (Tema 1079/STJ)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B6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Julgada CONTRA o contribuinte (2024)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B6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MORTA</w:t>
            </w:r>
            <w:r>
              <w:rPr>
                <w:sz w:val="19"/>
                <w:szCs w:val="19"/>
              </w:rPr>
              <w:br/>
              <w:t xml:space="preserve">NÃO ofertar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Apenas quem ajuizou antes do julgamento</w:t>
            </w:r>
          </w:p>
        </w:tc>
      </w:tr>
      <w:tr>
        <w:tc>
          <w:tcPr>
            <w:tcW w:type="dxa" w:w="2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INSS sobre verbas (aviso prévio indenizado e afins; terço de férias é tributado)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69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Parcial / seletiva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69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MÉDIA</w:t>
            </w:r>
            <w:r>
              <w:rPr>
                <w:sz w:val="19"/>
                <w:szCs w:val="19"/>
              </w:rPr>
              <w:br/>
              <w:t xml:space="preserve">verba a verba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Folha de pagamento</w:t>
            </w:r>
          </w:p>
        </w:tc>
      </w:tr>
    </w:tbl>
    <w:p>
      <w:pPr>
        <w:spacing w:after="120" w:before="120"/>
      </w:pPr>
      <w:r>
        <w:rPr>
          <w:i/>
          <w:iCs/>
          <w:color w:val="595959"/>
        </w:rPr>
        <w:t xml:space="preserve">Regra de ouro: a calculadora só deve trazer teses defensáveis, sinalizando o status de cada uma. Ofertar tese já perdida (ex.: limite de 20 salários mínimos) destrói credibilidade e expõe o escritório.</w:t>
      </w:r>
    </w:p>
    <w:p>
      <w:pPr>
        <w:pStyle w:val="Heading1"/>
        <w:spacing w:after="140" w:before="280"/>
      </w:pPr>
      <w:r>
        <w:rPr>
          <w:color w:val="1F3864"/>
        </w:rPr>
        <w:t xml:space="preserve">4. Viabilidade técnica — o que o produto realmente entrega</w:t>
      </w:r>
    </w:p>
    <w:p>
      <w:pPr>
        <w:spacing w:after="120" w:line="276"/>
      </w:pPr>
      <w:r>
        <w:t xml:space="preserve">Os três inputs (CNPJ, faturamento, nº de colaboradores) não bastam para um número exato — bastam para um </w:t>
      </w:r>
      <w:r>
        <w:rPr>
          <w:b/>
          <w:bCs/>
        </w:rPr>
        <w:t xml:space="preserve">estimador de faixa</w:t>
      </w:r>
      <w:r>
        <w:t xml:space="preserve">. E é exatamente isso que queremos no topo do funil.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CNPJ → </w:t>
      </w:r>
      <w:r>
        <w:t xml:space="preserve">enriquecimento automático via dados públicos (regime/Simples, CNAE, porte, situação cadastral). Define elegibilidade na hora.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Faturamento → </w:t>
      </w:r>
      <w:r>
        <w:t xml:space="preserve">base para estimar as teses de PIS/COFINS (faixa).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Nº de colaboradores → </w:t>
      </w:r>
      <w:r>
        <w:t xml:space="preserve">proxy da folha para estimar teses previdenciárias (faixa).</w:t>
      </w:r>
    </w:p>
    <w:p>
      <w:pPr>
        <w:spacing w:after="120" w:line="276"/>
      </w:pPr>
      <w:r>
        <w:rPr>
          <w:b/>
          <w:bCs/>
        </w:rPr>
        <w:t xml:space="preserve">Saída: </w:t>
      </w:r>
      <w:r>
        <w:t xml:space="preserve">faixa estimada de potencial + quais teses provavelmente se aplicam + chamada para um diagnóstico real (com SPED/EFD). O cálculo exato fica para a fase paga, com dados fiscais. Isso protege juridicamente e cria o funil: </w:t>
      </w:r>
      <w:r>
        <w:rPr>
          <w:b/>
          <w:bCs/>
        </w:rPr>
        <w:t xml:space="preserve">estimador grátis (lead) → diagnóstico pago → ação judicial.</w:t>
      </w:r>
    </w:p>
    <w:p>
      <w:pPr>
        <w:spacing w:after="120" w:line="276"/>
      </w:pPr>
      <w:r>
        <w:rPr>
          <w:b/>
          <w:bCs/>
        </w:rPr>
        <w:t xml:space="preserve">Arquitetura sugerida: </w:t>
      </w:r>
      <w:r>
        <w:t xml:space="preserve">front da calculadora + API de enriquecimento de CNPJ + motor de regras de teses (versionado, porque muda com a jurisprudência) + camada de IA para explicar o resultado em linguagem simples + captura de lead/CRM. Tudo empacotado como white-label — alinhado ao DNA de software factory + IA do Shift+G.</w:t>
      </w:r>
    </w:p>
    <w:p>
      <w:pPr>
        <w:pStyle w:val="Heading1"/>
        <w:spacing w:after="140" w:before="280"/>
      </w:pPr>
      <w:r>
        <w:rPr>
          <w:color w:val="1F3864"/>
        </w:rPr>
        <w:t xml:space="preserve">5. Riscos críticos e mitigação</w:t>
      </w:r>
    </w:p>
    <w:p>
      <w:pPr>
        <w:pStyle w:val="Heading2"/>
        <w:spacing w:after="100" w:before="200"/>
      </w:pPr>
      <w:r>
        <w:rPr>
          <w:color w:val="2E75B6"/>
        </w:rPr>
        <w:t xml:space="preserve">5.1 Provimento 205/2021 da OAB (publicidade)</w:t>
      </w:r>
    </w:p>
    <w:p>
      <w:pPr>
        <w:spacing w:after="120" w:before="0" w:line="276"/>
      </w:pPr>
      <w:r>
        <w:t xml:space="preserve">É proibido prometer resultado, garantir êxito, captar clientela ativamente e mercantilizar o serviço. Uma calculadora que afirma “você vai recuperar R$ X” tangencia promessa de resultado e captação. Mitigação: linguagem educativa, faixas com disclaimers explícitos (“estimativa, não promessa”), sem citar valores de honorários, mantendo o tom informativo — não de oferta.</w:t>
      </w:r>
    </w:p>
    <w:p>
      <w:pPr>
        <w:pStyle w:val="Heading2"/>
        <w:spacing w:after="100" w:before="200"/>
      </w:pPr>
      <w:r>
        <w:rPr>
          <w:color w:val="2E75B6"/>
        </w:rPr>
        <w:t xml:space="preserve">5.2 Vedação de partilha de honorários com não-advogado</w:t>
      </w:r>
    </w:p>
    <w:p>
      <w:pPr>
        <w:spacing w:after="120" w:before="0" w:line="276"/>
      </w:pPr>
      <w:r>
        <w:t xml:space="preserve">O Estatuto da OAB veda dividir honorários com quem não é advogado. Por isso o Shift+G não pode receber percentual dos créditos/êxito. A receita deve ser de tecnologia (licença/SaaS/lead). É aqui que a maioria das parcerias tropeça — e o que torna o nosso modelo recomendado o caminho seguro.</w:t>
      </w:r>
    </w:p>
    <w:p>
      <w:pPr>
        <w:pStyle w:val="Heading2"/>
        <w:spacing w:after="100" w:before="200"/>
      </w:pPr>
      <w:r>
        <w:rPr>
          <w:color w:val="2E75B6"/>
        </w:rPr>
        <w:t xml:space="preserve">5.3 Concorrência</w:t>
      </w:r>
    </w:p>
    <w:p>
      <w:pPr>
        <w:spacing w:after="120" w:before="0" w:line="276"/>
      </w:pPr>
      <w:r>
        <w:t xml:space="preserve">Recuperatax (calculadora gratuita, +1.000 clientes e R$ 257 mi recuperados segundo a própria empresa), Sittax Recupera, Revizia (6 teses), Recupera Simples (AItax) e e-Auditoria já operam. Não somos pioneiros. A diferenciação tem de vir de UX superior, enriquecimento automático por CNPJ, IA explicativa e a marca do próprio escritório (white-label).</w:t>
      </w:r>
    </w:p>
    <w:p>
      <w:pPr>
        <w:pStyle w:val="Heading2"/>
        <w:spacing w:after="100" w:before="200"/>
      </w:pPr>
      <w:r>
        <w:rPr>
          <w:color w:val="2E75B6"/>
        </w:rPr>
        <w:t xml:space="preserve">5.4 Responsabilidade pela estimativa</w:t>
      </w:r>
    </w:p>
    <w:p>
      <w:pPr>
        <w:spacing w:after="120" w:before="0" w:line="276"/>
      </w:pPr>
      <w:r>
        <w:t xml:space="preserve">Erro de faixa gera frustração e reclamação. Mitigar com termos de uso, disclaimers e validação humana do escritório antes de qualquer ação.</w:t>
      </w:r>
    </w:p>
    <w:p>
      <w:pPr>
        <w:pStyle w:val="Heading1"/>
        <w:spacing w:after="140" w:before="280"/>
      </w:pPr>
      <w:r>
        <w:rPr>
          <w:color w:val="1F3864"/>
        </w:rPr>
        <w:t xml:space="preserve">6. Modelo de negócio recomendado</w:t>
      </w:r>
    </w:p>
    <w:p>
      <w:pPr>
        <w:spacing w:after="120" w:before="0" w:line="276"/>
      </w:pPr>
      <w:r>
        <w:t xml:space="preserve">Modelo híbrido em três camadas, com white-label como motor de escala: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900"/>
        <w:gridCol w:w="1900"/>
        <w:gridCol w:w="1926"/>
      </w:tblGrid>
      <w:tr>
        <w:trPr>
          <w:tblHeader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é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Faixa sugerida*</w:t>
            </w:r>
          </w:p>
        </w:tc>
        <w:tc>
          <w:tcPr>
            <w:tcW w:type="dxa" w:w="1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Por quê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Setup / desenvolvimento (one-time)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Build da calculadora white-label + motor de teses + enriquecimento por CNPJ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R$ 25k – 60k</w:t>
            </w:r>
          </w:p>
        </w:tc>
        <w:tc>
          <w:tcPr>
            <w:tcW w:type="dxa" w:w="1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Cobre o desenvolvimento e compromete o cliente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SaaS mensal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Licença + manutenção + hosting + IA + atualização das teses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R$ 1,5k – 5k/mês</w:t>
            </w:r>
          </w:p>
        </w:tc>
        <w:tc>
          <w:tcPr>
            <w:tcW w:type="dxa" w:w="1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Receita recorrente e previsível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Variável por lead qualificado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Taxa por diagnóstico/lead gerado (métrica técnica, não honorário)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R$ 30 – 150/lead</w:t>
            </w:r>
          </w:p>
        </w:tc>
        <w:tc>
          <w:tcPr>
            <w:tcW w:type="dxa" w:w="1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Alinha incentivo sem tocar em honorários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White-label (escala)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Licenciar a mesma engine a outros escritórios e contabilidades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Recorrência multiplicada</w:t>
            </w:r>
          </w:p>
        </w:tc>
        <w:tc>
          <w:tcPr>
            <w:tcW w:type="dxa" w:w="1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O verdadeiro upside do Shift+G</w:t>
            </w:r>
          </w:p>
        </w:tc>
      </w:tr>
    </w:tbl>
    <w:p>
      <w:pPr>
        <w:spacing w:after="120" w:before="100"/>
      </w:pPr>
      <w:r>
        <w:rPr>
          <w:i/>
          <w:iCs/>
          <w:color w:val="595959"/>
          <w:sz w:val="18"/>
          <w:szCs w:val="18"/>
        </w:rPr>
        <w:t xml:space="preserve">*Faixas são referências de mercado a validar — não vinculam.</w:t>
      </w:r>
    </w:p>
    <w:p>
      <w:pPr>
        <w:spacing w:after="120" w:line="276"/>
      </w:pPr>
      <w:r>
        <w:rPr>
          <w:b/>
          <w:bCs/>
        </w:rPr>
        <w:t xml:space="preserve">Por que não revenue-share sobre créditos: </w:t>
      </w:r>
      <w:r>
        <w:t xml:space="preserve">(1) risco ético de partilha de honorários com não-advogado; (2) ciclo de caixa longo e incerto — o êxito pode levar anos; (3) nos transforma em sócios do risco jurídico do escritório. Receita de tecnologia é mais limpa, escalável e vendável a N clientes.</w:t>
      </w:r>
    </w:p>
    <w:p>
      <w:pPr>
        <w:pStyle w:val="Heading1"/>
        <w:spacing w:after="140" w:before="280"/>
      </w:pPr>
      <w:r>
        <w:rPr>
          <w:color w:val="1F3864"/>
        </w:rPr>
        <w:t xml:space="preserve">7. Plano de fases e próximos passos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Fase 0 (1–2 sem): </w:t>
      </w:r>
      <w:r>
        <w:t xml:space="preserve">discovery + definição das teses e dos disclaimers junto ao jurídico do escritório.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Fase 1 — MVP (4–6 sem): </w:t>
      </w:r>
      <w:r>
        <w:t xml:space="preserve">calculadora estimadora (3 inputs + enriquecimento por CNPJ), 2–3 teses defensáveis, captura de lead, white-label básico. Demonstrável ao cliente.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Fase 2 (6–10 sem): </w:t>
      </w:r>
      <w:r>
        <w:t xml:space="preserve">motor de teses versionado, IA explicativa, diagnóstico pago com upload de SPED, painel do escritório.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Fase 3: </w:t>
      </w:r>
      <w:r>
        <w:t xml:space="preserve">empacotar como produto white-label e vender a outros escritórios e contabilidades — escala do Shift+G.</w:t>
      </w:r>
    </w:p>
    <w:p>
      <w:pPr>
        <w:spacing w:after="120" w:line="276"/>
      </w:pPr>
      <w:r>
        <w:rPr>
          <w:b/>
          <w:bCs/>
        </w:rPr>
        <w:t xml:space="preserve">Para fechar: </w:t>
      </w:r>
      <w:r>
        <w:t xml:space="preserve">workshop de 1h com sócio + jurídico para travar teses e modelo; apresentar a proposta comercial com as três camadas; fechar Fase 0 + Fase 1 como porta de entrada, deixando o white-label contratado como opção de expansão.</w:t>
      </w:r>
    </w:p>
    <w:p>
      <w:pPr>
        <w:pStyle w:val="Heading1"/>
        <w:spacing w:after="140" w:before="280"/>
      </w:pPr>
      <w:r>
        <w:rPr>
          <w:color w:val="1F3864"/>
        </w:rPr>
        <w:t xml:space="preserve">8. Aviso</w:t>
      </w:r>
    </w:p>
    <w:p>
      <w:pPr>
        <w:spacing w:after="120"/>
      </w:pPr>
      <w:r>
        <w:rPr>
          <w:i/>
          <w:iCs/>
          <w:color w:val="595959"/>
        </w:rPr>
        <w:t xml:space="preserve">Este documento é uma análise estratégica e de produto. Não constitui parecer jurídico nem consultoria tributária. O enquadramento das teses, as regras de publicidade e o modelo de honorários devem ser validados pelo jurídico do escritório e por especialista tributário antes da execução.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Análise Estratégica — Calculadora Jurídico-Tributária  ·  </w:t>
    </w: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0"/>
      <w:jc w:val="right"/>
    </w:pPr>
    <w:r>
      <w:rPr>
        <w:color w:val="595959"/>
        <w:sz w:val="16"/>
        <w:szCs w:val="16"/>
      </w:rPr>
      <w:t xml:space="preserve">Shift+G  |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2026-06-23T15:43:22.644Z</dcterms:created>
  <dcterms:modified xsi:type="dcterms:W3CDTF">2026-06-23T15:43:22.644Z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