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16243F"/>
          <w:sz w:val="56"/>
          <w:szCs w:val="56"/>
        </w:rPr>
        <w:t xml:space="preserve">SHIFT+G</w:t>
      </w:r>
      <w:r>
        <w:rPr>
          <w:b/>
          <w:bCs/>
          <w:color w:val="0E8C7F"/>
          <w:sz w:val="56"/>
          <w:szCs w:val="56"/>
        </w:rPr>
        <w:t xml:space="preserve"> CORE</w:t>
      </w:r>
    </w:p>
    <w:p>
      <w:pPr>
        <w:pBdr>
          <w:bottom w:val="single" w:color="0E8C7F" w:sz="18" w:space="6"/>
        </w:pBdr>
        <w:spacing w:after="40"/>
      </w:pPr>
      <w:r>
        <w:rPr>
          <w:color w:val="1F4E79"/>
          <w:sz w:val="36"/>
          <w:szCs w:val="36"/>
        </w:rPr>
        <w:t xml:space="preserve">Departamento de TI as a Service</w:t>
      </w:r>
    </w:p>
    <w:p>
      <w:pPr>
        <w:spacing w:after="0" w:before="360"/>
      </w:pPr>
      <w:r>
        <w:rPr>
          <w:b/>
          <w:bCs/>
          <w:color w:val="333333"/>
          <w:sz w:val="28"/>
          <w:szCs w:val="28"/>
        </w:rPr>
        <w:t xml:space="preserve">Plano de Negócio — Novo Ramo de Atividade</w:t>
      </w:r>
    </w:p>
    <w:p>
      <w:pPr>
        <w:spacing w:before="60"/>
      </w:pPr>
      <w:r>
        <w:rPr>
          <w:color w:val="555555"/>
          <w:sz w:val="22"/>
          <w:szCs w:val="22"/>
        </w:rPr>
        <w:t xml:space="preserve">Mercado-alvo: empresas de médio porte (mid-market) em crescimento</w:t>
      </w:r>
    </w:p>
    <w:p>
      <w:pPr>
        <w:spacing w:before="20"/>
      </w:pPr>
      <w:r>
        <w:rPr>
          <w:color w:val="555555"/>
          <w:sz w:val="22"/>
          <w:szCs w:val="22"/>
        </w:rPr>
        <w:t xml:space="preserve">Diferencial central: TI sob medida + fábrica de software embutida</w:t>
      </w:r>
    </w:p>
    <w:p>
      <w:pPr>
        <w:spacing w:before="1400"/>
      </w:pPr>
      <w:r>
        <w:rPr>
          <w:i/>
          <w:iCs/>
          <w:color w:val="888888"/>
          <w:sz w:val="20"/>
          <w:szCs w:val="20"/>
        </w:rPr>
        <w:t xml:space="preserve">Documento estratégico confidencial · Junho de 2026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Sumário Executivo</w:t>
      </w:r>
    </w:p>
    <w:p>
      <w:pPr>
        <w:spacing w:after="120" w:line="276"/>
      </w:pPr>
      <w:r>
        <w:t xml:space="preserve">A Shift+G é hoje uma fábrica de software com IA aplicada e dois produtos consolidados — </w:t>
      </w:r>
      <w:r>
        <w:rPr>
          <w:b/>
          <w:bCs/>
        </w:rPr>
        <w:t xml:space="preserve">ADERIS</w:t>
      </w:r>
      <w:r>
        <w:t xml:space="preserve"> (gestão contínua de LGPD para DPOs) e </w:t>
      </w:r>
      <w:r>
        <w:rPr>
          <w:b/>
          <w:bCs/>
        </w:rPr>
        <w:t xml:space="preserve">NearOne</w:t>
      </w:r>
      <w:r>
        <w:t xml:space="preserve"> (gestão de risco psicossocial / NR-1). Este plano propõe um terceiro motor de receita: </w:t>
      </w:r>
      <w:r>
        <w:rPr>
          <w:b/>
          <w:bCs/>
        </w:rPr>
        <w:t xml:space="preserve">Shift+G CORE — o Departamento de TI as a Service.</w:t>
      </w:r>
    </w:p>
    <w:p>
      <w:pPr>
        <w:spacing w:after="120" w:line="276"/>
      </w:pPr>
      <w:r>
        <w:t xml:space="preserve">O CORE entrega para empresas de médio porte um departamento de TI completo, terceirizado e gerenciado, </w:t>
      </w:r>
      <w:r>
        <w:rPr>
          <w:b/>
          <w:bCs/>
        </w:rPr>
        <w:t xml:space="preserve">com um diferencial que nenhum MSP tradicional oferece: uma fábrica de software embutida.</w:t>
      </w:r>
      <w:r>
        <w:t xml:space="preserve"> Não vendemos só help desk e infraestrutura — entregamos automação, agentes de IA, integrações e desenvolvimento sob medida dentro do mesmo contrato recorrente. É TI que sustenta </w:t>
      </w:r>
      <w:r>
        <w:rPr>
          <w:i/>
          <w:iCs/>
        </w:rPr>
        <w:t xml:space="preserve">e</w:t>
      </w:r>
      <w:r>
        <w:t xml:space="preserve"> evolui o negócio do cliente.</w:t>
      </w:r>
    </w:p>
    <w:p>
      <w:pPr>
        <w:pStyle w:val="Heading3"/>
      </w:pPr>
      <w:r>
        <w:t xml:space="preserve">Por que agora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 investimento corporativo em TI no Brasil prioriza explicitamente terceirização, serviços gerenciados e nuvem em 2026.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Receita recorrente (MRR) previsível, contratos longos e baixa rotatividade — alta estabilidade de caixa.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Porta de entrada perfeita para </w:t>
      </w:r>
      <w:r>
        <w:rPr>
          <w:b/>
          <w:bCs/>
        </w:rPr>
        <w:t xml:space="preserve">cross-sell de ADERIS e NearOne</w:t>
      </w:r>
      <w:r>
        <w:t xml:space="preserve"> dentro da mesma conta.</w:t>
      </w:r>
    </w:p>
    <w:p>
      <w:pPr>
        <w:pStyle w:val="Heading3"/>
      </w:pPr>
      <w:r>
        <w:t xml:space="preserve">Os números do plano (resumo)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13"/>
        <w:gridCol w:w="2913"/>
      </w:tblGrid>
      <w:tr>
        <w:trPr>
          <w:tblHeader/>
        </w:trP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2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Ticket médio (ARPA)</w:t>
            </w:r>
          </w:p>
        </w:tc>
        <w:tc>
          <w:tcPr>
            <w:tcW w:type="dxa" w:w="2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R$ 21.600/mês</w:t>
            </w:r>
          </w:p>
        </w:tc>
        <w:tc>
          <w:tcPr>
            <w:tcW w:type="dxa" w:w="2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Cliente médio de 100 postos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Contrato anual (ACV)</w:t>
            </w:r>
          </w:p>
        </w:tc>
        <w:tc>
          <w:tcPr>
            <w:tcW w:type="dxa" w:w="2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R$ 259.200</w:t>
            </w:r>
          </w:p>
        </w:tc>
        <w:tc>
          <w:tcPr>
            <w:tcW w:type="dxa" w:w="2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Receita por conta/ano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Break-even operacional</w:t>
            </w:r>
          </w:p>
        </w:tc>
        <w:tc>
          <w:tcPr>
            <w:tcW w:type="dxa" w:w="2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Mês 9</w:t>
            </w:r>
          </w:p>
        </w:tc>
        <w:tc>
          <w:tcPr>
            <w:tcW w:type="dxa" w:w="2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~14 clientes / 1.400 postos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Investimento inicial</w:t>
            </w:r>
          </w:p>
        </w:tc>
        <w:tc>
          <w:tcPr>
            <w:tcW w:type="dxa" w:w="2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~R$ 530 mil</w:t>
            </w:r>
          </w:p>
        </w:tc>
        <w:tc>
          <w:tcPr>
            <w:tcW w:type="dxa" w:w="2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Cobre o caixa até o break-even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ARR ano 1 / 2 / 3</w:t>
            </w:r>
          </w:p>
        </w:tc>
        <w:tc>
          <w:tcPr>
            <w:tcW w:type="dxa" w:w="2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R$ 5,4M / 11,4M / 16,6M</w:t>
            </w:r>
          </w:p>
        </w:tc>
        <w:tc>
          <w:tcPr>
            <w:tcW w:type="dxa" w:w="2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Receita recorrente anualizada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LTV / CAC</w:t>
            </w:r>
          </w:p>
        </w:tc>
        <w:tc>
          <w:tcPr>
            <w:tcW w:type="dxa" w:w="2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8,4x</w:t>
            </w:r>
          </w:p>
        </w:tc>
        <w:tc>
          <w:tcPr>
            <w:tcW w:type="dxa" w:w="2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Payback de CAC em ~8 meses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Margem bruta (maturidade)</w:t>
            </w:r>
          </w:p>
        </w:tc>
        <w:tc>
          <w:tcPr>
            <w:tcW w:type="dxa" w:w="2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30–35%+</w:t>
            </w:r>
          </w:p>
        </w:tc>
        <w:tc>
          <w:tcPr>
            <w:tcW w:type="dxa" w:w="2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Expansível via automação/IA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Recomendação: </w:t>
      </w:r>
      <w:r>
        <w:t xml:space="preserve">aprovar a estruturação do Shift+G CORE como terceira linha de negócio, com lançamento comercial em até 90 dias a partir de um portfólio piloto de 2 a 3 clientes-âncora.</w:t>
      </w:r>
    </w:p>
    <w:p>
      <w:r>
        <w:br w:type="page"/>
      </w:r>
    </w:p>
    <w:p>
      <w:pPr>
        <w:pStyle w:val="Heading1"/>
      </w:pPr>
      <w:r>
        <w:t xml:space="preserve">2. A Oportunidade de Mercado</w:t>
      </w:r>
    </w:p>
    <w:p>
      <w:pPr>
        <w:spacing w:after="120" w:line="276"/>
      </w:pPr>
      <w:r>
        <w:t xml:space="preserve">O mercado brasileiro de TI consolidou cerca de </w:t>
      </w:r>
      <w:r>
        <w:rPr>
          <w:b/>
          <w:bCs/>
        </w:rPr>
        <w:t xml:space="preserve">US$ 67,8 bilhões</w:t>
      </w:r>
      <w:r>
        <w:t xml:space="preserve"> em investimentos em 2025, com projeção de crescimento de 5,3% para 2026. Mais importante que o tamanho é a </w:t>
      </w:r>
      <w:r>
        <w:rPr>
          <w:b/>
          <w:bCs/>
        </w:rPr>
        <w:t xml:space="preserve">direção do gasto</w:t>
      </w:r>
      <w:r>
        <w:t xml:space="preserve">: o investimento corporativo em 2026 tem prioridades declaradas em terceirização (outsourcing), serviços gerenciados e nuvem — exatamente o terreno do Shift+G CORE.</w:t>
      </w:r>
    </w:p>
    <w:p>
      <w:pPr>
        <w:spacing w:after="120" w:line="276"/>
      </w:pPr>
      <w:r>
        <w:t xml:space="preserve">Globalmente, o mercado de serviços gerenciados de TI é estimado em torno de </w:t>
      </w:r>
      <w:r>
        <w:rPr>
          <w:b/>
          <w:bCs/>
        </w:rPr>
        <w:t xml:space="preserve">US$ 363 bilhões em 2026</w:t>
      </w:r>
      <w:r>
        <w:t xml:space="preserve">, crescendo a um CAGR de ~8% — sinal de que o modelo de TI terceirizada e recorrente é uma tendência estrutural, não um modismo.</w:t>
      </w:r>
    </w:p>
    <w:p>
      <w:pPr>
        <w:pStyle w:val="Heading3"/>
      </w:pPr>
      <w:r>
        <w:t xml:space="preserve">A dor do mid-market</w:t>
      </w:r>
    </w:p>
    <w:p>
      <w:pPr>
        <w:spacing w:after="120" w:line="276"/>
      </w:pPr>
      <w:r>
        <w:t xml:space="preserve">As empresas de médio porte (faturamento entre R$ 4,8 milhões e R$ 300 milhões; tipicamente 50 a 500 colaboradores) vivem um paradoxo: cresceram além do que uma TI improvisada suporta, mas ainda não têm escala para montar um departamento de TI sênior e completo. O resultado: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Dependência de um ou dois “herois” internos que viram gargalo e risco de continuidade.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Custo alto e disperso: salários, encargos, turnover, ferramentas e licenças sem governança.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Segurança e compliance (LGPD, NR-1) tratados de forma reativa.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TI presa em “apagar incêndio” — sem capacidade de automatizar e evoluir processos.</w:t>
      </w:r>
    </w:p>
    <w:p>
      <w:pPr>
        <w:spacing w:after="120" w:line="276"/>
      </w:pPr>
      <w:r>
        <w:t xml:space="preserve">É exatamente esse cliente que o CORE resolve — e onde a fábrica de software da Shift+G vira </w:t>
      </w:r>
      <w:r>
        <w:rPr>
          <w:b/>
          <w:bCs/>
        </w:rPr>
        <w:t xml:space="preserve">vantagem desleal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3. O Serviço: Shift+G CORE</w:t>
      </w:r>
    </w:p>
    <w:p>
      <w:pPr>
        <w:spacing w:after="120" w:line="276"/>
      </w:pPr>
      <w:r>
        <w:rPr>
          <w:i/>
          <w:iCs/>
        </w:rPr>
        <w:t xml:space="preserve">Nome de trabalho: </w:t>
      </w:r>
      <w:r>
        <w:rPr>
          <w:b/>
          <w:bCs/>
        </w:rPr>
        <w:t xml:space="preserve">Shift+G CORE</w:t>
      </w:r>
      <w:r>
        <w:t xml:space="preserve"> (alternativas a validar: Núcleo, Shift+G TI360, Departamento.G). O CORE é o departamento de TI da empresa cliente — operado pela Shift+G, com SLA, governança e um roadmap de evolução tecnológica.</w:t>
      </w:r>
    </w:p>
    <w:p>
      <w:pPr>
        <w:pStyle w:val="Heading2"/>
      </w:pPr>
      <w:r>
        <w:t xml:space="preserve">3.1 O diferencial: não é MSP, é fábrica de software gerenciada</w:t>
      </w:r>
    </w:p>
    <w:p>
      <w:pPr>
        <w:spacing w:after="120" w:line="276"/>
      </w:pPr>
      <w:r>
        <w:t xml:space="preserve">O MSP tradicional vende sustentação: help desk, monitoramento, infra, backup. Importante — mas comoditizado. O Shift+G CORE entrega sustentação no mesmo nível e adiciona três camadas que o MSP genérico não consegue: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66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entrega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Sustentação</w:t>
            </w:r>
          </w:p>
        </w:tc>
        <w:tc>
          <w:tcPr>
            <w:tcW w:type="dxa" w:w="66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Help desk, monitoramento proativo, gestão de infra/cloud, segurança, backup, gestão de fornecedores e licenças. A base que todo MSP cobre.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Evolução (fábrica)</w:t>
            </w:r>
          </w:p>
        </w:tc>
        <w:tc>
          <w:tcPr>
            <w:tcW w:type="dxa" w:w="66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Desenvolvimento sob medida, automações, integrações entre sistemas, apps internos. A TI deixa de só “manter” e passa a construir alavancas de produtividade.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Inteligência (IA)</w:t>
            </w:r>
          </w:p>
        </w:tc>
        <w:tc>
          <w:tcPr>
            <w:tcW w:type="dxa" w:w="66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Agentes de IA, automação de processos e analytics — o DNA da Shift+G aplicado à operação do cliente para reduzir custo e acelerar decisões.</w:t>
            </w:r>
          </w:p>
        </w:tc>
      </w:tr>
      <w:tr>
        <w:tc>
          <w:tcPr>
            <w:tcW w:type="dxa" w:w="24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Compliance</w:t>
            </w:r>
          </w:p>
        </w:tc>
        <w:tc>
          <w:tcPr>
            <w:tcW w:type="dxa" w:w="66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LGPD via ADERIS e risco psicossocial / NR-1 via NearOne embutidos como módulos — governança que o MSP comum não tem como entregar.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Posicionamento de uma frase: </w:t>
      </w:r>
      <w:r>
        <w:rPr>
          <w:i/>
          <w:iCs/>
        </w:rPr>
        <w:t xml:space="preserve">“Seu departamento de TI completo, que não só mantém a operação de pé — automatiza, integra e constrói software para fazer sua empresa crescer.”</w:t>
      </w:r>
    </w:p>
    <w:p>
      <w:pPr>
        <w:pStyle w:val="Heading2"/>
      </w:pPr>
      <w:r>
        <w:t xml:space="preserve">3.2 Catálogo de serviços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Service desk e suporte ao usuário</w:t>
      </w:r>
      <w:r>
        <w:t xml:space="preserve"> — N1/N2, multicanal, com SLA.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Gestão de infraestrutura e nuvem</w:t>
      </w:r>
      <w:r>
        <w:t xml:space="preserve"> — servidores, redes, endpoints, ambientes cloud (AWS/Azure/GCP).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Segurança da informação</w:t>
      </w:r>
      <w:r>
        <w:t xml:space="preserve"> — antivírus/EDR, firewall, backup, gestão de acessos, políticas.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Gestão de ativos e fornecedores</w:t>
      </w:r>
      <w:r>
        <w:t xml:space="preserve"> — inventário, licenças, contratos com terceiros.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vCIO (CIO como serviço)</w:t>
      </w:r>
      <w:r>
        <w:t xml:space="preserve"> — planejamento estratégico de TI, orçamento, roadmap, reuniões executivas.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Fábrica de software</w:t>
      </w:r>
      <w:r>
        <w:t xml:space="preserve"> — desenvolvimento sob medida, automações e integrações (bolsa de horas / squad dedicado).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IA aplicada</w:t>
      </w:r>
      <w:r>
        <w:t xml:space="preserve"> — agentes, copilots internos e automação inteligente de processos.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Compliance</w:t>
      </w:r>
      <w:r>
        <w:t xml:space="preserve"> — módulos ADERIS (LGPD) e NearOne (NR-1) como add-on.</w:t>
      </w:r>
    </w:p>
    <w:p>
      <w:pPr>
        <w:pStyle w:val="Heading2"/>
      </w:pPr>
      <w:r>
        <w:t xml:space="preserve">3.3 Planos (tiers)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50"/>
        <w:gridCol w:w="1850"/>
        <w:gridCol w:w="1850"/>
        <w:gridCol w:w="1776"/>
      </w:tblGrid>
      <w:tr>
        <w:trPr>
          <w:tblHeader/>
        </w:trP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Recurso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Essencial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Estratégico</w:t>
            </w:r>
          </w:p>
        </w:tc>
        <w:tc>
          <w:tcPr>
            <w:tcW w:type="dxa" w:w="177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Add-ons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Posicionamento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Sustentar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Sustentar + evoluir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Departamento completo + fábrica</w:t>
            </w:r>
          </w:p>
        </w:tc>
        <w:tc>
          <w:tcPr>
            <w:tcW w:type="dxa" w:w="177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Service desk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Horário comercial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Estendido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Estendido / 24x7 opc.</w:t>
            </w:r>
          </w:p>
        </w:tc>
        <w:tc>
          <w:tcPr>
            <w:tcW w:type="dxa" w:w="177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Plantão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Infra &amp; cloud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Monitoramento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Gestão ativa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Gestão + otimização</w:t>
            </w:r>
          </w:p>
        </w:tc>
        <w:tc>
          <w:tcPr>
            <w:tcW w:type="dxa" w:w="177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Segurança/backup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Básico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Avançado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Avançado + testes</w:t>
            </w:r>
          </w:p>
        </w:tc>
        <w:tc>
          <w:tcPr>
            <w:tcW w:type="dxa" w:w="177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Pentest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vCIO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Trimestral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Mensal dedicado</w:t>
            </w:r>
          </w:p>
        </w:tc>
        <w:tc>
          <w:tcPr>
            <w:tcW w:type="dxa" w:w="177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Fábrica de software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Bolsa de horas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Squad alocado</w:t>
            </w:r>
          </w:p>
        </w:tc>
        <w:tc>
          <w:tcPr>
            <w:tcW w:type="dxa" w:w="177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Projetos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IA / automação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Quick wins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Roadmap de IA</w:t>
            </w:r>
          </w:p>
        </w:tc>
        <w:tc>
          <w:tcPr>
            <w:tcW w:type="dxa" w:w="177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Projetos</w:t>
            </w:r>
          </w:p>
        </w:tc>
      </w:tr>
      <w:tr>
        <w:tc>
          <w:tcPr>
            <w:tcW w:type="dxa" w:w="17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Compliance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ADERIS opc.</w:t>
            </w:r>
          </w:p>
        </w:tc>
        <w:tc>
          <w:tcPr>
            <w:tcW w:type="dxa" w:w="18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ADERIS + NearOne opc.</w:t>
            </w:r>
          </w:p>
        </w:tc>
        <w:tc>
          <w:tcPr>
            <w:tcW w:type="dxa" w:w="177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LGPD/NR-1</w:t>
            </w:r>
          </w:p>
        </w:tc>
      </w:tr>
    </w:tbl>
    <w:p>
      <w:pPr>
        <w:pStyle w:val="Heading2"/>
      </w:pPr>
      <w:r>
        <w:t xml:space="preserve">3.4 SLA (referência)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Severidade</w:t>
            </w:r>
          </w:p>
        </w:tc>
        <w:tc>
          <w:tcPr>
            <w:tcW w:type="dxa" w:w="30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Tempo de resposta</w:t>
            </w:r>
          </w:p>
        </w:tc>
        <w:tc>
          <w:tcPr>
            <w:tcW w:type="dxa" w:w="30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Tempo de resolução alvo</w:t>
            </w:r>
          </w:p>
        </w:tc>
      </w:tr>
      <w:t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Crítico (parada total)</w:t>
            </w:r>
          </w:p>
        </w:tc>
        <w:tc>
          <w:tcPr>
            <w:tcW w:type="dxa" w:w="30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15 min</w:t>
            </w:r>
          </w:p>
        </w:tc>
        <w:tc>
          <w:tcPr>
            <w:tcW w:type="dxa" w:w="30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 horas</w:t>
            </w:r>
          </w:p>
        </w:tc>
      </w:tr>
      <w:t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Alto (impacto a área)</w:t>
            </w:r>
          </w:p>
        </w:tc>
        <w:tc>
          <w:tcPr>
            <w:tcW w:type="dxa" w:w="30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30 min</w:t>
            </w:r>
          </w:p>
        </w:tc>
        <w:tc>
          <w:tcPr>
            <w:tcW w:type="dxa" w:w="30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8 horas</w:t>
            </w:r>
          </w:p>
        </w:tc>
      </w:tr>
      <w:t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Médio</w:t>
            </w:r>
          </w:p>
        </w:tc>
        <w:tc>
          <w:tcPr>
            <w:tcW w:type="dxa" w:w="30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2 horas</w:t>
            </w:r>
          </w:p>
        </w:tc>
        <w:tc>
          <w:tcPr>
            <w:tcW w:type="dxa" w:w="30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1 dia útil</w:t>
            </w:r>
          </w:p>
        </w:tc>
      </w:tr>
      <w:t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Baixo / solicitação</w:t>
            </w:r>
          </w:p>
        </w:tc>
        <w:tc>
          <w:tcPr>
            <w:tcW w:type="dxa" w:w="30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4 horas</w:t>
            </w:r>
          </w:p>
        </w:tc>
        <w:tc>
          <w:tcPr>
            <w:tcW w:type="dxa" w:w="30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 dias úteis</w:t>
            </w:r>
          </w:p>
        </w:tc>
      </w:tr>
    </w:tbl>
    <w:p>
      <w:pPr>
        <w:spacing w:after="120" w:before="80"/>
      </w:pPr>
      <w:r>
        <w:t xml:space="preserve">Disponibilidade-alvo de serviços gerenciados: </w:t>
      </w:r>
      <w:r>
        <w:rPr>
          <w:b/>
          <w:bCs/>
        </w:rPr>
        <w:t xml:space="preserve">99,5%</w:t>
      </w:r>
      <w:r>
        <w:t xml:space="preserve"> (Essencial/Performance) e </w:t>
      </w:r>
      <w:r>
        <w:rPr>
          <w:b/>
          <w:bCs/>
        </w:rPr>
        <w:t xml:space="preserve">99,9%</w:t>
      </w:r>
      <w:r>
        <w:t xml:space="preserve"> (Estratégico, com plantão).</w:t>
      </w:r>
    </w:p>
    <w:p>
      <w:r>
        <w:br w:type="page"/>
      </w:r>
    </w:p>
    <w:p>
      <w:pPr>
        <w:pStyle w:val="Heading1"/>
      </w:pPr>
      <w:r>
        <w:t xml:space="preserve">4. Cliente Ideal (ICP)</w:t>
      </w:r>
    </w:p>
    <w:p>
      <w:pPr>
        <w:spacing w:after="120" w:line="276"/>
      </w:pPr>
      <w:r>
        <w:t xml:space="preserve">Foco inicial em empresas de médio porte em crescimento, onde a dor de TI é aguda e o orçamento existe: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Critério</w:t>
            </w:r>
          </w:p>
        </w:tc>
        <w:tc>
          <w:tcPr>
            <w:tcW w:type="dxa" w:w="6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Perfil-alvo</w:t>
            </w:r>
          </w:p>
        </w:tc>
      </w:tr>
      <w:t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Porte</w:t>
            </w:r>
          </w:p>
        </w:tc>
        <w:tc>
          <w:tcPr>
            <w:tcW w:type="dxa" w:w="6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50 a 500 colaboradores; 40 a 300+ postos de TI</w:t>
            </w:r>
          </w:p>
        </w:tc>
      </w:tr>
      <w:t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Faturamento</w:t>
            </w:r>
          </w:p>
        </w:tc>
        <w:tc>
          <w:tcPr>
            <w:tcW w:type="dxa" w:w="6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R$ 10 milhões a R$ 300 milhões/ano</w:t>
            </w:r>
          </w:p>
        </w:tc>
      </w:tr>
      <w:t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Estágio</w:t>
            </w:r>
          </w:p>
        </w:tc>
        <w:tc>
          <w:tcPr>
            <w:tcW w:type="dxa" w:w="6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Crescimento acelerado, M&amp;A, abertura de filiais ou digitalização</w:t>
            </w:r>
          </w:p>
        </w:tc>
      </w:tr>
      <w:t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TI atual</w:t>
            </w:r>
          </w:p>
        </w:tc>
        <w:tc>
          <w:tcPr>
            <w:tcW w:type="dxa" w:w="6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Equipe pequena/sobrecarregada ou inexistente; sem CIO</w:t>
            </w:r>
          </w:p>
        </w:tc>
      </w:tr>
      <w:t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Setores quentes</w:t>
            </w:r>
          </w:p>
        </w:tc>
        <w:tc>
          <w:tcPr>
            <w:tcW w:type="dxa" w:w="6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Saúde ocupacional, jurídico/compliance, indústria, serviços B2B, varejo em expansão</w:t>
            </w:r>
          </w:p>
        </w:tc>
      </w:tr>
      <w:tr>
        <w:tc>
          <w:tcPr>
            <w:tcW w:type="dxa" w:w="30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Gatilhos de compra</w:t>
            </w:r>
          </w:p>
        </w:tc>
        <w:tc>
          <w:tcPr>
            <w:tcW w:type="dxa" w:w="60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Incidente de segurança, exigência de LGPD/NR-1, saída do “herói” de TI, auditoria, crescimento que estourou a TI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Vantagem de origem: </w:t>
      </w:r>
      <w:r>
        <w:t xml:space="preserve">a base atual de ADERIS e NearOne já é composta por empresas exatamente desse perfil — que confiam na Shift+G em temas sensíveis (dados e risco psicossocial). Vender o departamento de TI para quem já é cliente é o caminho de menor atrito e maior conversão.</w:t>
      </w:r>
    </w:p>
    <w:p>
      <w:r>
        <w:br w:type="page"/>
      </w:r>
    </w:p>
    <w:p>
      <w:pPr>
        <w:pStyle w:val="Heading1"/>
      </w:pPr>
      <w:r>
        <w:t xml:space="preserve">5. Precificação e Unit Economics</w:t>
      </w:r>
    </w:p>
    <w:p>
      <w:pPr>
        <w:spacing w:after="120" w:line="276"/>
      </w:pPr>
      <w:r>
        <w:t xml:space="preserve">Modelo recorrente por posto (usuário) ao mês, com contrato mínimo de 12 meses. Simples de orçar para o cliente e escalável para a operação.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42"/>
        <w:gridCol w:w="2142"/>
        <w:gridCol w:w="2142"/>
      </w:tblGrid>
      <w:tr>
        <w:trPr>
          <w:tblHeader/>
        </w:trP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Plano</w:t>
            </w:r>
          </w:p>
        </w:tc>
        <w:tc>
          <w:tcPr>
            <w:tcW w:type="dxa" w:w="2142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Preço/posto/mês</w:t>
            </w:r>
          </w:p>
        </w:tc>
        <w:tc>
          <w:tcPr>
            <w:tcW w:type="dxa" w:w="2142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Cliente 100 postos/mês</w:t>
            </w:r>
          </w:p>
        </w:tc>
        <w:tc>
          <w:tcPr>
            <w:tcW w:type="dxa" w:w="2142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Por ano (ACV)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Essencial</w:t>
            </w:r>
          </w:p>
        </w:tc>
        <w:tc>
          <w:tcPr>
            <w:tcW w:type="dxa" w:w="2142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R$ 130</w:t>
            </w:r>
          </w:p>
        </w:tc>
        <w:tc>
          <w:tcPr>
            <w:tcW w:type="dxa" w:w="2142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R$ 13.000</w:t>
            </w:r>
          </w:p>
        </w:tc>
        <w:tc>
          <w:tcPr>
            <w:tcW w:type="dxa" w:w="2142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R$ 156.000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Performance</w:t>
            </w:r>
          </w:p>
        </w:tc>
        <w:tc>
          <w:tcPr>
            <w:tcW w:type="dxa" w:w="2142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R$ 230</w:t>
            </w:r>
          </w:p>
        </w:tc>
        <w:tc>
          <w:tcPr>
            <w:tcW w:type="dxa" w:w="2142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R$ 23.000</w:t>
            </w:r>
          </w:p>
        </w:tc>
        <w:tc>
          <w:tcPr>
            <w:tcW w:type="dxa" w:w="2142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R$ 276.000</w:t>
            </w:r>
          </w:p>
        </w:tc>
      </w:tr>
      <w:tr>
        <w:tc>
          <w:tcPr>
            <w:tcW w:type="dxa" w:w="2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Estratégico</w:t>
            </w:r>
          </w:p>
        </w:tc>
        <w:tc>
          <w:tcPr>
            <w:tcW w:type="dxa" w:w="2142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R$ 360</w:t>
            </w:r>
          </w:p>
        </w:tc>
        <w:tc>
          <w:tcPr>
            <w:tcW w:type="dxa" w:w="2142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R$ 36.000</w:t>
            </w:r>
          </w:p>
        </w:tc>
        <w:tc>
          <w:tcPr>
            <w:tcW w:type="dxa" w:w="2142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R$ 432.000</w:t>
            </w:r>
          </w:p>
        </w:tc>
      </w:tr>
    </w:tbl>
    <w:p>
      <w:pPr>
        <w:spacing w:before="80"/>
      </w:pPr>
      <w:r>
        <w:t xml:space="preserve">Com um mix típico (40% Essencial, 40% Performance, 20% Estratégico), o preço médio é </w:t>
      </w:r>
      <w:r>
        <w:rPr>
          <w:b/>
          <w:bCs/>
        </w:rPr>
        <w:t xml:space="preserve">R$ 216/posto</w:t>
      </w:r>
      <w:r>
        <w:t xml:space="preserve">, gerando um ticket médio (ARPA) de </w:t>
      </w:r>
      <w:r>
        <w:rPr>
          <w:b/>
          <w:bCs/>
        </w:rPr>
        <w:t xml:space="preserve">R$ 21.600/mês por cliente de 100 postos</w:t>
      </w:r>
      <w:r>
        <w:t xml:space="preserve"> — um ACV de R$ 259.200.</w:t>
      </w:r>
    </w:p>
    <w:p>
      <w:pPr>
        <w:pStyle w:val="Heading2"/>
      </w:pPr>
      <w:r>
        <w:t xml:space="preserve">5.1 O argumento que fecha a venda: mais barato que TI interna</w:t>
      </w:r>
    </w:p>
    <w:p>
      <w:pPr>
        <w:spacing w:after="120" w:line="276"/>
      </w:pPr>
      <w:r>
        <w:t xml:space="preserve">Para uma empresa com 120 postos, um departamento de TI interno mínimo custa muito mais — e ainda carrega passivo trabalhista e risco de turnover: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2256"/>
        <w:gridCol w:w="2257"/>
      </w:tblGrid>
      <w:tr>
        <w:trPr>
          <w:tblHeader/>
        </w:trPr>
        <w:tc>
          <w:tcPr>
            <w:tcW w:type="dxa" w:w="45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Cenário</w:t>
            </w:r>
          </w:p>
        </w:tc>
        <w:tc>
          <w:tcPr>
            <w:tcW w:type="dxa" w:w="22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Custo mensal</w:t>
            </w:r>
          </w:p>
        </w:tc>
        <w:tc>
          <w:tcPr>
            <w:tcW w:type="dxa" w:w="225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45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TI interna (gestor + infra + 2 suportes + 1 dev + ferramentas)</w:t>
            </w:r>
          </w:p>
        </w:tc>
        <w:tc>
          <w:tcPr>
            <w:tcW w:type="dxa" w:w="22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~R$ 88.600</w:t>
            </w:r>
          </w:p>
        </w:tc>
        <w:tc>
          <w:tcPr>
            <w:tcW w:type="dxa" w:w="225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Salários com encargos + licenças</w:t>
            </w:r>
          </w:p>
        </w:tc>
      </w:tr>
      <w:tr>
        <w:tc>
          <w:tcPr>
            <w:tcW w:type="dxa" w:w="45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Shift+G CORE Performance (120 postos)</w:t>
            </w:r>
          </w:p>
        </w:tc>
        <w:tc>
          <w:tcPr>
            <w:tcW w:type="dxa" w:w="22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R$ 27.600</w:t>
            </w:r>
          </w:p>
        </w:tc>
        <w:tc>
          <w:tcPr>
            <w:tcW w:type="dxa" w:w="225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Equipe sênior compartilhada + fábrica</w:t>
            </w:r>
          </w:p>
        </w:tc>
      </w:tr>
      <w:tr>
        <w:tc>
          <w:tcPr>
            <w:tcW w:type="dxa" w:w="45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Economia para o cliente</w:t>
            </w:r>
          </w:p>
        </w:tc>
        <w:tc>
          <w:tcPr>
            <w:tcW w:type="dxa" w:w="225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~R$ 61.000/mês (69%)</w:t>
            </w:r>
          </w:p>
        </w:tc>
        <w:tc>
          <w:tcPr>
            <w:tcW w:type="dxa" w:w="2257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Sem passivo, sem turnover, com SLA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 w:line="276"/>
      </w:pPr>
      <w:r>
        <w:rPr>
          <w:b/>
          <w:bCs/>
        </w:rPr>
        <w:t xml:space="preserve">Nota sobre a economia da operação: </w:t>
      </w:r>
      <w:r>
        <w:t xml:space="preserve">a margem do CORE vem do </w:t>
      </w:r>
      <w:r>
        <w:rPr>
          <w:b/>
          <w:bCs/>
        </w:rPr>
        <w:t xml:space="preserve">modelo compartilhado (pooled)</w:t>
      </w:r>
      <w:r>
        <w:t xml:space="preserve"> — um time sênior atende várias contas, diluindo o custo que um único cliente jamais sustentaria sozinho. Por isso a unidade econômica é positiva na escala, não no cliente isolado.</w:t>
      </w:r>
    </w:p>
    <w:p>
      <w:pPr>
        <w:pStyle w:val="Heading2"/>
      </w:pPr>
      <w:r>
        <w:t xml:space="preserve">5.2 Indicadores-chave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45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5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ARPA (receita média/conta)</w:t>
            </w:r>
          </w:p>
        </w:tc>
        <w:tc>
          <w:tcPr>
            <w:tcW w:type="dxa" w:w="45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R$ 21.600/mês</w:t>
            </w:r>
          </w:p>
        </w:tc>
      </w:tr>
      <w:tr>
        <w:tc>
          <w:tcPr>
            <w:tcW w:type="dxa" w:w="45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ACV (contrato anual)</w:t>
            </w:r>
          </w:p>
        </w:tc>
        <w:tc>
          <w:tcPr>
            <w:tcW w:type="dxa" w:w="45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R$ 259.200</w:t>
            </w:r>
          </w:p>
        </w:tc>
      </w:tr>
      <w:tr>
        <w:tc>
          <w:tcPr>
            <w:tcW w:type="dxa" w:w="45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LTV (margem 35%, churn 1,5%/mês)</w:t>
            </w:r>
          </w:p>
        </w:tc>
        <w:tc>
          <w:tcPr>
            <w:tcW w:type="dxa" w:w="45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~R$ 504.000</w:t>
            </w:r>
          </w:p>
        </w:tc>
      </w:tr>
      <w:tr>
        <w:tc>
          <w:tcPr>
            <w:tcW w:type="dxa" w:w="45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CAC estimado (mid-market)</w:t>
            </w:r>
          </w:p>
        </w:tc>
        <w:tc>
          <w:tcPr>
            <w:tcW w:type="dxa" w:w="45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~R$ 60.000</w:t>
            </w:r>
          </w:p>
        </w:tc>
      </w:tr>
      <w:tr>
        <w:tc>
          <w:tcPr>
            <w:tcW w:type="dxa" w:w="45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LTV / CAC</w:t>
            </w:r>
          </w:p>
        </w:tc>
        <w:tc>
          <w:tcPr>
            <w:tcW w:type="dxa" w:w="45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8,4x</w:t>
            </w:r>
          </w:p>
        </w:tc>
      </w:tr>
      <w:tr>
        <w:tc>
          <w:tcPr>
            <w:tcW w:type="dxa" w:w="45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Payback de CAC</w:t>
            </w:r>
          </w:p>
        </w:tc>
        <w:tc>
          <w:tcPr>
            <w:tcW w:type="dxa" w:w="45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~8 meses</w:t>
            </w:r>
          </w:p>
        </w:tc>
      </w:tr>
      <w:tr>
        <w:tc>
          <w:tcPr>
            <w:tcW w:type="dxa" w:w="45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Margem bruta (maturidade)</w:t>
            </w:r>
          </w:p>
        </w:tc>
        <w:tc>
          <w:tcPr>
            <w:tcW w:type="dxa" w:w="45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30–35%+ (expansível com automação/IA)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Go-to-Market e Vendas</w:t>
      </w:r>
    </w:p>
    <w:p>
      <w:pPr>
        <w:pStyle w:val="Heading2"/>
      </w:pPr>
      <w:r>
        <w:t xml:space="preserve">6.1 Estratégia de entrada (do menor ao maior atrito)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Cross-sell na base</w:t>
      </w:r>
      <w:r>
        <w:t xml:space="preserve"> — ofertar o CORE a clientes atuais de ADERIS e NearOne. Maior taxa de conversão, ciclo curto.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Indicações e cases</w:t>
      </w:r>
      <w:r>
        <w:t xml:space="preserve"> — transformar os 2–3 clientes-âncora em prova social com números de economia e SLA.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Outbound focado</w:t>
      </w:r>
      <w:r>
        <w:t xml:space="preserve"> — prospecção ativa em setores quentes, mirando os gatilhos de compra do ICP.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b/>
          <w:bCs/>
        </w:rPr>
        <w:t xml:space="preserve">Parcerias</w:t>
      </w:r>
      <w:r>
        <w:t xml:space="preserve"> — contadores, escritórios de advocacia (LGPD), consultorias de SST (NR-1) e fornecedores de cloud como canal de indicação.</w:t>
      </w:r>
    </w:p>
    <w:p>
      <w:pPr>
        <w:pStyle w:val="Heading2"/>
      </w:pPr>
      <w:r>
        <w:t xml:space="preserve">6.2 Mensagem comercial</w:t>
      </w:r>
    </w:p>
    <w:p>
      <w:pPr>
        <w:spacing w:after="120" w:line="276"/>
      </w:pPr>
      <w:r>
        <w:t xml:space="preserve">Para o dono/CFO (linguagem de custo e risco):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“Você paga por um departamento de TI completo por menos da metade do que custaria montar internamente — sem passivo trabalhista e sem depender de uma pessoa só.”</w:t>
      </w:r>
    </w:p>
    <w:p>
      <w:pPr>
        <w:spacing w:after="120" w:line="276"/>
      </w:pPr>
      <w:r>
        <w:t xml:space="preserve">Para o gestor/operação (linguagem de produtividade):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“Sua TI para de apagar incêndio. A gente sustenta, e ainda automatiza e constrói o que faz sua equipe render mais.”</w:t>
      </w:r>
    </w:p>
    <w:p>
      <w:pPr>
        <w:pStyle w:val="Heading2"/>
      </w:pPr>
      <w:r>
        <w:t xml:space="preserve">6.3 Funil e metas (ano 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rPr>
          <w:tblHeader/>
        </w:trPr>
        <w:tc>
          <w:tcPr>
            <w:tcW w:type="dxa" w:w="3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7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Meta mensal (regime)</w:t>
            </w:r>
          </w:p>
        </w:tc>
        <w:tc>
          <w:tcPr>
            <w:tcW w:type="dxa" w:w="27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Conversão alvo</w:t>
            </w:r>
          </w:p>
        </w:tc>
      </w:tr>
      <w:tr>
        <w:tc>
          <w:tcPr>
            <w:tcW w:type="dxa" w:w="3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Leads qualificados (MQL)</w:t>
            </w:r>
          </w:p>
        </w:tc>
        <w:tc>
          <w:tcPr>
            <w:tcW w:type="dxa" w:w="27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40</w:t>
            </w:r>
          </w:p>
        </w:tc>
        <w:tc>
          <w:tcPr>
            <w:tcW w:type="dxa" w:w="27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Reuniões / diagnósticos</w:t>
            </w:r>
          </w:p>
        </w:tc>
        <w:tc>
          <w:tcPr>
            <w:tcW w:type="dxa" w:w="27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7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3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Propostas</w:t>
            </w:r>
          </w:p>
        </w:tc>
        <w:tc>
          <w:tcPr>
            <w:tcW w:type="dxa" w:w="27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7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50%</w:t>
            </w:r>
          </w:p>
        </w:tc>
      </w:tr>
      <w:tr>
        <w:tc>
          <w:tcPr>
            <w:tcW w:type="dxa" w:w="36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Contratos fechados</w:t>
            </w:r>
          </w:p>
        </w:tc>
        <w:tc>
          <w:tcPr>
            <w:tcW w:type="dxa" w:w="27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7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33%</w:t>
            </w:r>
          </w:p>
        </w:tc>
      </w:tr>
    </w:tbl>
    <w:p>
      <w:pPr>
        <w:spacing w:before="80"/>
      </w:pPr>
      <w:r>
        <w:rPr>
          <w:b/>
          <w:bCs/>
        </w:rPr>
        <w:t xml:space="preserve">Meta de saída do ano 1: </w:t>
      </w:r>
      <w:r>
        <w:t xml:space="preserve">21 clientes ativos (~R$ 5,4M de ARR).</w:t>
      </w:r>
    </w:p>
    <w:p>
      <w:r>
        <w:br w:type="page"/>
      </w:r>
    </w:p>
    <w:p>
      <w:pPr>
        <w:pStyle w:val="Heading1"/>
      </w:pPr>
      <w:r>
        <w:t xml:space="preserve">7. Operação e Equipe</w:t>
      </w:r>
    </w:p>
    <w:p>
      <w:pPr>
        <w:spacing w:after="120" w:line="276"/>
      </w:pPr>
      <w:r>
        <w:t xml:space="preserve">Modelo de entrega </w:t>
      </w:r>
      <w:r>
        <w:rPr>
          <w:b/>
          <w:bCs/>
        </w:rPr>
        <w:t xml:space="preserve">compartilhado (pooled)</w:t>
      </w:r>
      <w:r>
        <w:t xml:space="preserve">: um time sênior atende a carteira inteira, com camadas dedicadas para o tier Estratégico. Isso é o que garante a margem e a qualidade ao mesmo tempo.</w:t>
      </w:r>
    </w:p>
    <w:p>
      <w:pPr>
        <w:pStyle w:val="Heading2"/>
      </w:pPr>
      <w:r>
        <w:t xml:space="preserve">7.1 Estrutura inicial (lançamento)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13"/>
        <w:gridCol w:w="3913"/>
      </w:tblGrid>
      <w:tr>
        <w:trPr>
          <w:tblHeader/>
        </w:trP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1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Qtd. inicial</w:t>
            </w:r>
          </w:p>
        </w:tc>
        <w:tc>
          <w:tcPr>
            <w:tcW w:type="dxa" w:w="3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Coordenador de Operações / vCIO</w:t>
            </w:r>
          </w:p>
        </w:tc>
        <w:tc>
          <w:tcPr>
            <w:tcW w:type="dxa" w:w="1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Liderança do delivery e relação executiva com clientes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Tech Lead</w:t>
            </w:r>
          </w:p>
        </w:tc>
        <w:tc>
          <w:tcPr>
            <w:tcW w:type="dxa" w:w="1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Arquitetura, padrões e qualidade técnica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Analista de Infra / SysAdmin</w:t>
            </w:r>
          </w:p>
        </w:tc>
        <w:tc>
          <w:tcPr>
            <w:tcW w:type="dxa" w:w="1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Cloud, redes, servidores, segurança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Analistas de Suporte N1/N2</w:t>
            </w:r>
          </w:p>
        </w:tc>
        <w:tc>
          <w:tcPr>
            <w:tcW w:type="dxa" w:w="1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2–3</w:t>
            </w:r>
          </w:p>
        </w:tc>
        <w:tc>
          <w:tcPr>
            <w:tcW w:type="dxa" w:w="3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Service desk e atendimento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Desenvolvedores (fábrica)</w:t>
            </w:r>
          </w:p>
        </w:tc>
        <w:tc>
          <w:tcPr>
            <w:tcW w:type="dxa" w:w="1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Automação, integrações, software sob medida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Comercial / CS</w:t>
            </w:r>
          </w:p>
        </w:tc>
        <w:tc>
          <w:tcPr>
            <w:tcW w:type="dxa" w:w="1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913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Vendas, onboarding e retenção</w:t>
            </w:r>
          </w:p>
        </w:tc>
      </w:tr>
    </w:tbl>
    <w:p>
      <w:pPr>
        <w:pStyle w:val="Heading2"/>
      </w:pPr>
      <w:r>
        <w:t xml:space="preserve">7.2 Escala de capacidade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~1 analista de suporte para cada 200 postos.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~1 especialista de infra para cada 700 postos.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Fábrica (devs) escala com a base de tier Estratégico e bolsas de horas — é também centro de receita, não só custo.</w:t>
      </w:r>
    </w:p>
    <w:p>
      <w:pPr>
        <w:pStyle w:val="Heading2"/>
      </w:pPr>
      <w:r>
        <w:t xml:space="preserve">7.3 Stack e ferramentas</w:t>
      </w:r>
    </w:p>
    <w:p>
      <w:pPr>
        <w:spacing w:after="120" w:line="276"/>
      </w:pPr>
      <w:r>
        <w:t xml:space="preserve">RMM e monitoramento, service desk/ticketing, EDR/antivírus, backup, MDM, gestão de licenças e observabilidade — custo aproximado de R$ 22/posto/mês, já considerado no modelo. Padronizar o stack é decisivo para a margem.</w:t>
      </w:r>
    </w:p>
    <w:p>
      <w:r>
        <w:br w:type="page"/>
      </w:r>
    </w:p>
    <w:p>
      <w:pPr>
        <w:pStyle w:val="Heading1"/>
      </w:pPr>
      <w:r>
        <w:t xml:space="preserve">8. Projeção Financeira (36 meses)</w:t>
      </w:r>
    </w:p>
    <w:p>
      <w:pPr>
        <w:spacing w:after="120" w:line="276"/>
      </w:pPr>
      <w:r>
        <w:t xml:space="preserve">Premissas: ticket médio R$ 21.600/conta/mês; modelo de entrega compartilhado; custo de equipe com encargos (fator 1,75); ferramentas R$ 22/posto. Valores em R$.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1626"/>
        <w:gridCol w:w="1450"/>
        <w:gridCol w:w="15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Marco</w:t>
            </w:r>
          </w:p>
        </w:tc>
        <w:tc>
          <w:tcPr>
            <w:tcW w:type="dxa" w:w="14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Clientes</w:t>
            </w:r>
          </w:p>
        </w:tc>
        <w:tc>
          <w:tcPr>
            <w:tcW w:type="dxa" w:w="16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MRR</w:t>
            </w:r>
          </w:p>
        </w:tc>
        <w:tc>
          <w:tcPr>
            <w:tcW w:type="dxa" w:w="14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M. Bruta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EBITDA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ARR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Mês 3</w:t>
            </w:r>
          </w:p>
        </w:tc>
        <w:tc>
          <w:tcPr>
            <w:tcW w:type="dxa" w:w="14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6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43.200</w:t>
            </w:r>
          </w:p>
        </w:tc>
        <w:tc>
          <w:tcPr>
            <w:tcW w:type="dxa" w:w="14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-120%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-100 mil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0,5M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Mês 6</w:t>
            </w:r>
          </w:p>
        </w:tc>
        <w:tc>
          <w:tcPr>
            <w:tcW w:type="dxa" w:w="14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6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172.800</w:t>
            </w:r>
          </w:p>
        </w:tc>
        <w:tc>
          <w:tcPr>
            <w:tcW w:type="dxa" w:w="14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8%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-42 mil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2,1M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Mês 9</w:t>
            </w:r>
          </w:p>
        </w:tc>
        <w:tc>
          <w:tcPr>
            <w:tcW w:type="dxa" w:w="14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16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302.400</w:t>
            </w:r>
          </w:p>
        </w:tc>
        <w:tc>
          <w:tcPr>
            <w:tcW w:type="dxa" w:w="14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23%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+6 mil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3,6M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Mês 12</w:t>
            </w:r>
          </w:p>
        </w:tc>
        <w:tc>
          <w:tcPr>
            <w:tcW w:type="dxa" w:w="14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21</w:t>
            </w:r>
          </w:p>
        </w:tc>
        <w:tc>
          <w:tcPr>
            <w:tcW w:type="dxa" w:w="16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453.600</w:t>
            </w:r>
          </w:p>
        </w:tc>
        <w:tc>
          <w:tcPr>
            <w:tcW w:type="dxa" w:w="14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26%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+49 mil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5,4M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Mês 18</w:t>
            </w:r>
          </w:p>
        </w:tc>
        <w:tc>
          <w:tcPr>
            <w:tcW w:type="dxa" w:w="14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33</w:t>
            </w:r>
          </w:p>
        </w:tc>
        <w:tc>
          <w:tcPr>
            <w:tcW w:type="dxa" w:w="16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712.800</w:t>
            </w:r>
          </w:p>
        </w:tc>
        <w:tc>
          <w:tcPr>
            <w:tcW w:type="dxa" w:w="14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28%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+111 mil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8,6M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Mês 24</w:t>
            </w:r>
          </w:p>
        </w:tc>
        <w:tc>
          <w:tcPr>
            <w:tcW w:type="dxa" w:w="14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44</w:t>
            </w:r>
          </w:p>
        </w:tc>
        <w:tc>
          <w:tcPr>
            <w:tcW w:type="dxa" w:w="16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950.400</w:t>
            </w:r>
          </w:p>
        </w:tc>
        <w:tc>
          <w:tcPr>
            <w:tcW w:type="dxa" w:w="14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30%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+195 mil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11,4M</w:t>
            </w:r>
          </w:p>
        </w:tc>
      </w:tr>
      <w:tr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Mês 36</w:t>
            </w:r>
          </w:p>
        </w:tc>
        <w:tc>
          <w:tcPr>
            <w:tcW w:type="dxa" w:w="14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64</w:t>
            </w:r>
          </w:p>
        </w:tc>
        <w:tc>
          <w:tcPr>
            <w:tcW w:type="dxa" w:w="16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1.382.400</w:t>
            </w:r>
          </w:p>
        </w:tc>
        <w:tc>
          <w:tcPr>
            <w:tcW w:type="dxa" w:w="145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32%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+343 mil</w:t>
            </w:r>
          </w:p>
        </w:tc>
        <w:tc>
          <w:tcPr>
            <w:tcW w:type="dxa" w:w="15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right"/>
            </w:pPr>
            <w:r>
              <w:rPr>
                <w:sz w:val="19"/>
                <w:szCs w:val="19"/>
              </w:rPr>
              <w:t xml:space="preserve">16,6M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8.1 Investimento e retorno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Break-even operacional: </w:t>
      </w:r>
      <w:r>
        <w:t xml:space="preserve">mês 9 (~14 clientes / 1.400 postos).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Caixa máximo necessário (“vale da morte”): </w:t>
      </w:r>
      <w:r>
        <w:t xml:space="preserve">~R$ 442 mil.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Investimento inicial recomendado (com 20% de folga): </w:t>
      </w:r>
      <w:r>
        <w:t xml:space="preserve">~R$ 530 mil.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EBITDA mensal no mês 36: </w:t>
      </w:r>
      <w:r>
        <w:t xml:space="preserve">~R$ 343 mil; ARR de R$ 16,6M.</w:t>
      </w:r>
    </w:p>
    <w:p>
      <w:pPr>
        <w:spacing w:before="80"/>
      </w:pPr>
      <w:r>
        <w:rPr>
          <w:b/>
          <w:bCs/>
        </w:rPr>
        <w:t xml:space="preserve">Onde a margem cresce: </w:t>
      </w:r>
      <w:r>
        <w:t xml:space="preserve">cada ponto de automação e IA que reduz a necessidade de suporte humano sobe a margem bruta — e essa é justamente a competência central da Shift+G. O CORE é, na prática, um laboratório de aplicação da própria IA da casa.</w:t>
      </w:r>
    </w:p>
    <w:p>
      <w:r>
        <w:br w:type="page"/>
      </w:r>
    </w:p>
    <w:p>
      <w:pPr>
        <w:pStyle w:val="Heading1"/>
      </w:pPr>
      <w:r>
        <w:t xml:space="preserve">9. Riscos e Mitigações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16243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Margem apertada no início (negócio de serviço)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Padronizar stack e processos; automatizar suporte com IA desde o dia 1; vender mix com peso em Performance/Estratégico.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Dependência de pessoas-chave / turnover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Documentação e runbooks; modelo pooled (não 1 pessoa por cliente); plano de carreira técnico.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Cliente exige dedicação além do contratado (escopo)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SLA e escopo claros; bolsa de horas e tiers para upsell; governança de chamados.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Ciclo de venda mid-market longo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Cross-sell na base (atrito baixo); diagnóstico gratuito como porta de entrada; cases com ROI.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Concorrência de MSPs de preço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Não competir por preço: ancorar no diferencial fábrica de software + IA + compliance.</w:t>
            </w:r>
          </w:p>
        </w:tc>
      </w:tr>
      <w:tr>
        <w:tc>
          <w:tcPr>
            <w:tcW w:type="dxa" w:w="3200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Incidente de segurança em cliente</w:t>
            </w:r>
          </w:p>
        </w:tc>
        <w:tc>
          <w:tcPr>
            <w:tcW w:type="dxa" w:w="5826"/>
            <w:tcBorders>
              <w:top w:val="single" w:color="C9D3E0" w:sz="1"/>
              <w:left w:val="single" w:color="C9D3E0" w:sz="1"/>
              <w:bottom w:val="single" w:color="C9D3E0" w:sz="1"/>
              <w:right w:val="single" w:color="C9D3E0" w:sz="1"/>
            </w:tcBorders>
            <w:shd w:fill="F2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sz w:val="19"/>
                <w:szCs w:val="19"/>
              </w:rPr>
              <w:t xml:space="preserve">Seguro de responsabilidade; políticas e contratos com limitação de responsabilidade; backup e DR testados.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Roadmap de Lançamento</w:t>
      </w:r>
    </w:p>
    <w:p>
      <w:pPr>
        <w:pStyle w:val="Heading2"/>
      </w:pPr>
      <w:r>
        <w:t xml:space="preserve">Primeiros 90 dias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Definir marca, escopo dos 3 tiers, SLA e contrato-modelo.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Fechar o stack de ferramentas e processos de delivery (runbooks).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Montar a equipe núcleo (coordenador, tech lead, infra, suporte, devs).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Converter 2–3 clientes-âncora na base de ADERIS/NearOne (piloto).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Criar material comercial: pitch, proposta, calculadora de economia vs TI interna.</w:t>
      </w:r>
    </w:p>
    <w:p>
      <w:pPr>
        <w:pStyle w:val="Heading2"/>
      </w:pPr>
      <w:r>
        <w:t xml:space="preserve">Meses 4–12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Estruturar o motor de vendas (funil, metas, CS) e começar outbound.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Publicar 2–3 cases com números de economia e SLA cumprido.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Lançar pacotes de IA/automação como upsell recorrente.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Atingir 21 clientes ativos e break-even sustentado.</w:t>
      </w:r>
    </w:p>
    <w:p>
      <w:pPr>
        <w:spacing w:after="60"/>
      </w:pPr>
      <w:r>
        <w:t xml:space="preserve"/>
      </w:r>
    </w:p>
    <w:p>
      <w:pPr>
        <w:pStyle w:val="Heading1"/>
      </w:pPr>
      <w:r>
        <w:t xml:space="preserve">11. Próximos Passos</w:t>
      </w:r>
    </w:p>
    <w:p>
      <w:pPr>
        <w:spacing w:after="120" w:line="276"/>
      </w:pPr>
      <w:r>
        <w:rPr>
          <w:b/>
          <w:bCs/>
        </w:rPr>
        <w:t xml:space="preserve">Decisão pedida: </w:t>
      </w:r>
      <w:r>
        <w:t xml:space="preserve">aval para iniciar os 90 dias de estruturação e o piloto com clientes-âncora. Em paralelo, posso já preparar: 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proposta comercial e a calculadora de “TI interna vs CORE” para usar em venda;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 catálogo de serviços e o contrato-modelo com SLA;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lista priorizada de clientes da base para o cross-sell piloto.</w:t>
      </w:r>
    </w:p>
    <w:p>
      <w:pPr>
        <w:spacing w:before="80"/>
      </w:pPr>
      <w:r>
        <w:t xml:space="preserve">O mercado está pedindo terceirização de TI agora. Quem chega com </w:t>
      </w:r>
      <w:r>
        <w:rPr>
          <w:b/>
          <w:bCs/>
        </w:rPr>
        <w:t xml:space="preserve">“departamento de TI + fábrica de software + IA”</w:t>
      </w:r>
      <w:r>
        <w:t xml:space="preserve"> não disputa preço com MSP — cria uma categoria própria. É hora de fechar.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Confidencial · Shift+G · Junho 2026 — pág.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4" w:space="2"/>
      </w:pBdr>
      <w:jc w:val="right"/>
    </w:pPr>
    <w:r>
      <w:rPr>
        <w:color w:val="999999"/>
        <w:sz w:val="16"/>
        <w:szCs w:val="16"/>
      </w:rPr>
      <w:t xml:space="preserve">Shift+G CORE · Departamento de TI as a Service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8C7F" w:sz="8" w:space="4"/>
      </w:pBdr>
      <w:spacing w:after="160" w:before="280"/>
      <w:outlineLvl w:val="0"/>
    </w:pPr>
    <w:rPr>
      <w:rFonts w:ascii="Arial" w:cs="Arial" w:eastAsia="Arial" w:hAnsi="Arial"/>
      <w:b/>
      <w:bCs/>
      <w:color w:val="1624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E8C7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Negócio — Shift+G CORE (Departamento de TI as a Service)</dc:title>
  <dc:creator>Shift+G</dc:creator>
  <cp:lastModifiedBy>Un-named</cp:lastModifiedBy>
  <cp:revision>1</cp:revision>
  <dcterms:created xsi:type="dcterms:W3CDTF">2026-06-25T18:09:58.121Z</dcterms:created>
  <dcterms:modified xsi:type="dcterms:W3CDTF">2026-06-25T18:09:58.121Z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