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30" w:before="0" w:line="264"/>
        <w:jc w:val="left"/>
      </w:pPr>
      <w:r>
        <w:rPr>
          <w:rFonts w:ascii="DM Serif Display" w:cs="DM Serif Display" w:eastAsia="DM Serif Display" w:hAnsi="DM Serif Display"/>
          <w:b w:val="false"/>
          <w:bCs w:val="false"/>
          <w:i w:val="false"/>
          <w:iCs w:val="false"/>
          <w:caps w:val="false"/>
          <w:color w:val="1A1A1A"/>
          <w:sz w:val="30"/>
          <w:szCs w:val="30"/>
        </w:rPr>
        <w:t xml:space="preserve">SHIFT</w:t>
      </w:r>
      <w:r>
        <w:rPr>
          <w:rFonts w:ascii="DM Serif Display" w:cs="DM Serif Display" w:eastAsia="DM Serif Display" w:hAnsi="DM Serif Display"/>
          <w:b w:val="false"/>
          <w:bCs w:val="false"/>
          <w:i w:val="false"/>
          <w:iCs w:val="false"/>
          <w:caps w:val="false"/>
          <w:color w:val="003FCD"/>
          <w:sz w:val="30"/>
          <w:szCs w:val="30"/>
        </w:rPr>
        <w:t xml:space="preserve">+</w:t>
      </w:r>
      <w:r>
        <w:rPr>
          <w:rFonts w:ascii="DM Serif Display" w:cs="DM Serif Display" w:eastAsia="DM Serif Display" w:hAnsi="DM Serif Display"/>
          <w:b w:val="false"/>
          <w:bCs w:val="false"/>
          <w:i w:val="false"/>
          <w:iCs w:val="false"/>
          <w:caps w:val="false"/>
          <w:color w:val="1A1A1A"/>
          <w:sz w:val="30"/>
          <w:szCs w:val="30"/>
        </w:rPr>
        <w:t xml:space="preserve">G</w:t>
      </w:r>
    </w:p>
    <w:p>
      <w:pPr>
        <w:keepNext w:val="false"/>
        <w:spacing w:after="0" w:before="0" w:line="264"/>
        <w:jc w:val="left"/>
      </w:pPr>
      <w:r>
        <w:rPr>
          <w:rFonts w:ascii="DM Mono" w:cs="DM Mono" w:eastAsia="DM Mono" w:hAnsi="DM Mono"/>
          <w:b w:val="false"/>
          <w:bCs w:val="false"/>
          <w:i w:val="false"/>
          <w:iCs w:val="false"/>
          <w:caps/>
          <w:color w:val="5B5B5B"/>
          <w:spacing w:val="40"/>
          <w:sz w:val="15"/>
          <w:szCs w:val="15"/>
        </w:rPr>
        <w:t xml:space="preserve">Arquitetamos inteligência.</w:t>
      </w:r>
    </w:p>
    <w:p>
      <w:pPr>
        <w:pBdr>
          <w:bottom w:val="single" w:color="003FCD" w:sz="12" w:space="2"/>
        </w:pBdr>
        <w:spacing w:after="360" w:before="6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p>
      <w:pPr>
        <w:keepNext w:val="false"/>
        <w:spacing w:after="120" w:before="0" w:line="264"/>
        <w:jc w:val="left"/>
      </w:pPr>
      <w:r>
        <w:rPr>
          <w:rFonts w:ascii="DM Mono" w:cs="DM Mono" w:eastAsia="DM Mono" w:hAnsi="DM Mono"/>
          <w:b w:val="false"/>
          <w:bCs w:val="false"/>
          <w:i w:val="false"/>
          <w:iCs w:val="false"/>
          <w:caps/>
          <w:color w:val="003FCD"/>
          <w:spacing w:val="40"/>
          <w:sz w:val="15"/>
          <w:szCs w:val="15"/>
        </w:rPr>
        <w:t xml:space="preserve">Proposta Comercial</w:t>
      </w:r>
    </w:p>
    <w:p>
      <w:pPr>
        <w:keepNext w:val="false"/>
        <w:spacing w:after="0" w:before="0" w:line="460"/>
        <w:jc w:val="left"/>
      </w:pPr>
      <w:r>
        <w:rPr>
          <w:rFonts w:ascii="DM Serif Display" w:cs="DM Serif Display" w:eastAsia="DM Serif Display" w:hAnsi="DM Serif Display"/>
          <w:b w:val="false"/>
          <w:bCs w:val="false"/>
          <w:i w:val="false"/>
          <w:iCs w:val="false"/>
          <w:caps w:val="false"/>
          <w:color w:val="1A1A1A"/>
          <w:sz w:val="46"/>
          <w:szCs w:val="46"/>
        </w:rPr>
        <w:t xml:space="preserve">O braço tecnológico</w:t>
      </w:r>
    </w:p>
    <w:p>
      <w:pPr>
        <w:keepNext w:val="false"/>
        <w:spacing w:after="200" w:before="0" w:line="460"/>
        <w:jc w:val="left"/>
      </w:pPr>
      <w:r>
        <w:rPr>
          <w:rFonts w:ascii="DM Serif Display" w:cs="DM Serif Display" w:eastAsia="DM Serif Display" w:hAnsi="DM Serif Display"/>
          <w:b w:val="false"/>
          <w:bCs w:val="false"/>
          <w:i w:val="false"/>
          <w:iCs w:val="false"/>
          <w:caps w:val="false"/>
          <w:color w:val="1A1A1A"/>
          <w:sz w:val="46"/>
          <w:szCs w:val="46"/>
        </w:rPr>
        <w:t xml:space="preserve">da MedCuritiba.</w:t>
      </w:r>
    </w:p>
    <w:p>
      <w:pPr>
        <w:keepNext w:val="false"/>
        <w:spacing w:after="420" w:before="0" w:line="3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5B5B5B"/>
          <w:sz w:val="24"/>
          <w:szCs w:val="24"/>
        </w:rPr>
        <w:t xml:space="preserve">Integração de sistemas, desenvolvimento sob demanda e evolução tecnológica contínua — um Departamento de TI as a Service, com o </w:t>
      </w: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003FCD"/>
          <w:sz w:val="24"/>
          <w:szCs w:val="24"/>
        </w:rPr>
        <w:t xml:space="preserve">NearOne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5B5B5B"/>
          <w:sz w:val="24"/>
          <w:szCs w:val="24"/>
        </w:rPr>
        <w:t xml:space="preserve"> embarcado na operação.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rFonts w:ascii="DM Mono" w:cs="DM Mono" w:eastAsia="DM Mono" w:hAnsi="DM Mono"/>
                <w:b w:val="false"/>
                <w:bCs w:val="false"/>
                <w:i w:val="false"/>
                <w:iCs w:val="false"/>
                <w:caps/>
                <w:color w:val="003FCD"/>
                <w:spacing w:val="30"/>
                <w:sz w:val="15"/>
                <w:szCs w:val="15"/>
              </w:rPr>
              <w:t xml:space="preserve">Para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line="248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MedCuritiba — Medicina e Segurança do Trabalho</w:t>
            </w: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5B5B5B"/>
                <w:sz w:val="21"/>
                <w:szCs w:val="21"/>
              </w:rPr>
              <w:t xml:space="preserve">  ·  Curitiba/PR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rFonts w:ascii="DM Mono" w:cs="DM Mono" w:eastAsia="DM Mono" w:hAnsi="DM Mono"/>
                <w:b w:val="false"/>
                <w:bCs w:val="false"/>
                <w:i w:val="false"/>
                <w:iCs w:val="false"/>
                <w:caps/>
                <w:color w:val="003FCD"/>
                <w:spacing w:val="30"/>
                <w:sz w:val="15"/>
                <w:szCs w:val="15"/>
              </w:rPr>
              <w:t xml:space="preserve">A/C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line="248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Diretoria MedCuritiba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rFonts w:ascii="DM Mono" w:cs="DM Mono" w:eastAsia="DM Mono" w:hAnsi="DM Mono"/>
                <w:b w:val="false"/>
                <w:bCs w:val="false"/>
                <w:i w:val="false"/>
                <w:iCs w:val="false"/>
                <w:caps/>
                <w:color w:val="003FCD"/>
                <w:spacing w:val="30"/>
                <w:sz w:val="15"/>
                <w:szCs w:val="15"/>
              </w:rPr>
              <w:t xml:space="preserve">De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line="248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William Novak</w:t>
            </w: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5B5B5B"/>
                <w:sz w:val="21"/>
                <w:szCs w:val="21"/>
              </w:rPr>
              <w:t xml:space="preserve">  ·  Shift G — Fábrica de software + IA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rFonts w:ascii="DM Mono" w:cs="DM Mono" w:eastAsia="DM Mono" w:hAnsi="DM Mono"/>
                <w:b w:val="false"/>
                <w:bCs w:val="false"/>
                <w:i w:val="false"/>
                <w:iCs w:val="false"/>
                <w:caps/>
                <w:color w:val="003FCD"/>
                <w:spacing w:val="30"/>
                <w:sz w:val="15"/>
                <w:szCs w:val="15"/>
              </w:rPr>
              <w:t xml:space="preserve"/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line="248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5B5B5B"/>
                <w:sz w:val="18"/>
                <w:szCs w:val="18"/>
              </w:rPr>
              <w:t xml:space="preserve">Novak &amp; Roiek Ltda. — Shift G Consultoria e Soluções Tecnológicas · CNPJ 37.915.641/0001-86 · União da Vitória/PR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rFonts w:ascii="DM Mono" w:cs="DM Mono" w:eastAsia="DM Mono" w:hAnsi="DM Mono"/>
                <w:b w:val="false"/>
                <w:bCs w:val="false"/>
                <w:i w:val="false"/>
                <w:iCs w:val="false"/>
                <w:caps/>
                <w:color w:val="003FCD"/>
                <w:spacing w:val="30"/>
                <w:sz w:val="15"/>
                <w:szCs w:val="15"/>
              </w:rPr>
              <w:t xml:space="preserve">Data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line="248"/>
            </w:pPr>
            <w:r>
              <w:rPr>
                <w:rFonts w:ascii="DM Mono" w:cs="DM Mono" w:eastAsia="DM Mono" w:hAnsi="DM Mono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26 de junho de 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rFonts w:ascii="DM Mono" w:cs="DM Mono" w:eastAsia="DM Mono" w:hAnsi="DM Mono"/>
                <w:b w:val="false"/>
                <w:bCs w:val="false"/>
                <w:i w:val="false"/>
                <w:iCs w:val="false"/>
                <w:caps/>
                <w:color w:val="003FCD"/>
                <w:spacing w:val="30"/>
                <w:sz w:val="15"/>
                <w:szCs w:val="15"/>
              </w:rPr>
              <w:t xml:space="preserve">Validade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line="248"/>
            </w:pPr>
            <w:r>
              <w:rPr>
                <w:rFonts w:ascii="DM Mono" w:cs="DM Mono" w:eastAsia="DM Mono" w:hAnsi="DM Mono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30 dias</w:t>
            </w:r>
          </w:p>
        </w:tc>
      </w:tr>
    </w:tbl>
    <w:p>
      <w:pPr>
        <w:spacing w:after="0" w:before="420"/>
      </w:pPr>
      <w:r>
        <w:rPr>
          <w:rFonts w:ascii="DM Sans" w:cs="DM Sans" w:eastAsia="DM Sans" w:hAnsi="DM Sans"/>
          <w:b w:val="false"/>
          <w:bCs w:val="false"/>
          <w:i/>
          <w:iCs/>
          <w:caps w:val="false"/>
          <w:color w:val="5B5B5B"/>
          <w:sz w:val="16"/>
          <w:szCs w:val="16"/>
        </w:rPr>
        <w:t xml:space="preserve">Documento confidencial. Elaborado exclusivamente para avaliação da MedCuritiba.</w:t>
      </w:r>
    </w:p>
    <w:p>
      <w:pPr>
        <w:pageBreakBefore/>
      </w:pPr>
    </w:p>
    <w:p>
      <w:pPr>
        <w:pStyle w:val="Heading1"/>
        <w:keepNext/>
        <w:pBdr>
          <w:bottom w:val="single" w:color="003FCD" w:sz="6" w:space="4"/>
        </w:pBdr>
        <w:spacing w:after="170" w:before="320" w:line="276"/>
      </w:pPr>
      <w:r>
        <w:rPr>
          <w:rFonts w:ascii="DM Serif Display" w:cs="DM Serif Display" w:eastAsia="DM Serif Display" w:hAnsi="DM Serif Display"/>
          <w:b w:val="false"/>
          <w:bCs w:val="false"/>
          <w:i w:val="false"/>
          <w:iCs w:val="false"/>
          <w:caps w:val="false"/>
          <w:color w:val="003FCD"/>
          <w:sz w:val="30"/>
          <w:szCs w:val="30"/>
        </w:rPr>
        <w:t xml:space="preserve">1. Identificação das partes</w:t>
      </w:r>
    </w:p>
    <w:p>
      <w:pPr>
        <w:pStyle w:val="Heading2"/>
        <w:keepNext/>
        <w:spacing w:after="90" w:before="200" w:line="264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3"/>
          <w:szCs w:val="23"/>
        </w:rPr>
        <w:t xml:space="preserve">Contratada</w:t>
      </w:r>
    </w:p>
    <w:p>
      <w:pPr>
        <w:keepNext w:val="false"/>
        <w:spacing w:after="140" w:before="0" w:line="264"/>
        <w:jc w:val="left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Novak &amp; Roiek Ltda.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— Shift G Consultoria e Soluções Tecnológicas. CNPJ 37.915.641/0001-86. Sede em União da Vitória/PR. Fábrica de software e inteligência artificial. Doravante </w:t>
      </w:r>
      <w:r>
        <w:rPr>
          <w:rFonts w:ascii="DM Sans" w:cs="DM Sans" w:eastAsia="DM Sans" w:hAnsi="DM Sans"/>
          <w:b w:val="false"/>
          <w:bCs w:val="false"/>
          <w:i/>
          <w:iCs/>
          <w:caps w:val="false"/>
          <w:color w:val="1A1A1A"/>
          <w:sz w:val="21"/>
          <w:szCs w:val="21"/>
        </w:rPr>
        <w:t xml:space="preserve">“Shift G”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.</w:t>
      </w:r>
    </w:p>
    <w:p>
      <w:pPr>
        <w:pStyle w:val="Heading2"/>
        <w:keepNext/>
        <w:spacing w:after="90" w:before="200" w:line="264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3"/>
          <w:szCs w:val="23"/>
        </w:rPr>
        <w:t xml:space="preserve">Contratante</w:t>
      </w:r>
    </w:p>
    <w:p>
      <w:pPr>
        <w:keepNext w:val="false"/>
        <w:spacing w:after="140" w:before="0" w:line="264"/>
        <w:jc w:val="left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MedCuritiba — Medicina e Segurança do Trabalho.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Curitiba/PR, em atividade desde 2011. Atende empresas de pequeno, médio e grande porte em saúde e segurança ocupacional (PCMSO, PGR, ASO e obrigações de eSocial). Doravante </w:t>
      </w:r>
      <w:r>
        <w:rPr>
          <w:rFonts w:ascii="DM Sans" w:cs="DM Sans" w:eastAsia="DM Sans" w:hAnsi="DM Sans"/>
          <w:b w:val="false"/>
          <w:bCs w:val="false"/>
          <w:i/>
          <w:iCs/>
          <w:caps w:val="false"/>
          <w:color w:val="1A1A1A"/>
          <w:sz w:val="21"/>
          <w:szCs w:val="21"/>
        </w:rPr>
        <w:t xml:space="preserve">“MedCuritiba”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.</w:t>
      </w:r>
    </w:p>
    <w:p>
      <w:pPr>
        <w:pStyle w:val="Heading2"/>
        <w:keepNext/>
        <w:spacing w:after="90" w:before="200" w:line="264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3"/>
          <w:szCs w:val="23"/>
        </w:rPr>
        <w:t xml:space="preserve">Sumário</w:t>
      </w:r>
    </w:p>
    <w:p>
      <w:pPr>
        <w:tabs>
          <w:tab w:val="left" w:pos="560"/>
        </w:tabs>
        <w:spacing w:after="56" w:before="0" w:line="252"/>
      </w:pPr>
      <w:r>
        <w:rPr>
          <w:rFonts w:ascii="DM Mono" w:cs="DM Mono" w:eastAsia="DM Mono" w:hAnsi="DM Mono"/>
          <w:b w:val="false"/>
          <w:bCs w:val="false"/>
          <w:i w:val="false"/>
          <w:iCs w:val="false"/>
          <w:caps w:val="false"/>
          <w:color w:val="003FCD"/>
          <w:sz w:val="18"/>
          <w:szCs w:val="18"/>
        </w:rPr>
        <w:t xml:space="preserve">01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	Identificação das partes</w:t>
      </w:r>
    </w:p>
    <w:p>
      <w:pPr>
        <w:tabs>
          <w:tab w:val="left" w:pos="560"/>
        </w:tabs>
        <w:spacing w:after="56" w:before="0" w:line="252"/>
      </w:pPr>
      <w:r>
        <w:rPr>
          <w:rFonts w:ascii="DM Mono" w:cs="DM Mono" w:eastAsia="DM Mono" w:hAnsi="DM Mono"/>
          <w:b w:val="false"/>
          <w:bCs w:val="false"/>
          <w:i w:val="false"/>
          <w:iCs w:val="false"/>
          <w:caps w:val="false"/>
          <w:color w:val="003FCD"/>
          <w:sz w:val="18"/>
          <w:szCs w:val="18"/>
        </w:rPr>
        <w:t xml:space="preserve">02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	Entendimento da MedCuritiba</w:t>
      </w:r>
    </w:p>
    <w:p>
      <w:pPr>
        <w:tabs>
          <w:tab w:val="left" w:pos="560"/>
        </w:tabs>
        <w:spacing w:after="56" w:before="0" w:line="252"/>
      </w:pPr>
      <w:r>
        <w:rPr>
          <w:rFonts w:ascii="DM Mono" w:cs="DM Mono" w:eastAsia="DM Mono" w:hAnsi="DM Mono"/>
          <w:b w:val="false"/>
          <w:bCs w:val="false"/>
          <w:i w:val="false"/>
          <w:iCs w:val="false"/>
          <w:caps w:val="false"/>
          <w:color w:val="003FCD"/>
          <w:sz w:val="18"/>
          <w:szCs w:val="18"/>
        </w:rPr>
        <w:t xml:space="preserve">03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	Visão da proposta</w:t>
      </w:r>
    </w:p>
    <w:p>
      <w:pPr>
        <w:tabs>
          <w:tab w:val="left" w:pos="560"/>
        </w:tabs>
        <w:spacing w:after="56" w:before="0" w:line="252"/>
      </w:pPr>
      <w:r>
        <w:rPr>
          <w:rFonts w:ascii="DM Mono" w:cs="DM Mono" w:eastAsia="DM Mono" w:hAnsi="DM Mono"/>
          <w:b w:val="false"/>
          <w:bCs w:val="false"/>
          <w:i w:val="false"/>
          <w:iCs w:val="false"/>
          <w:caps w:val="false"/>
          <w:color w:val="003FCD"/>
          <w:sz w:val="18"/>
          <w:szCs w:val="18"/>
        </w:rPr>
        <w:t xml:space="preserve">04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	Modelo de atuação</w:t>
      </w:r>
    </w:p>
    <w:p>
      <w:pPr>
        <w:tabs>
          <w:tab w:val="left" w:pos="560"/>
        </w:tabs>
        <w:spacing w:after="56" w:before="0" w:line="252"/>
      </w:pPr>
      <w:r>
        <w:rPr>
          <w:rFonts w:ascii="DM Mono" w:cs="DM Mono" w:eastAsia="DM Mono" w:hAnsi="DM Mono"/>
          <w:b w:val="false"/>
          <w:bCs w:val="false"/>
          <w:i w:val="false"/>
          <w:iCs w:val="false"/>
          <w:caps w:val="false"/>
          <w:color w:val="003FCD"/>
          <w:sz w:val="18"/>
          <w:szCs w:val="18"/>
        </w:rPr>
        <w:t xml:space="preserve">05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	Objeto e fases</w:t>
      </w:r>
    </w:p>
    <w:p>
      <w:pPr>
        <w:tabs>
          <w:tab w:val="left" w:pos="560"/>
        </w:tabs>
        <w:spacing w:after="56" w:before="0" w:line="252"/>
      </w:pPr>
      <w:r>
        <w:rPr>
          <w:rFonts w:ascii="DM Mono" w:cs="DM Mono" w:eastAsia="DM Mono" w:hAnsi="DM Mono"/>
          <w:b w:val="false"/>
          <w:bCs w:val="false"/>
          <w:i w:val="false"/>
          <w:iCs w:val="false"/>
          <w:caps w:val="false"/>
          <w:color w:val="003FCD"/>
          <w:sz w:val="18"/>
          <w:szCs w:val="18"/>
        </w:rPr>
        <w:t xml:space="preserve">06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	Escopo: incluído × não incluído</w:t>
      </w:r>
    </w:p>
    <w:p>
      <w:pPr>
        <w:tabs>
          <w:tab w:val="left" w:pos="560"/>
        </w:tabs>
        <w:spacing w:after="56" w:before="0" w:line="252"/>
      </w:pPr>
      <w:r>
        <w:rPr>
          <w:rFonts w:ascii="DM Mono" w:cs="DM Mono" w:eastAsia="DM Mono" w:hAnsi="DM Mono"/>
          <w:b w:val="false"/>
          <w:bCs w:val="false"/>
          <w:i w:val="false"/>
          <w:iCs w:val="false"/>
          <w:caps w:val="false"/>
          <w:color w:val="003FCD"/>
          <w:sz w:val="18"/>
          <w:szCs w:val="18"/>
        </w:rPr>
        <w:t xml:space="preserve">07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	NearOne na MedCuritiba</w:t>
      </w:r>
    </w:p>
    <w:p>
      <w:pPr>
        <w:tabs>
          <w:tab w:val="left" w:pos="560"/>
        </w:tabs>
        <w:spacing w:after="56" w:before="0" w:line="252"/>
      </w:pPr>
      <w:r>
        <w:rPr>
          <w:rFonts w:ascii="DM Mono" w:cs="DM Mono" w:eastAsia="DM Mono" w:hAnsi="DM Mono"/>
          <w:b w:val="false"/>
          <w:bCs w:val="false"/>
          <w:i w:val="false"/>
          <w:iCs w:val="false"/>
          <w:caps w:val="false"/>
          <w:color w:val="003FCD"/>
          <w:sz w:val="18"/>
          <w:szCs w:val="18"/>
        </w:rPr>
        <w:t xml:space="preserve">08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	Investimento</w:t>
      </w:r>
    </w:p>
    <w:p>
      <w:pPr>
        <w:tabs>
          <w:tab w:val="left" w:pos="560"/>
        </w:tabs>
        <w:spacing w:after="56" w:before="0" w:line="252"/>
      </w:pPr>
      <w:r>
        <w:rPr>
          <w:rFonts w:ascii="DM Mono" w:cs="DM Mono" w:eastAsia="DM Mono" w:hAnsi="DM Mono"/>
          <w:b w:val="false"/>
          <w:bCs w:val="false"/>
          <w:i w:val="false"/>
          <w:iCs w:val="false"/>
          <w:caps w:val="false"/>
          <w:color w:val="003FCD"/>
          <w:sz w:val="18"/>
          <w:szCs w:val="18"/>
        </w:rPr>
        <w:t xml:space="preserve">09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	Governança e SLA</w:t>
      </w:r>
    </w:p>
    <w:p>
      <w:pPr>
        <w:tabs>
          <w:tab w:val="left" w:pos="560"/>
        </w:tabs>
        <w:spacing w:after="56" w:before="0" w:line="252"/>
      </w:pPr>
      <w:r>
        <w:rPr>
          <w:rFonts w:ascii="DM Mono" w:cs="DM Mono" w:eastAsia="DM Mono" w:hAnsi="DM Mono"/>
          <w:b w:val="false"/>
          <w:bCs w:val="false"/>
          <w:i w:val="false"/>
          <w:iCs w:val="false"/>
          <w:caps w:val="false"/>
          <w:color w:val="003FCD"/>
          <w:sz w:val="18"/>
          <w:szCs w:val="18"/>
        </w:rPr>
        <w:t xml:space="preserve">10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	Propriedade intelectual e licenciamento</w:t>
      </w:r>
    </w:p>
    <w:p>
      <w:pPr>
        <w:tabs>
          <w:tab w:val="left" w:pos="560"/>
        </w:tabs>
        <w:spacing w:after="56" w:before="0" w:line="252"/>
      </w:pPr>
      <w:r>
        <w:rPr>
          <w:rFonts w:ascii="DM Mono" w:cs="DM Mono" w:eastAsia="DM Mono" w:hAnsi="DM Mono"/>
          <w:b w:val="false"/>
          <w:bCs w:val="false"/>
          <w:i w:val="false"/>
          <w:iCs w:val="false"/>
          <w:caps w:val="false"/>
          <w:color w:val="003FCD"/>
          <w:sz w:val="18"/>
          <w:szCs w:val="18"/>
        </w:rPr>
        <w:t xml:space="preserve">11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	Termos comerciais</w:t>
      </w:r>
    </w:p>
    <w:p>
      <w:pPr>
        <w:tabs>
          <w:tab w:val="left" w:pos="560"/>
        </w:tabs>
        <w:spacing w:after="56" w:before="0" w:line="252"/>
      </w:pPr>
      <w:r>
        <w:rPr>
          <w:rFonts w:ascii="DM Mono" w:cs="DM Mono" w:eastAsia="DM Mono" w:hAnsi="DM Mono"/>
          <w:b w:val="false"/>
          <w:bCs w:val="false"/>
          <w:i w:val="false"/>
          <w:iCs w:val="false"/>
          <w:caps w:val="false"/>
          <w:color w:val="003FCD"/>
          <w:sz w:val="18"/>
          <w:szCs w:val="18"/>
        </w:rPr>
        <w:t xml:space="preserve">12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	Próximos passos e aceite</w:t>
      </w:r>
    </w:p>
    <w:p>
      <w:pPr>
        <w:tabs>
          <w:tab w:val="left" w:pos="560"/>
        </w:tabs>
        <w:spacing w:after="0" w:before="56"/>
      </w:pPr>
      <w:r>
        <w:rPr>
          <w:rFonts w:ascii="DM Mono" w:cs="DM Mono" w:eastAsia="DM Mono" w:hAnsi="DM Mono"/>
          <w:b w:val="false"/>
          <w:bCs w:val="false"/>
          <w:i w:val="false"/>
          <w:iCs w:val="false"/>
          <w:caps w:val="false"/>
          <w:color w:val="5B5B5B"/>
          <w:sz w:val="18"/>
          <w:szCs w:val="18"/>
        </w:rPr>
        <w:t xml:space="preserve">—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5B5B5B"/>
          <w:sz w:val="20"/>
          <w:szCs w:val="20"/>
        </w:rPr>
        <w:t xml:space="preserve">	Premissas assumidas (para revisão)</w:t>
      </w:r>
    </w:p>
    <w:p>
      <w:pPr>
        <w:pStyle w:val="Heading1"/>
        <w:keepNext/>
        <w:pageBreakBefore/>
        <w:pBdr>
          <w:bottom w:val="single" w:color="003FCD" w:sz="6" w:space="4"/>
        </w:pBdr>
        <w:spacing w:after="170" w:before="320" w:line="276"/>
      </w:pPr>
      <w:r>
        <w:rPr>
          <w:rFonts w:ascii="DM Serif Display" w:cs="DM Serif Display" w:eastAsia="DM Serif Display" w:hAnsi="DM Serif Display"/>
          <w:b w:val="false"/>
          <w:bCs w:val="false"/>
          <w:i w:val="false"/>
          <w:iCs w:val="false"/>
          <w:caps w:val="false"/>
          <w:color w:val="003FCD"/>
          <w:sz w:val="30"/>
          <w:szCs w:val="30"/>
        </w:rPr>
        <w:t xml:space="preserve">2. Entendimento da MedCuritiba</w:t>
      </w:r>
    </w:p>
    <w:p>
      <w:pPr>
        <w:keepNext w:val="false"/>
        <w:spacing w:after="140" w:before="0" w:line="264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Desde 2011, a MedCuritiba é referência em medicina e segurança do trabalho em Curitiba, atendendo empresas de pequeno, médio e grande porte. A operação cobre todo o ciclo de saúde ocupacional — PCMSO, PGR, ASO e as obrigações de eSocial — sustentada por dois sistemas centrais: o SOC, para a gestão de saúde ocupacional, e o Bitrix24, como CRM e motor de relacionamento.</w:t>
      </w:r>
    </w:p>
    <w:p>
      <w:pPr>
        <w:keepNext w:val="false"/>
        <w:spacing w:after="140" w:before="0" w:line="264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O processo é maduro, mas há uma lacuna estrutural: a MedCuritiba não possui hoje um braço de tecnologia próprio. SOC e Bitrix24 operam em ilhas, sem conversar entre si; integrações, automações e novas soluções dependem de iniciativas pontuais e fornecedores avulsos, sem continuidade nem visão de conjunto.</w:t>
      </w:r>
    </w:p>
    <w:p>
      <w:pPr>
        <w:keepNext w:val="false"/>
        <w:spacing w:after="140" w:before="0" w:line="264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O custo dessa lacuna é concreto: tempo de equipe gasto em tarefas manuais e repetitivas, dados que não se conectam e decisões tomadas sem uma visão única da operação. É exatamente esse trabalho invisível que consome a energia de quem deveria estar à frente — cuidando de clientes e de pessoas.</w:t>
      </w:r>
    </w:p>
    <w:p>
      <w:pPr>
        <w:pStyle w:val="Heading1"/>
        <w:keepNext/>
        <w:pBdr>
          <w:bottom w:val="single" w:color="003FCD" w:sz="6" w:space="4"/>
        </w:pBdr>
        <w:spacing w:after="170" w:before="320" w:line="276"/>
      </w:pPr>
      <w:r>
        <w:rPr>
          <w:rFonts w:ascii="DM Serif Display" w:cs="DM Serif Display" w:eastAsia="DM Serif Display" w:hAnsi="DM Serif Display"/>
          <w:b w:val="false"/>
          <w:bCs w:val="false"/>
          <w:i w:val="false"/>
          <w:iCs w:val="false"/>
          <w:caps w:val="false"/>
          <w:color w:val="003FCD"/>
          <w:sz w:val="30"/>
          <w:szCs w:val="30"/>
        </w:rPr>
        <w:t xml:space="preserve">3. Visão da proposta</w:t>
      </w:r>
    </w:p>
    <w:p>
      <w:pPr>
        <w:keepNext w:val="false"/>
        <w:spacing w:after="140" w:before="0" w:line="264"/>
        <w:jc w:val="left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A Shift G entra como o braço tecnológico que a MedCuritiba ainda não tem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— um modelo de </w:t>
      </w: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Departamento de TI as a Service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. Não é um projeto pontual com início e fim: é uma parceria contínua que fomenta tecnologia, identifica pontos de melhoria, propõe e desenvolve soluções para todos os processos da MedCuritiba, sob demanda.</w:t>
      </w:r>
    </w:p>
    <w:p>
      <w:pPr>
        <w:keepNext w:val="false"/>
        <w:spacing w:after="140" w:before="0" w:line="264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Embarcado nesse pacote vem o </w:t>
      </w: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003FCD"/>
          <w:sz w:val="21"/>
          <w:szCs w:val="21"/>
        </w:rPr>
        <w:t xml:space="preserve">NearOne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, produto proprietário da Shift G, integrado à operação. Juntos, consultoria e plataforma entregam quatro coisas que hoje faltam: integração entre sistemas, suporte contínuo, fomento de novas tecnologias e um braço tecnológico permanente.</w:t>
      </w:r>
    </w:p>
    <w:p>
      <w:pPr>
        <w:keepLines/>
        <w:pBdr>
          <w:left w:val="single" w:color="003FCD" w:sz="18" w:space="10"/>
        </w:pBdr>
        <w:shd w:fill="EEF2FD" w:color="auto" w:val="clear"/>
        <w:spacing w:after="160" w:before="60" w:line="268"/>
        <w:ind w:left="300" w:right="120"/>
      </w:pPr>
      <w:r>
        <w:rPr>
          <w:rFonts w:ascii="DM Serif Display" w:cs="DM Serif Display" w:eastAsia="DM Serif Display" w:hAnsi="DM Serif Display"/>
          <w:b w:val="false"/>
          <w:bCs w:val="false"/>
          <w:i w:val="false"/>
          <w:iCs w:val="false"/>
          <w:caps w:val="false"/>
          <w:color w:val="003FCD"/>
          <w:sz w:val="24"/>
          <w:szCs w:val="24"/>
        </w:rPr>
        <w:t xml:space="preserve">A IA trabalha no fundo. As pessoas, na frente.</w:t>
      </w:r>
      <w:r>
        <w:rPr>
          <w:rFonts w:ascii="DM Sans" w:cs="DM Sans" w:eastAsia="DM Sans" w:hAnsi="DM Sans"/>
          <w:b w:val="false"/>
          <w:bCs w:val="false"/>
          <w:i/>
          <w:iCs/>
          <w:caps w:val="false"/>
          <w:color w:val="1A1A1A"/>
          <w:sz w:val="20"/>
          <w:szCs w:val="20"/>
        </w:rPr>
        <w:t xml:space="preserve">  Colocamos a inteligência artificial onde ela rende mais — no que é repetitivo e invisível — para devolver tempo, energia e foco às pessoas da MedCuritiba.</w:t>
      </w:r>
    </w:p>
    <w:p>
      <w:pPr>
        <w:pStyle w:val="Heading1"/>
        <w:keepNext/>
        <w:pBdr>
          <w:bottom w:val="single" w:color="003FCD" w:sz="6" w:space="4"/>
        </w:pBdr>
        <w:spacing w:after="170" w:before="320" w:line="276"/>
      </w:pPr>
      <w:r>
        <w:rPr>
          <w:rFonts w:ascii="DM Serif Display" w:cs="DM Serif Display" w:eastAsia="DM Serif Display" w:hAnsi="DM Serif Display"/>
          <w:b w:val="false"/>
          <w:bCs w:val="false"/>
          <w:i w:val="false"/>
          <w:iCs w:val="false"/>
          <w:caps w:val="false"/>
          <w:color w:val="003FCD"/>
          <w:sz w:val="30"/>
          <w:szCs w:val="30"/>
        </w:rPr>
        <w:t xml:space="preserve">4. Modelo de atuação</w:t>
      </w:r>
    </w:p>
    <w:p>
      <w:pPr>
        <w:keepNext w:val="false"/>
        <w:spacing w:after="140" w:before="0" w:line="264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A parceria funciona em ciclos mensais, com prioridades acordadas em conjunto e executadas ao longo do mês:</w:t>
      </w:r>
    </w:p>
    <w:p>
      <w:pPr>
        <w:pStyle w:val="ListParagraph"/>
        <w:numPr>
          <w:ilvl w:val="0"/>
          <w:numId w:val="2"/>
        </w:numPr>
        <w:spacing w:after="70" w:before="0" w:line="258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Roadmap mensal.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No início de cada mês, Shift G e MedCuritiba definem juntas as prioridades do período e o que será entregue, com prazos.</w:t>
      </w:r>
    </w:p>
    <w:p>
      <w:pPr>
        <w:pStyle w:val="ListParagraph"/>
        <w:numPr>
          <w:ilvl w:val="0"/>
          <w:numId w:val="2"/>
        </w:numPr>
        <w:spacing w:after="70" w:before="0" w:line="258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Atuação contínua e sob demanda.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Integração de sistemas, desenvolvimento sob demanda, suporte e evolução tecnológica ao longo de todo o mês.</w:t>
      </w:r>
    </w:p>
    <w:p>
      <w:pPr>
        <w:pStyle w:val="ListParagraph"/>
        <w:numPr>
          <w:ilvl w:val="0"/>
          <w:numId w:val="2"/>
        </w:numPr>
        <w:spacing w:after="70" w:before="0" w:line="258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Priorização acordada.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As demandas são atendidas por ordem de prioridade; iniciativas de maior porte recebem cronograma próprio, definido em conjunto.</w:t>
      </w:r>
    </w:p>
    <w:p>
      <w:pPr>
        <w:pStyle w:val="ListParagraph"/>
        <w:numPr>
          <w:ilvl w:val="0"/>
          <w:numId w:val="2"/>
        </w:numPr>
        <w:spacing w:after="70" w:before="0" w:line="258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Governança mensal.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Uma reunião por mês revisa as entregas do período anterior e fecha o roadmap do próximo, com ponto focal definido de cada lado.</w:t>
      </w:r>
    </w:p>
    <w:p>
      <w:pPr>
        <w:pStyle w:val="Heading1"/>
        <w:keepNext/>
        <w:pBdr>
          <w:bottom w:val="single" w:color="003FCD" w:sz="6" w:space="4"/>
        </w:pBdr>
        <w:spacing w:after="170" w:before="320" w:line="276"/>
      </w:pPr>
      <w:r>
        <w:rPr>
          <w:rFonts w:ascii="DM Serif Display" w:cs="DM Serif Display" w:eastAsia="DM Serif Display" w:hAnsi="DM Serif Display"/>
          <w:b w:val="false"/>
          <w:bCs w:val="false"/>
          <w:i w:val="false"/>
          <w:iCs w:val="false"/>
          <w:caps w:val="false"/>
          <w:color w:val="003FCD"/>
          <w:sz w:val="30"/>
          <w:szCs w:val="30"/>
        </w:rPr>
        <w:t xml:space="preserve">5. Objeto e fases</w:t>
      </w:r>
    </w:p>
    <w:p>
      <w:pPr>
        <w:keepNext w:val="false"/>
        <w:spacing w:after="140" w:before="0" w:line="264"/>
        <w:jc w:val="left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Objeto.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Prestação contínua de serviços de tecnologia pela Shift G — consultoria, integração, desenvolvimento sob demanda, suporte e evolução — com a plataforma NearOne licenciada e embarcada na operação da MedCuritiba. A evolução se dá em três horizontes; a linha do tempo é aproximada e ajustada a cada roadmap mensal.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2050"/>
        <w:gridCol w:w="5768"/>
      </w:tblGrid>
      <w:tr>
        <w:trPr>
          <w:cantSplit/>
          <w:tblHeader/>
        </w:trPr>
        <w:tc>
          <w:tcPr>
            <w:tcW w:type="dxa" w:w="1820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shd w:fill="003FCD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050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shd w:fill="003FCD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Horizonte</w:t>
            </w:r>
          </w:p>
        </w:tc>
        <w:tc>
          <w:tcPr>
            <w:tcW w:type="dxa" w:w="5768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shd w:fill="003FCD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Foco e entregáveis</w:t>
            </w:r>
          </w:p>
        </w:tc>
      </w:tr>
      <w:tr>
        <w:trPr>
          <w:cantSplit/>
        </w:trPr>
        <w:tc>
          <w:tcPr>
            <w:tcW w:type="dxa" w:w="1820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aps w:val="false"/>
                <w:color w:val="003FCD"/>
                <w:sz w:val="20"/>
                <w:szCs w:val="20"/>
              </w:rPr>
              <w:t xml:space="preserve">Curto prazo</w:t>
            </w:r>
          </w:p>
        </w:tc>
        <w:tc>
          <w:tcPr>
            <w:tcW w:type="dxa" w:w="2050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Mono" w:cs="DM Mono" w:eastAsia="DM Mono" w:hAnsi="DM Mono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Mês 1–2
(~0–60 dias)</w:t>
            </w:r>
          </w:p>
        </w:tc>
        <w:tc>
          <w:tcPr>
            <w:tcW w:type="dxa" w:w="5768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Ativação do NearOne na operação da MedCuritiba; início da integração com o SOC (conector SOC↔NearOne); diagnóstico técnico dos processos; primeiro roadmap mensal.</w:t>
            </w:r>
          </w:p>
        </w:tc>
      </w:tr>
      <w:tr>
        <w:trPr>
          <w:cantSplit/>
        </w:trPr>
        <w:tc>
          <w:tcPr>
            <w:tcW w:type="dxa" w:w="1820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shd w:fill="EEF2FD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aps w:val="false"/>
                <w:color w:val="003FCD"/>
                <w:sz w:val="20"/>
                <w:szCs w:val="20"/>
              </w:rPr>
              <w:t xml:space="preserve">Médio prazo</w:t>
            </w:r>
          </w:p>
        </w:tc>
        <w:tc>
          <w:tcPr>
            <w:tcW w:type="dxa" w:w="2050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shd w:fill="EEF2FD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Mono" w:cs="DM Mono" w:eastAsia="DM Mono" w:hAnsi="DM Mono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Mês 3–6
(~90–180 dias)</w:t>
            </w:r>
          </w:p>
        </w:tc>
        <w:tc>
          <w:tcPr>
            <w:tcW w:type="dxa" w:w="5768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shd w:fill="EEF2FD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Integração entre SOC, Bitrix24, NearOne e demais sistemas; automações de processos priorizadas no roadmap; rotina de suporte e evolução contínua estabelecida.</w:t>
            </w:r>
          </w:p>
        </w:tc>
      </w:tr>
      <w:tr>
        <w:trPr>
          <w:cantSplit/>
        </w:trPr>
        <w:tc>
          <w:tcPr>
            <w:tcW w:type="dxa" w:w="1820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aps w:val="false"/>
                <w:color w:val="003FCD"/>
                <w:sz w:val="20"/>
                <w:szCs w:val="20"/>
              </w:rPr>
              <w:t xml:space="preserve">Longo prazo</w:t>
            </w:r>
          </w:p>
        </w:tc>
        <w:tc>
          <w:tcPr>
            <w:tcW w:type="dxa" w:w="2050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Mono" w:cs="DM Mono" w:eastAsia="DM Mono" w:hAnsi="DM Mono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Mês 6–12+</w:t>
            </w:r>
          </w:p>
        </w:tc>
        <w:tc>
          <w:tcPr>
            <w:tcW w:type="dxa" w:w="5768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Cockpit operacional unificado; consolidação de dados em datalake; dashboards de BI (Power BI) para apoiar a decisão da gestão.</w:t>
            </w:r>
          </w:p>
        </w:tc>
      </w:tr>
    </w:tbl>
    <w:p>
      <w:pPr>
        <w:keepNext w:val="false"/>
        <w:spacing w:after="40" w:before="0" w:line="264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p>
      <w:pPr>
        <w:pStyle w:val="Heading1"/>
        <w:keepNext/>
        <w:pBdr>
          <w:bottom w:val="single" w:color="003FCD" w:sz="6" w:space="4"/>
        </w:pBdr>
        <w:spacing w:after="170" w:before="320" w:line="276"/>
      </w:pPr>
      <w:r>
        <w:rPr>
          <w:rFonts w:ascii="DM Serif Display" w:cs="DM Serif Display" w:eastAsia="DM Serif Display" w:hAnsi="DM Serif Display"/>
          <w:b w:val="false"/>
          <w:bCs w:val="false"/>
          <w:i w:val="false"/>
          <w:iCs w:val="false"/>
          <w:caps w:val="false"/>
          <w:color w:val="003FCD"/>
          <w:sz w:val="30"/>
          <w:szCs w:val="30"/>
        </w:rPr>
        <w:t xml:space="preserve">6. Escopo: incluído × não incluído</w:t>
      </w:r>
    </w:p>
    <w:p>
      <w:pPr>
        <w:keepNext w:val="false"/>
        <w:spacing w:after="140" w:before="0" w:line="264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Para que a parceria permaneça estratégica e não se transforme em break-fix, o escopo é definido de forma explícita.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shd w:fill="F4F7FE" w:color="auto" w:val="clear"/>
            <w:tcMar>
              <w:top w:type="dxa" w:w="14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90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aps w:val="false"/>
                <w:color w:val="003FCD"/>
                <w:sz w:val="20"/>
                <w:szCs w:val="20"/>
              </w:rPr>
              <w:t xml:space="preserve">✓  Incluído na mensalidade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4" w:line="256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Consultoria e direção técnica de tecnologia.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4" w:line="256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Fomento de tecnologia: análise de pontos de melhoria e proposta de soluções.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4" w:line="256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Desenvolvimento sob demanda conforme o roadmap de cada período.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4" w:line="256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Integração de sistemas (SOC, Bitrix24, NearOne e demais), incluindo o conector SOC↔NearOne.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4" w:line="256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Licença de uso do NearOne para a operação interna da MedCuritiba.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4" w:line="256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Suporte e evolução das soluções entregues pela Shift 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4" w:line="256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Reunião mensal de governança e roadmap.</w:t>
            </w:r>
          </w:p>
        </w:tc>
        <w:tc>
          <w:tcPr>
            <w:tcW w:type="dxa" w:w="4819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shd w:fill="FAFAFB" w:color="auto" w:val="clear"/>
            <w:tcMar>
              <w:top w:type="dxa" w:w="14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90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aps w:val="false"/>
                <w:color w:val="5B5B5B"/>
                <w:sz w:val="20"/>
                <w:szCs w:val="20"/>
              </w:rPr>
              <w:t xml:space="preserve">✕  Não incluído (salvo escopo à parte)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4" w:line="256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Helpdesk genérico de TI e suporte a endpoint (estações, impressoras, rede, e-mail corporativo).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4" w:line="256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Break-fix de hardware ou de softwares de terceiros não desenvolvidos pela Shift 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4" w:line="256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Revenda ou distribuição do NearOne para a carteira de clientes da MedCuritiba (decisão futura, em acordo separado).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4" w:line="256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Custos de terceiros: servidores, hospedagem, banco de dados, domínios e licenças de software — especificados pela Shift G, mas contratados e pagos diretamente pela MedCuritiba.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4" w:line="256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Licenças e mensalidades do próprio SOC e do Bitrix24, mantidas pela MedCuritiba.</w:t>
            </w:r>
          </w:p>
        </w:tc>
      </w:tr>
    </w:tbl>
    <w:p>
      <w:pPr>
        <w:keepNext w:val="false"/>
        <w:spacing w:after="30" w:before="0" w:line="264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p>
      <w:pPr>
        <w:keepLines/>
        <w:pBdr>
          <w:left w:val="single" w:color="003FCD" w:sz="18" w:space="10"/>
        </w:pBdr>
        <w:shd w:fill="EEF2FD" w:color="auto" w:val="clear"/>
        <w:spacing w:after="160" w:before="60" w:line="268"/>
        <w:ind w:left="300" w:right="120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Honestidade técnica.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A conformidade com o eSocial é atendida </w:t>
      </w: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através do SOC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— a Shift G não promete uma integração nativa própria com o eSocial. A via técnica é o SOC, que já concentra esses dados na operação da MedCuritiba.</w:t>
      </w:r>
    </w:p>
    <w:p>
      <w:pPr>
        <w:pStyle w:val="Heading1"/>
        <w:keepNext/>
        <w:pBdr>
          <w:bottom w:val="single" w:color="003FCD" w:sz="6" w:space="4"/>
        </w:pBdr>
        <w:spacing w:after="170" w:before="320" w:line="276"/>
      </w:pPr>
      <w:r>
        <w:rPr>
          <w:rFonts w:ascii="DM Serif Display" w:cs="DM Serif Display" w:eastAsia="DM Serif Display" w:hAnsi="DM Serif Display"/>
          <w:b w:val="false"/>
          <w:bCs w:val="false"/>
          <w:i w:val="false"/>
          <w:iCs w:val="false"/>
          <w:caps w:val="false"/>
          <w:color w:val="003FCD"/>
          <w:sz w:val="30"/>
          <w:szCs w:val="30"/>
        </w:rPr>
        <w:t xml:space="preserve">7. NearOne na MedCuritiba</w:t>
      </w:r>
    </w:p>
    <w:p>
      <w:pPr>
        <w:keepNext w:val="false"/>
        <w:spacing w:after="140" w:before="0" w:line="264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O </w:t>
      </w: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003FCD"/>
          <w:sz w:val="21"/>
          <w:szCs w:val="21"/>
        </w:rPr>
        <w:t xml:space="preserve">NearOne (Nr1)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é o sistema de gestão de riscos psicossociais da Shift G, alinhado à NR-1. Entra embarcado nesta parceria e é integrado à operação interna da MedCuritiba.</w:t>
      </w:r>
    </w:p>
    <w:p>
      <w:pPr>
        <w:pStyle w:val="Heading2"/>
        <w:keepNext/>
        <w:spacing w:after="90" w:before="200" w:line="264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3"/>
          <w:szCs w:val="23"/>
        </w:rPr>
        <w:t xml:space="preserve">Módulos e valor</w:t>
      </w:r>
    </w:p>
    <w:p>
      <w:pPr>
        <w:pStyle w:val="ListParagraph"/>
        <w:numPr>
          <w:ilvl w:val="0"/>
          <w:numId w:val="2"/>
        </w:numPr>
        <w:spacing w:after="70" w:before="0" w:line="258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Mapeamento de riscos psicossociais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— identificação e gestão dos riscos exigidos pela NR-1.</w:t>
      </w:r>
    </w:p>
    <w:p>
      <w:pPr>
        <w:pStyle w:val="ListParagraph"/>
        <w:numPr>
          <w:ilvl w:val="0"/>
          <w:numId w:val="2"/>
        </w:numPr>
        <w:spacing w:after="70" w:before="0" w:line="258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Canal de denúncias seguro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— voz às pessoas, com sigilo e rastreabilidade.</w:t>
      </w:r>
    </w:p>
    <w:p>
      <w:pPr>
        <w:pStyle w:val="ListParagraph"/>
        <w:numPr>
          <w:ilvl w:val="0"/>
          <w:numId w:val="2"/>
        </w:numPr>
        <w:spacing w:after="70" w:before="0" w:line="258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Planos de ação com IA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— múltiplos níveis de inteligência artificial leem sinais, priorizam o urgente e constroem o plano de ação.</w:t>
      </w:r>
    </w:p>
    <w:p>
      <w:pPr>
        <w:pStyle w:val="ListParagraph"/>
        <w:numPr>
          <w:ilvl w:val="0"/>
          <w:numId w:val="2"/>
        </w:numPr>
        <w:spacing w:after="70" w:before="0" w:line="258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Escala comprovada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— </w:t>
      </w:r>
      <w:r>
        <w:rPr>
          <w:rFonts w:ascii="DM Mono" w:cs="DM Mono" w:eastAsia="DM Mono" w:hAnsi="DM Mono"/>
          <w:b/>
          <w:bCs/>
          <w:i w:val="false"/>
          <w:iCs w:val="false"/>
          <w:caps w:val="false"/>
          <w:color w:val="003FCD"/>
          <w:sz w:val="21"/>
          <w:szCs w:val="21"/>
        </w:rPr>
        <w:t xml:space="preserve">+50.000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vidas já mapeadas em operação real.</w:t>
      </w:r>
    </w:p>
    <w:p>
      <w:pPr>
        <w:keepNext w:val="false"/>
        <w:spacing w:after="140" w:before="0" w:line="264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Na MedCuritiba, o NearOne é ativado na operação interna e integrado ao SOC, dando à gestão uma camada de inteligência sobre saúde e risco — a IA no fundo, a equipe à frente. A eventual oferta do NearOne à carteira de clientes da MedCuritiba é uma decisão futura, tratada em acordo separado e fora do escopo desta proposta.</w:t>
      </w:r>
    </w:p>
    <w:p>
      <w:pPr>
        <w:keepLines/>
        <w:pBdr>
          <w:left w:val="single" w:color="003FCD" w:sz="18" w:space="10"/>
        </w:pBdr>
        <w:shd w:fill="EEF2FD" w:color="auto" w:val="clear"/>
        <w:spacing w:after="160" w:before="60" w:line="268"/>
        <w:ind w:left="300" w:right="120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Natureza do produto.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 NearOne é software: não presta serviço técnico nem assina laudos. Todos os serviços — integração, desenvolvimento, suporte e consultoria — são entregues pela Shift G. Por isso licença e consultoria são linhas distintas em natureza, ainda que ofertadas como um único pacote.</w:t>
      </w:r>
    </w:p>
    <w:p>
      <w:pPr>
        <w:pStyle w:val="Heading1"/>
        <w:keepNext/>
        <w:pBdr>
          <w:bottom w:val="single" w:color="003FCD" w:sz="6" w:space="4"/>
        </w:pBdr>
        <w:spacing w:after="170" w:before="320" w:line="276"/>
      </w:pPr>
      <w:r>
        <w:rPr>
          <w:rFonts w:ascii="DM Serif Display" w:cs="DM Serif Display" w:eastAsia="DM Serif Display" w:hAnsi="DM Serif Display"/>
          <w:b w:val="false"/>
          <w:bCs w:val="false"/>
          <w:i w:val="false"/>
          <w:iCs w:val="false"/>
          <w:caps w:val="false"/>
          <w:color w:val="003FCD"/>
          <w:sz w:val="30"/>
          <w:szCs w:val="30"/>
        </w:rPr>
        <w:t xml:space="preserve">8. Investimento</w:t>
      </w:r>
    </w:p>
    <w:p>
      <w:pPr>
        <w:keepNext w:val="false"/>
        <w:spacing w:after="140" w:before="0" w:line="264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O investimento é um </w:t>
      </w: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pacote integrado de R$ 15.000,00 por mês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, com a composição explícita abaixo. As duas linhas têm naturezas distintas — licença de software e prestação de serviço — mas são contratadas e entregues como um conjunto único.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738"/>
      </w:tblGrid>
      <w:tr>
        <w:trPr>
          <w:cantSplit/>
          <w:tblHeader/>
        </w:trPr>
        <w:tc>
          <w:tcPr>
            <w:tcW w:type="dxa" w:w="6900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shd w:fill="003FCD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738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shd w:fill="003FCD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righ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Valor mensal</w:t>
            </w:r>
          </w:p>
        </w:tc>
      </w:tr>
      <w:tr>
        <w:trPr>
          <w:cantSplit/>
        </w:trPr>
        <w:tc>
          <w:tcPr>
            <w:tcW w:type="dxa" w:w="6900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Licença NearOne</w:t>
            </w:r>
          </w:p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5B5B5B"/>
                <w:sz w:val="18"/>
                <w:szCs w:val="18"/>
              </w:rPr>
              <w:t xml:space="preserve">Uso da plataforma de gestão de riscos psicossociais (NR-1): mapeamento, canal de denúncias e planos de ação com IA.</w:t>
            </w:r>
          </w:p>
        </w:tc>
        <w:tc>
          <w:tcPr>
            <w:tcW w:type="dxa" w:w="2738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right"/>
            </w:pPr>
            <w:r>
              <w:rPr>
                <w:rFonts w:ascii="DM Mono" w:cs="DM Mono" w:eastAsia="DM Mono" w:hAnsi="DM Mono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R$ 5.000,00</w:t>
            </w:r>
          </w:p>
        </w:tc>
      </w:tr>
      <w:tr>
        <w:trPr>
          <w:cantSplit/>
        </w:trPr>
        <w:tc>
          <w:tcPr>
            <w:tcW w:type="dxa" w:w="6900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shd w:fill="EEF2FD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Consultoria Shift G</w:t>
            </w:r>
          </w:p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5B5B5B"/>
                <w:sz w:val="18"/>
                <w:szCs w:val="18"/>
              </w:rPr>
              <w:t xml:space="preserve">Braço tecnológico: integração de sistemas, desenvolvimento sob demanda, suporte contínuo e fomento de tecnologia.</w:t>
            </w:r>
          </w:p>
        </w:tc>
        <w:tc>
          <w:tcPr>
            <w:tcW w:type="dxa" w:w="2738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shd w:fill="EEF2FD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right"/>
            </w:pPr>
            <w:r>
              <w:rPr>
                <w:rFonts w:ascii="DM Mono" w:cs="DM Mono" w:eastAsia="DM Mono" w:hAnsi="DM Mono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R$ 10.000,00</w:t>
            </w:r>
          </w:p>
        </w:tc>
      </w:tr>
      <w:tr>
        <w:trPr>
          <w:cantSplit/>
        </w:trPr>
        <w:tc>
          <w:tcPr>
            <w:tcW w:type="dxa" w:w="6900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shd w:fill="DEE6FB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Total mensal — pacote integrado</w:t>
            </w:r>
          </w:p>
        </w:tc>
        <w:tc>
          <w:tcPr>
            <w:tcW w:type="dxa" w:w="2738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shd w:fill="DEE6FB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right"/>
            </w:pPr>
            <w:r>
              <w:rPr>
                <w:rFonts w:ascii="DM Mono" w:cs="DM Mono" w:eastAsia="DM Mono" w:hAnsi="DM Mono"/>
                <w:b/>
                <w:bCs/>
                <w:i w:val="false"/>
                <w:iCs w:val="false"/>
                <w:caps w:val="false"/>
                <w:color w:val="003FCD"/>
                <w:sz w:val="23"/>
                <w:szCs w:val="23"/>
              </w:rPr>
              <w:t xml:space="preserve">R$ 15.000,00</w:t>
            </w:r>
          </w:p>
        </w:tc>
      </w:tr>
    </w:tbl>
    <w:p>
      <w:pPr>
        <w:keepNext w:val="false"/>
        <w:spacing w:after="30" w:before="0" w:line="264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p>
      <w:pPr>
        <w:keepNext w:val="false"/>
        <w:spacing w:after="140" w:before="0" w:line="264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Juntas, as duas linhas entregam o que a MedCuritiba não possui hoje: </w:t>
      </w: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integração de sistemas, suporte contínuo, fomento de tecnologias e um braço tecnológico permanente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. A licença remunera o uso da plataforma NearOne; a consultoria remunera o trabalho da Shift G. Custos de terceiros (item 6) não estão incluídos na mensalidade.</w:t>
      </w:r>
    </w:p>
    <w:p>
      <w:pPr>
        <w:pStyle w:val="Heading1"/>
        <w:keepNext/>
        <w:pBdr>
          <w:bottom w:val="single" w:color="003FCD" w:sz="6" w:space="4"/>
        </w:pBdr>
        <w:spacing w:after="170" w:before="320" w:line="276"/>
      </w:pPr>
      <w:r>
        <w:rPr>
          <w:rFonts w:ascii="DM Serif Display" w:cs="DM Serif Display" w:eastAsia="DM Serif Display" w:hAnsi="DM Serif Display"/>
          <w:b w:val="false"/>
          <w:bCs w:val="false"/>
          <w:i w:val="false"/>
          <w:iCs w:val="false"/>
          <w:caps w:val="false"/>
          <w:color w:val="003FCD"/>
          <w:sz w:val="30"/>
          <w:szCs w:val="30"/>
        </w:rPr>
        <w:t xml:space="preserve">9. Governança e SLA</w:t>
      </w:r>
    </w:p>
    <w:p>
      <w:pPr>
        <w:pStyle w:val="ListParagraph"/>
        <w:numPr>
          <w:ilvl w:val="0"/>
          <w:numId w:val="2"/>
        </w:numPr>
        <w:spacing w:after="70" w:before="0" w:line="258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Reunião mensal de governança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— revisão do mês anterior e fechamento do roadmap do próximo.</w:t>
      </w:r>
    </w:p>
    <w:p>
      <w:pPr>
        <w:pStyle w:val="ListParagraph"/>
        <w:numPr>
          <w:ilvl w:val="0"/>
          <w:numId w:val="2"/>
        </w:numPr>
        <w:spacing w:after="70" w:before="0" w:line="258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Ponto focal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— um responsável designado de cada lado para conduzir a relação no dia a dia.</w:t>
      </w:r>
    </w:p>
    <w:p>
      <w:pPr>
        <w:pStyle w:val="ListParagraph"/>
        <w:numPr>
          <w:ilvl w:val="0"/>
          <w:numId w:val="2"/>
        </w:numPr>
        <w:spacing w:after="70" w:before="0" w:line="258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Canal de atendimento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— em dias úteis, horário comercial, por canal acordado entre as partes.</w:t>
      </w:r>
    </w:p>
    <w:p>
      <w:pPr>
        <w:keepNext w:val="false"/>
        <w:spacing w:after="90" w:before="0" w:line="264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Prazos de resposta por severidade (referência, ajustável no contrato):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00"/>
        <w:gridCol w:w="2838"/>
      </w:tblGrid>
      <w:tr>
        <w:trPr>
          <w:cantSplit/>
          <w:tblHeader/>
        </w:trPr>
        <w:tc>
          <w:tcPr>
            <w:tcW w:type="dxa" w:w="2300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shd w:fill="003FCD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Severidade</w:t>
            </w:r>
          </w:p>
        </w:tc>
        <w:tc>
          <w:tcPr>
            <w:tcW w:type="dxa" w:w="4500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shd w:fill="003FCD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838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shd w:fill="003FCD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Crítica</w:t>
            </w:r>
          </w:p>
        </w:tc>
        <w:tc>
          <w:tcPr>
            <w:tcW w:type="dxa" w:w="4500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Operação parada ou indisponibilidade de sistema integrado.</w:t>
            </w:r>
          </w:p>
        </w:tc>
        <w:tc>
          <w:tcPr>
            <w:tcW w:type="dxa" w:w="2838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Mono" w:cs="DM Mono" w:eastAsia="DM Mono" w:hAnsi="DM Mono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até 4 h úteis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shd w:fill="EEF2FD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Alta</w:t>
            </w:r>
          </w:p>
        </w:tc>
        <w:tc>
          <w:tcPr>
            <w:tcW w:type="dxa" w:w="4500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shd w:fill="EEF2FD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Impacto relevante em processo, com contorno possível.</w:t>
            </w:r>
          </w:p>
        </w:tc>
        <w:tc>
          <w:tcPr>
            <w:tcW w:type="dxa" w:w="2838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shd w:fill="EEF2FD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Mono" w:cs="DM Mono" w:eastAsia="DM Mono" w:hAnsi="DM Mono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até 1 dia útil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Média</w:t>
            </w:r>
          </w:p>
        </w:tc>
        <w:tc>
          <w:tcPr>
            <w:tcW w:type="dxa" w:w="4500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Falha pontual sem impacto crítico na operação.</w:t>
            </w:r>
          </w:p>
        </w:tc>
        <w:tc>
          <w:tcPr>
            <w:tcW w:type="dxa" w:w="2838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Mono" w:cs="DM Mono" w:eastAsia="DM Mono" w:hAnsi="DM Mono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até 3 dias úteis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shd w:fill="EEF2FD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Baixa / evolução</w:t>
            </w:r>
          </w:p>
        </w:tc>
        <w:tc>
          <w:tcPr>
            <w:tcW w:type="dxa" w:w="4500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shd w:fill="EEF2FD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Melhorias e novas demandas de desenvolvimento.</w:t>
            </w:r>
          </w:p>
        </w:tc>
        <w:tc>
          <w:tcPr>
            <w:tcW w:type="dxa" w:w="2838"/>
            <w:tcBorders>
              <w:top w:val="single" w:color="C9D3F2" w:sz="2"/>
              <w:left w:val="single" w:color="C9D3F2" w:sz="2"/>
              <w:bottom w:val="single" w:color="C9D3F2" w:sz="2"/>
              <w:right w:val="single" w:color="C9D3F2" w:sz="2"/>
            </w:tcBorders>
            <w:shd w:fill="EEF2FD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20" w:before="20" w:line="256"/>
              <w:jc w:val="left"/>
            </w:pPr>
            <w:r>
              <w:rPr>
                <w:rFonts w:ascii="DM Mono" w:cs="DM Mono" w:eastAsia="DM Mono" w:hAnsi="DM Mono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no roadmap do período</w:t>
            </w:r>
          </w:p>
        </w:tc>
      </w:tr>
    </w:tbl>
    <w:p>
      <w:pPr>
        <w:keepNext w:val="false"/>
        <w:spacing w:after="20" w:before="0" w:line="264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p>
      <w:pPr>
        <w:pStyle w:val="Heading1"/>
        <w:keepNext/>
        <w:pBdr>
          <w:bottom w:val="single" w:color="003FCD" w:sz="6" w:space="4"/>
        </w:pBdr>
        <w:spacing w:after="170" w:before="320" w:line="276"/>
      </w:pPr>
      <w:r>
        <w:rPr>
          <w:rFonts w:ascii="DM Serif Display" w:cs="DM Serif Display" w:eastAsia="DM Serif Display" w:hAnsi="DM Serif Display"/>
          <w:b w:val="false"/>
          <w:bCs w:val="false"/>
          <w:i w:val="false"/>
          <w:iCs w:val="false"/>
          <w:caps w:val="false"/>
          <w:color w:val="003FCD"/>
          <w:sz w:val="30"/>
          <w:szCs w:val="30"/>
        </w:rPr>
        <w:t xml:space="preserve">10. Propriedade intelectual e licenciamento</w:t>
      </w:r>
    </w:p>
    <w:p>
      <w:pPr>
        <w:pStyle w:val="ListParagraph"/>
        <w:numPr>
          <w:ilvl w:val="0"/>
          <w:numId w:val="2"/>
        </w:numPr>
        <w:spacing w:after="70" w:before="0" w:line="258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Titularidade da Shift G.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Tecnologias, componentes, frameworks e know-how desenvolvidos pela Shift G permanecem de sua titularidade; a MedCuritiba recebe licença de uso para as soluções entregues.</w:t>
      </w:r>
    </w:p>
    <w:p>
      <w:pPr>
        <w:pStyle w:val="ListParagraph"/>
        <w:numPr>
          <w:ilvl w:val="0"/>
          <w:numId w:val="2"/>
        </w:numPr>
        <w:spacing w:after="70" w:before="0" w:line="258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NearOne licenciado, não vendido.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A licença de uso do NearOne vigora enquanto vigente o contrato.</w:t>
      </w:r>
    </w:p>
    <w:p>
      <w:pPr>
        <w:pStyle w:val="ListParagraph"/>
        <w:numPr>
          <w:ilvl w:val="0"/>
          <w:numId w:val="2"/>
        </w:numPr>
        <w:spacing w:after="70" w:before="0" w:line="258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Conector SOC↔NearOne.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É infraestrutura reaproveitável do NearOne e permanece de titularidade da Shift G.</w:t>
      </w:r>
    </w:p>
    <w:p>
      <w:pPr>
        <w:pStyle w:val="ListParagraph"/>
        <w:numPr>
          <w:ilvl w:val="0"/>
          <w:numId w:val="2"/>
        </w:numPr>
        <w:spacing w:after="70" w:before="0" w:line="258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Dados da MedCuritiba.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Os dados da MedCuritiba e de seus clientes são da MedCuritiba, tratados conforme a LGPD e sob confidencialidade mútua.</w:t>
      </w:r>
    </w:p>
    <w:p>
      <w:pPr>
        <w:pStyle w:val="Heading1"/>
        <w:keepNext/>
        <w:pBdr>
          <w:bottom w:val="single" w:color="003FCD" w:sz="6" w:space="4"/>
        </w:pBdr>
        <w:spacing w:after="170" w:before="320" w:line="276"/>
      </w:pPr>
      <w:r>
        <w:rPr>
          <w:rFonts w:ascii="DM Serif Display" w:cs="DM Serif Display" w:eastAsia="DM Serif Display" w:hAnsi="DM Serif Display"/>
          <w:b w:val="false"/>
          <w:bCs w:val="false"/>
          <w:i w:val="false"/>
          <w:iCs w:val="false"/>
          <w:caps w:val="false"/>
          <w:color w:val="003FCD"/>
          <w:sz w:val="30"/>
          <w:szCs w:val="30"/>
        </w:rPr>
        <w:t xml:space="preserve">11. Termos comerciais</w:t>
      </w:r>
    </w:p>
    <w:p>
      <w:pPr>
        <w:pStyle w:val="ListParagraph"/>
        <w:numPr>
          <w:ilvl w:val="0"/>
          <w:numId w:val="2"/>
        </w:numPr>
        <w:spacing w:after="70" w:before="0" w:line="258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Vigência.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12 meses, renovável automaticamente por iguais períodos, salvo aviso prévio de 30 dias.</w:t>
      </w:r>
    </w:p>
    <w:p>
      <w:pPr>
        <w:pStyle w:val="ListParagraph"/>
        <w:numPr>
          <w:ilvl w:val="0"/>
          <w:numId w:val="2"/>
        </w:numPr>
        <w:spacing w:after="70" w:before="0" w:line="258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Faturamento.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Mensal, com pagamento todo dia 5. Em caso de atraso, multa de 2% e juros de 1% ao mês.</w:t>
      </w:r>
    </w:p>
    <w:p>
      <w:pPr>
        <w:pStyle w:val="ListParagraph"/>
        <w:numPr>
          <w:ilvl w:val="0"/>
          <w:numId w:val="2"/>
        </w:numPr>
        <w:spacing w:after="70" w:before="0" w:line="258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Reajuste.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Pelo IPCA, na renovação após os 12 meses.</w:t>
      </w:r>
    </w:p>
    <w:p>
      <w:pPr>
        <w:pStyle w:val="ListParagraph"/>
        <w:numPr>
          <w:ilvl w:val="0"/>
          <w:numId w:val="2"/>
        </w:numPr>
        <w:spacing w:after="70" w:before="0" w:line="258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Custos de terceiros.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Servidores, licenças e softwares de terceiros são contratados e pagos diretamente pela MedCuritiba (ver item 6).</w:t>
      </w:r>
    </w:p>
    <w:p>
      <w:pPr>
        <w:pStyle w:val="ListParagraph"/>
        <w:numPr>
          <w:ilvl w:val="0"/>
          <w:numId w:val="2"/>
        </w:numPr>
        <w:spacing w:after="70" w:before="0" w:line="258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Rescisão.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Por qualquer das partes, mediante aviso prévio de 30 dias.</w:t>
      </w:r>
    </w:p>
    <w:p>
      <w:pPr>
        <w:pStyle w:val="ListParagraph"/>
        <w:numPr>
          <w:ilvl w:val="0"/>
          <w:numId w:val="2"/>
        </w:numPr>
        <w:spacing w:after="70" w:before="0" w:line="258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Não-exclusividade.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A Shift G mantém suas demais atividades e clientes.</w:t>
      </w:r>
    </w:p>
    <w:p>
      <w:pPr>
        <w:pStyle w:val="ListParagraph"/>
        <w:numPr>
          <w:ilvl w:val="0"/>
          <w:numId w:val="2"/>
        </w:numPr>
        <w:spacing w:after="70" w:before="0" w:line="258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Confidencialidade.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Mútua, sobre as informações trocadas durante a parceria.</w:t>
      </w:r>
    </w:p>
    <w:p>
      <w:pPr>
        <w:pStyle w:val="ListParagraph"/>
        <w:numPr>
          <w:ilvl w:val="0"/>
          <w:numId w:val="2"/>
        </w:numPr>
        <w:spacing w:after="70" w:before="0" w:line="258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Cliente-referência.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A Shift G poderá citar a parceria como referência, mediante aprovação da MedCuritiba.</w:t>
      </w:r>
    </w:p>
    <w:p>
      <w:pPr>
        <w:pStyle w:val="ListParagraph"/>
        <w:numPr>
          <w:ilvl w:val="0"/>
          <w:numId w:val="2"/>
        </w:numPr>
        <w:spacing w:after="70" w:before="0" w:line="258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Início.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Na assinatura desta proposta; o primeiro roadmap é definido na reunião de kickoff.</w:t>
      </w:r>
    </w:p>
    <w:p>
      <w:pPr>
        <w:pStyle w:val="Heading1"/>
        <w:keepNext/>
        <w:pBdr>
          <w:bottom w:val="single" w:color="003FCD" w:sz="6" w:space="4"/>
        </w:pBdr>
        <w:spacing w:after="170" w:before="320" w:line="276"/>
      </w:pPr>
      <w:r>
        <w:rPr>
          <w:rFonts w:ascii="DM Serif Display" w:cs="DM Serif Display" w:eastAsia="DM Serif Display" w:hAnsi="DM Serif Display"/>
          <w:b w:val="false"/>
          <w:bCs w:val="false"/>
          <w:i w:val="false"/>
          <w:iCs w:val="false"/>
          <w:caps w:val="false"/>
          <w:color w:val="003FCD"/>
          <w:sz w:val="30"/>
          <w:szCs w:val="30"/>
        </w:rPr>
        <w:t xml:space="preserve">12. Próximos passos e aceite</w:t>
      </w:r>
    </w:p>
    <w:p>
      <w:pPr>
        <w:keepNext w:val="false"/>
        <w:spacing w:after="140" w:before="0" w:line="264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Três passos para começar:</w:t>
      </w:r>
    </w:p>
    <w:p>
      <w:pPr>
        <w:pStyle w:val="ListParagraph"/>
        <w:numPr>
          <w:ilvl w:val="0"/>
          <w:numId w:val="4"/>
        </w:numPr>
        <w:spacing w:after="64" w:line="25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Aceite desta proposta pela MedCuritiba.</w:t>
      </w:r>
    </w:p>
    <w:p>
      <w:pPr>
        <w:pStyle w:val="ListParagraph"/>
        <w:numPr>
          <w:ilvl w:val="0"/>
          <w:numId w:val="4"/>
        </w:numPr>
        <w:spacing w:after="64" w:line="25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Reunião de kickoff e definição do primeiro roadmap mensal.</w:t>
      </w:r>
    </w:p>
    <w:p>
      <w:pPr>
        <w:pStyle w:val="ListParagraph"/>
        <w:numPr>
          <w:ilvl w:val="0"/>
          <w:numId w:val="4"/>
        </w:numPr>
        <w:spacing w:after="64" w:line="258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Ativação do NearOne e início da integração com o SOC.</w:t>
      </w:r>
    </w:p>
    <w:p>
      <w:pPr>
        <w:keepNext w:val="false"/>
        <w:spacing w:after="460" w:before="160" w:line="264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Estando de acordo com os termos acima, as partes firmam esta proposta.</w:t>
      </w:r>
    </w:p>
    <w:p>
      <w:pPr>
        <w:pBdr>
          <w:top w:val="single" w:color="1A1A1A" w:sz="6" w:space="6"/>
        </w:pBdr>
        <w:spacing w:after="0" w:before="2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6"/>
          <w:szCs w:val="6"/>
        </w:rPr>
        <w:t xml:space="preserve"> </w:t>
      </w:r>
    </w:p>
    <w:p>
      <w:pPr>
        <w:spacing w:after="0" w:before="40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William Novak</w:t>
      </w:r>
    </w:p>
    <w:p>
      <w:pPr>
        <w:spacing w:after="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5B5B5B"/>
          <w:sz w:val="19"/>
          <w:szCs w:val="19"/>
        </w:rPr>
        <w:t xml:space="preserve">Shift G — Novak &amp; Roiek Ltda. (CNPJ 37.915.641/0001-86)</w:t>
      </w:r>
    </w:p>
    <w:p>
      <w:pPr>
        <w:keepNext w:val="false"/>
        <w:spacing w:after="200" w:before="0" w:line="264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p>
      <w:pPr>
        <w:pBdr>
          <w:top w:val="single" w:color="1A1A1A" w:sz="6" w:space="6"/>
        </w:pBdr>
        <w:spacing w:after="0" w:before="2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6"/>
          <w:szCs w:val="6"/>
        </w:rPr>
        <w:t xml:space="preserve"> </w:t>
      </w:r>
    </w:p>
    <w:p>
      <w:pPr>
        <w:spacing w:after="0" w:before="40"/>
      </w:pPr>
      <w:r>
        <w:rPr>
          <w:rFonts w:ascii="DM Sans" w:cs="DM Sans" w:eastAsia="DM Sans" w:hAnsi="DM Sans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MedCuritiba</w:t>
      </w:r>
    </w:p>
    <w:p>
      <w:pPr>
        <w:spacing w:after="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5B5B5B"/>
          <w:sz w:val="19"/>
          <w:szCs w:val="19"/>
        </w:rPr>
        <w:t xml:space="preserve">Medicina e Segurança do Trabalho</w:t>
      </w:r>
    </w:p>
    <w:p>
      <w:pPr>
        <w:spacing w:after="0" w:before="36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Curitiba/PR, ______ de __________________ de 2026.</w:t>
      </w:r>
    </w:p>
    <w:p>
      <w:pPr>
        <w:pStyle w:val="Heading1"/>
        <w:keepNext/>
        <w:pageBreakBefore/>
        <w:pBdr>
          <w:bottom w:val="single" w:color="003FCD" w:sz="6" w:space="4"/>
        </w:pBdr>
        <w:spacing w:after="170" w:before="320" w:line="276"/>
      </w:pPr>
      <w:r>
        <w:rPr>
          <w:rFonts w:ascii="DM Serif Display" w:cs="DM Serif Display" w:eastAsia="DM Serif Display" w:hAnsi="DM Serif Display"/>
          <w:b w:val="false"/>
          <w:bCs w:val="false"/>
          <w:i w:val="false"/>
          <w:iCs w:val="false"/>
          <w:caps w:val="false"/>
          <w:color w:val="003FCD"/>
          <w:sz w:val="30"/>
          <w:szCs w:val="30"/>
        </w:rPr>
        <w:t xml:space="preserve">Premissas assumidas (para revisão)</w:t>
      </w:r>
    </w:p>
    <w:p>
      <w:pPr>
        <w:keepNext w:val="false"/>
        <w:spacing w:after="140" w:before="0" w:line="264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Onde faltavam dados, foram adotados padrões razoáveis — alinhados ao precedente comercial da Shift G. Revise e ajuste antes do envio:</w:t>
      </w:r>
    </w:p>
    <w:p>
      <w:pPr>
        <w:pStyle w:val="ListParagraph"/>
        <w:numPr>
          <w:ilvl w:val="0"/>
          <w:numId w:val="2"/>
        </w:numPr>
        <w:spacing w:after="64" w:line="25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Data da proposta: 26/06/2026. Validade: 30 dias.</w:t>
      </w:r>
    </w:p>
    <w:p>
      <w:pPr>
        <w:pStyle w:val="ListParagraph"/>
        <w:numPr>
          <w:ilvl w:val="0"/>
          <w:numId w:val="2"/>
        </w:numPr>
        <w:spacing w:after="64" w:line="25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A/C: “Diretoria MedCuritiba” — confirmar nome e cargo do destinatário.</w:t>
      </w:r>
    </w:p>
    <w:p>
      <w:pPr>
        <w:pStyle w:val="ListParagraph"/>
        <w:numPr>
          <w:ilvl w:val="0"/>
          <w:numId w:val="2"/>
        </w:numPr>
        <w:spacing w:after="64" w:line="25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Vigência: 12 meses, com renovação automática por iguais períodos.</w:t>
      </w:r>
    </w:p>
    <w:p>
      <w:pPr>
        <w:pStyle w:val="ListParagraph"/>
        <w:numPr>
          <w:ilvl w:val="0"/>
          <w:numId w:val="2"/>
        </w:numPr>
        <w:spacing w:after="64" w:line="25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Faturamento mensal, vencimento todo dia 5; atraso com multa de 2% + juros de 1% a.m.</w:t>
      </w:r>
    </w:p>
    <w:p>
      <w:pPr>
        <w:pStyle w:val="ListParagraph"/>
        <w:numPr>
          <w:ilvl w:val="0"/>
          <w:numId w:val="2"/>
        </w:numPr>
        <w:spacing w:after="64" w:line="25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Reajuste anual pelo IPCA na renovação.</w:t>
      </w:r>
    </w:p>
    <w:p>
      <w:pPr>
        <w:pStyle w:val="ListParagraph"/>
        <w:numPr>
          <w:ilvl w:val="0"/>
          <w:numId w:val="2"/>
        </w:numPr>
        <w:spacing w:after="64" w:line="25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SLA por severidade (4 h / 1 dia / 3 dias úteis / roadmap) — proposto como referência, a confirmar no contrato.</w:t>
      </w:r>
    </w:p>
    <w:p>
      <w:pPr>
        <w:pStyle w:val="ListParagraph"/>
        <w:numPr>
          <w:ilvl w:val="0"/>
          <w:numId w:val="2"/>
        </w:numPr>
        <w:spacing w:after="64" w:line="25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Pontos focais (Shift G e MedCuritiba): a nomear no kickoff.</w:t>
      </w:r>
    </w:p>
    <w:p>
      <w:pPr>
        <w:pStyle w:val="ListParagraph"/>
        <w:numPr>
          <w:ilvl w:val="0"/>
          <w:numId w:val="2"/>
        </w:numPr>
        <w:spacing w:after="64" w:line="25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Início na assinatura; primeiro roadmap definido na reunião de kickoff.</w:t>
      </w:r>
    </w:p>
    <w:p>
      <w:pPr>
        <w:pStyle w:val="ListParagraph"/>
        <w:numPr>
          <w:ilvl w:val="0"/>
          <w:numId w:val="2"/>
        </w:numPr>
        <w:spacing w:after="64" w:line="25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Local de assinatura: Curitiba/PR.</w:t>
      </w:r>
    </w:p>
    <w:p>
      <w:pPr>
        <w:pStyle w:val="ListParagraph"/>
        <w:numPr>
          <w:ilvl w:val="0"/>
          <w:numId w:val="2"/>
        </w:numPr>
        <w:spacing w:after="64" w:line="25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Custos de terceiros (servidores, licenças, SOC e Bitrix24) por conta da MedCuritiba, fora da mensalidade.</w:t>
      </w:r>
    </w:p>
    <w:p>
      <w:pPr>
        <w:pStyle w:val="ListParagraph"/>
        <w:numPr>
          <w:ilvl w:val="0"/>
          <w:numId w:val="2"/>
        </w:numPr>
        <w:spacing w:after="64" w:line="25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Número de vidas mapeadas pelo NearOne (+50.000): confirmar valor vigente antes do envio.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8" w:right="1134" w:bottom="1276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DM Sans" w:cs="DM Sans" w:eastAsia="DM Sans" w:hAnsi="DM Sans"/>
        <w:b w:val="false"/>
        <w:bCs w:val="false"/>
        <w:i w:val="false"/>
        <w:iCs w:val="false"/>
        <w:caps w:val="false"/>
        <w:color w:val="5B5B5B"/>
        <w:sz w:val="15"/>
        <w:szCs w:val="15"/>
      </w:rPr>
      <w:t xml:space="preserve">Shift G · Confidencial</w:t>
    </w:r>
    <w:r>
      <w:rPr>
        <w:rFonts w:ascii="DM Sans" w:cs="DM Sans" w:eastAsia="DM Sans" w:hAnsi="DM Sans"/>
        <w:b w:val="false"/>
        <w:bCs w:val="false"/>
        <w:i w:val="false"/>
        <w:iCs w:val="false"/>
        <w:caps w:val="false"/>
        <w:color w:val="5B5B5B"/>
        <w:sz w:val="15"/>
        <w:szCs w:val="15"/>
      </w:rPr>
      <w:t xml:space="preserve">	Página </w:t>
    </w:r>
    <w:r>
      <w:rPr>
        <w:rFonts w:ascii="DM Sans" w:cs="DM Sans" w:eastAsia="DM Sans" w:hAnsi="DM Sans"/>
        <w:color w:val="5B5B5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F2" w:sz="4" w:space="6"/>
      </w:pBdr>
      <w:tabs>
        <w:tab w:val="right" w:pos="9638"/>
      </w:tabs>
      <w:spacing w:after="60"/>
    </w:pPr>
    <w:r>
      <w:rPr>
        <w:rFonts w:ascii="DM Serif Display" w:cs="DM Serif Display" w:eastAsia="DM Serif Display" w:hAnsi="DM Serif Display"/>
        <w:b w:val="false"/>
        <w:bCs w:val="false"/>
        <w:i w:val="false"/>
        <w:iCs w:val="false"/>
        <w:caps w:val="false"/>
        <w:color w:val="1A1A1A"/>
        <w:sz w:val="16"/>
        <w:szCs w:val="16"/>
      </w:rPr>
      <w:t xml:space="preserve">SHIFT</w:t>
    </w:r>
    <w:r>
      <w:rPr>
        <w:rFonts w:ascii="DM Serif Display" w:cs="DM Serif Display" w:eastAsia="DM Serif Display" w:hAnsi="DM Serif Display"/>
        <w:b w:val="false"/>
        <w:bCs w:val="false"/>
        <w:i w:val="false"/>
        <w:iCs w:val="false"/>
        <w:caps w:val="false"/>
        <w:color w:val="003FCD"/>
        <w:sz w:val="16"/>
        <w:szCs w:val="16"/>
      </w:rPr>
      <w:t xml:space="preserve">+</w:t>
    </w:r>
    <w:r>
      <w:rPr>
        <w:rFonts w:ascii="DM Serif Display" w:cs="DM Serif Display" w:eastAsia="DM Serif Display" w:hAnsi="DM Serif Display"/>
        <w:b w:val="false"/>
        <w:bCs w:val="false"/>
        <w:i w:val="false"/>
        <w:iCs w:val="false"/>
        <w:caps w:val="false"/>
        <w:color w:val="1A1A1A"/>
        <w:sz w:val="16"/>
        <w:szCs w:val="16"/>
      </w:rPr>
      <w:t xml:space="preserve">G</w:t>
    </w:r>
    <w:r>
      <w:rPr>
        <w:rFonts w:ascii="DM Mono" w:cs="DM Mono" w:eastAsia="DM Mono" w:hAnsi="DM Mono"/>
        <w:b w:val="false"/>
        <w:bCs w:val="false"/>
        <w:i w:val="false"/>
        <w:iCs w:val="false"/>
        <w:caps w:val="false"/>
        <w:color w:val="5B5B5B"/>
        <w:sz w:val="14"/>
        <w:szCs w:val="14"/>
      </w:rPr>
      <w:t xml:space="preserve">	Proposta Comercial — MedCuritiba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40"/>
      </w:pPr>
      <w:rPr>
        <w:color w:val="003FCD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70" w:hanging="240"/>
      </w:pPr>
      <w:rPr>
        <w:color w:val="5B5B5B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300"/>
      </w:pPr>
      <w:rPr>
        <w:b/>
        <w:bCs/>
        <w:color w:val="003FC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DM Serif Display" w:cs="DM Serif Display" w:eastAsia="DM Serif Display" w:hAnsi="DM Serif Display"/>
      <w:color w:val="003FCD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DM Sans" w:cs="DM Sans" w:eastAsia="DM Sans" w:hAnsi="DM Sans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Comercial — Shift G para MedCuritiba</dc:title>
  <dc:creator>Shift G</dc:creator>
  <dc:description>Proposta comercial de braço tecnológico (Departamento de TI as a Service) com NearOne embarcado.</dc:description>
  <cp:lastModifiedBy>Un-named</cp:lastModifiedBy>
  <cp:revision>1</cp:revision>
  <dcterms:created xsi:type="dcterms:W3CDTF">2026-06-26T13:38:36.689Z</dcterms:created>
  <dcterms:modified xsi:type="dcterms:W3CDTF">2026-06-26T13:38:36.690Z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