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120" w:before="120"/>
        <w:shd w:val="clear" w:color="auto" w:fill="003FCD"/>
      </w:pPr>
      <w:r>
        <w:rPr>
          <w:rFonts w:ascii="Arial" w:hAnsi="Arial"/>
          <w:b/>
          <w:i w:val="0"/>
          <w:color w:val="FFFFFF"/>
          <w:sz w:val="30"/>
          <w:spacing w:val="20"/>
        </w:rPr>
        <w:t>SHIFT</w:t>
      </w:r>
      <w:r>
        <w:rPr>
          <w:rFonts w:ascii="Arial" w:hAnsi="Arial"/>
          <w:b/>
          <w:i w:val="0"/>
          <w:color w:val="BCD0FF"/>
          <w:sz w:val="30"/>
          <w:spacing w:val="20"/>
        </w:rPr>
        <w:t>+G</w:t>
      </w:r>
      <w:r>
        <w:tab/>
      </w:r>
      <w:r>
        <w:rPr>
          <w:rFonts w:ascii="Arial" w:hAnsi="Arial"/>
          <w:b w:val="0"/>
          <w:i/>
          <w:color w:val="DCE6FF"/>
          <w:sz w:val="20"/>
        </w:rPr>
        <w:t>Arquitetamos inteligência.</w:t>
      </w:r>
    </w:p>
    <w:p>
      <w:pPr>
        <w:spacing w:before="360" w:after="40"/>
      </w:pPr>
      <w:r>
        <w:rPr>
          <w:rFonts w:ascii="Arial" w:hAnsi="Arial"/>
          <w:b/>
          <w:i w:val="0"/>
          <w:color w:val="13182B"/>
          <w:sz w:val="44"/>
        </w:rPr>
        <w:t>Proposta de Parceria Tecnológica</w:t>
      </w:r>
    </w:p>
    <w:p>
      <w:pPr>
        <w:spacing w:after="200"/>
      </w:pPr>
      <w:r>
        <w:rPr>
          <w:rFonts w:ascii="Arial" w:hAnsi="Arial"/>
          <w:b/>
          <w:i w:val="0"/>
          <w:color w:val="003FCD"/>
          <w:sz w:val="23"/>
        </w:rPr>
        <w:t>Braço tecnológico e fomento de tecnologias próprias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7257"/>
      </w:tblGrid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5B6172"/>
                <w:sz w:val="16"/>
                <w:spacing w:val="10"/>
              </w:rPr>
              <w:t>PARA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13182B"/>
                <w:sz w:val="21"/>
              </w:rPr>
              <w:t>Pigatto Caus &amp; Melo Mano Advogados Associados &amp; Jet Group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5B6172"/>
                <w:sz w:val="16"/>
                <w:spacing w:val="10"/>
              </w:rPr>
              <w:t>A/C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3182B"/>
                <w:sz w:val="21"/>
              </w:rPr>
              <w:t>Thyago Pigatto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5B6172"/>
                <w:sz w:val="16"/>
                <w:spacing w:val="10"/>
              </w:rPr>
              <w:t>DE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3182B"/>
                <w:sz w:val="21"/>
              </w:rPr>
              <w:t>William Novak — Shift+G · Fábrica de software + IA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5B6172"/>
                <w:sz w:val="16"/>
                <w:spacing w:val="10"/>
              </w:rPr>
              <w:t>DATA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3182B"/>
                <w:sz w:val="21"/>
              </w:rPr>
              <w:t>24 de junho de 2026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5B6172"/>
                <w:sz w:val="16"/>
                <w:spacing w:val="10"/>
              </w:rPr>
              <w:t>VALIDADE DA PROPOSTA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3182B"/>
                <w:sz w:val="21"/>
              </w:rPr>
              <w:t>30 dias</w:t>
            </w:r>
          </w:p>
        </w:tc>
      </w:tr>
    </w:tbl>
    <w:p>
      <w:pPr>
        <w:spacing w:after="40"/>
      </w:pPr>
    </w:p>
    <w:p>
      <w:pPr>
        <w:spacing w:before="220" w:after="100"/>
        <w:pBdr>
          <w:bottom w:val="single" w:sz="6" w:space="4" w:color="003FCD"/>
        </w:pBdr>
      </w:pPr>
      <w:r>
        <w:rPr>
          <w:rFonts w:ascii="Arial" w:hAnsi="Arial"/>
          <w:b/>
          <w:i w:val="0"/>
          <w:color w:val="003FCD"/>
          <w:sz w:val="25"/>
        </w:rPr>
        <w:t xml:space="preserve">1.  </w:t>
      </w:r>
      <w:r>
        <w:rPr>
          <w:rFonts w:ascii="Arial" w:hAnsi="Arial"/>
          <w:b/>
          <w:i w:val="0"/>
          <w:color w:val="13182B"/>
          <w:sz w:val="25"/>
        </w:rPr>
        <w:t>Objeto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3182B"/>
          <w:sz w:val="21"/>
        </w:rPr>
        <w:t>A Shift+G atuará como braço tecnológico do contratante, dedicada ao fomento e ao desenvolvimento de tecnologias próprias. O escopo abrange o desenvolvimento de soluções e produtos digitais e a consultoria tecnológica, com disponibilidade contínua para apoiar as decisões e demandas de tecnologia do contratante.</w:t>
      </w:r>
    </w:p>
    <w:p>
      <w:pPr>
        <w:spacing w:before="220" w:after="100"/>
        <w:pBdr>
          <w:bottom w:val="single" w:sz="6" w:space="4" w:color="003FCD"/>
        </w:pBdr>
      </w:pPr>
      <w:r>
        <w:rPr>
          <w:rFonts w:ascii="Arial" w:hAnsi="Arial"/>
          <w:b/>
          <w:i w:val="0"/>
          <w:color w:val="003FCD"/>
          <w:sz w:val="25"/>
        </w:rPr>
        <w:t xml:space="preserve">2.  </w:t>
      </w:r>
      <w:r>
        <w:rPr>
          <w:rFonts w:ascii="Arial" w:hAnsi="Arial"/>
          <w:b/>
          <w:i w:val="0"/>
          <w:color w:val="13182B"/>
          <w:sz w:val="25"/>
        </w:rPr>
        <w:t>Escopo dos serviços (incluído na mensalidade)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Consultoria e direção técnica </w:t>
      </w:r>
      <w:r>
        <w:rPr>
          <w:rFonts w:ascii="Arial" w:hAnsi="Arial"/>
          <w:b w:val="0"/>
          <w:i w:val="0"/>
          <w:color w:val="13182B"/>
          <w:sz w:val="21"/>
        </w:rPr>
        <w:t>para projetos, ferramentas e decisões de tecnologia.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Disponibilidade como braço tecnológico </w:t>
      </w:r>
      <w:r>
        <w:rPr>
          <w:rFonts w:ascii="Arial" w:hAnsi="Arial"/>
          <w:b w:val="0"/>
          <w:i w:val="0"/>
          <w:color w:val="13182B"/>
          <w:sz w:val="21"/>
        </w:rPr>
        <w:t>para dúvidas e demandas do dia a dia.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Análise e recomendação </w:t>
      </w:r>
      <w:r>
        <w:rPr>
          <w:rFonts w:ascii="Arial" w:hAnsi="Arial"/>
          <w:b w:val="0"/>
          <w:i w:val="0"/>
          <w:color w:val="13182B"/>
          <w:sz w:val="21"/>
        </w:rPr>
        <w:t>de ferramentas, softwares e fornecedores.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Acompanhamento </w:t>
      </w:r>
      <w:r>
        <w:rPr>
          <w:rFonts w:ascii="Arial" w:hAnsi="Arial"/>
          <w:b w:val="0"/>
          <w:i w:val="0"/>
          <w:color w:val="13182B"/>
          <w:sz w:val="21"/>
        </w:rPr>
        <w:t>dos projetos e iniciativas em andamento.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Reunião mensal </w:t>
      </w:r>
      <w:r>
        <w:rPr>
          <w:rFonts w:ascii="Arial" w:hAnsi="Arial"/>
          <w:b w:val="0"/>
          <w:i w:val="0"/>
          <w:color w:val="13182B"/>
          <w:sz w:val="21"/>
        </w:rPr>
        <w:t>de alinhamento e planejamento.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Desenvolvimento de soluções e produtos digitais </w:t>
      </w:r>
      <w:r>
        <w:rPr>
          <w:rFonts w:ascii="Arial" w:hAnsi="Arial"/>
          <w:b w:val="0"/>
          <w:i w:val="0"/>
          <w:color w:val="13182B"/>
          <w:sz w:val="21"/>
        </w:rPr>
        <w:t>conforme o planejamento de cada período.</w:t>
      </w:r>
    </w:p>
    <w:p>
      <w:pPr>
        <w:spacing w:before="220" w:after="100"/>
        <w:pBdr>
          <w:bottom w:val="single" w:sz="6" w:space="4" w:color="003FCD"/>
        </w:pBdr>
      </w:pPr>
      <w:r>
        <w:rPr>
          <w:rFonts w:ascii="Arial" w:hAnsi="Arial"/>
          <w:b/>
          <w:i w:val="0"/>
          <w:color w:val="003FCD"/>
          <w:sz w:val="25"/>
        </w:rPr>
        <w:t xml:space="preserve">3.  </w:t>
      </w:r>
      <w:r>
        <w:rPr>
          <w:rFonts w:ascii="Arial" w:hAnsi="Arial"/>
          <w:b/>
          <w:i w:val="0"/>
          <w:color w:val="13182B"/>
          <w:sz w:val="25"/>
        </w:rPr>
        <w:t>Modelo de trabalho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3182B"/>
          <w:sz w:val="21"/>
        </w:rPr>
        <w:t>No início de cada mês, as partes alinham as prioridades do período e definem, em conjunto, o que será entregue e o prazo de cada entrega. As demandas são atendidas por ordem de prioridade acordada; novas demandas entram no planejamento e recebem prazo conforme a capacidade do período. Iniciativas de maior porte — como o desenvolvimento de um produto digital completo — recebem cronograma próprio, definido em conjunto.</w:t>
      </w:r>
    </w:p>
    <w:p>
      <w:pPr>
        <w:spacing w:before="220" w:after="100"/>
        <w:pBdr>
          <w:bottom w:val="single" w:sz="6" w:space="4" w:color="003FCD"/>
        </w:pBdr>
      </w:pPr>
      <w:r>
        <w:rPr>
          <w:rFonts w:ascii="Arial" w:hAnsi="Arial"/>
          <w:b/>
          <w:i w:val="0"/>
          <w:color w:val="003FCD"/>
          <w:sz w:val="25"/>
        </w:rPr>
        <w:t xml:space="preserve">4.  </w:t>
      </w:r>
      <w:r>
        <w:rPr>
          <w:rFonts w:ascii="Arial" w:hAnsi="Arial"/>
          <w:b/>
          <w:i w:val="0"/>
          <w:color w:val="13182B"/>
          <w:sz w:val="25"/>
        </w:rPr>
        <w:t>Investimento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B"/>
            <w:tcBorders>
              <w:top w:val="single" w:sz="4" w:space="0" w:color="E6E8EF"/>
              <w:right w:val="single" w:sz="4" w:space="0" w:color="E6E8EF"/>
              <w:bottom w:val="single" w:sz="4" w:space="0" w:color="E6E8EF"/>
              <w:left w:val="single" w:sz="24" w:space="0" w:color="003FCD"/>
            </w:tcBorders>
            <w:vAlign w:val="center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3182B"/>
                <w:sz w:val="22"/>
              </w:rPr>
              <w:t xml:space="preserve">Valor mensal:  </w:t>
            </w:r>
            <w:r>
              <w:rPr>
                <w:rFonts w:ascii="Arial" w:hAnsi="Arial"/>
                <w:b/>
                <w:i w:val="0"/>
                <w:color w:val="003FCD"/>
                <w:sz w:val="30"/>
              </w:rPr>
              <w:t>R$ 3.000,00</w:t>
            </w:r>
            <w:r>
              <w:rPr>
                <w:rFonts w:ascii="Arial" w:hAnsi="Arial"/>
                <w:b w:val="0"/>
                <w:i w:val="0"/>
                <w:color w:val="5B6172"/>
                <w:sz w:val="20"/>
              </w:rPr>
              <w:t xml:space="preserve">  (três mil reais)</w:t>
            </w:r>
            <w:r>
              <w:rPr>
                <w:rFonts w:ascii="Arial" w:hAnsi="Arial"/>
                <w:b/>
                <w:i w:val="0"/>
                <w:color w:val="13182B"/>
                <w:sz w:val="22"/>
              </w:rPr>
              <w:t xml:space="preserve">      Vigência: </w:t>
            </w:r>
            <w:r>
              <w:rPr>
                <w:rFonts w:ascii="Arial" w:hAnsi="Arial"/>
                <w:b w:val="0"/>
                <w:i w:val="0"/>
                <w:color w:val="13182B"/>
                <w:sz w:val="22"/>
              </w:rPr>
              <w:t>12 meses</w:t>
            </w:r>
          </w:p>
        </w:tc>
      </w:tr>
    </w:tbl>
    <w:p>
      <w:pPr>
        <w:spacing w:before="120" w:after="80"/>
      </w:pPr>
      <w:r>
        <w:rPr>
          <w:rFonts w:ascii="Arial" w:hAnsi="Arial"/>
          <w:b w:val="0"/>
          <w:i w:val="0"/>
          <w:color w:val="13182B"/>
          <w:sz w:val="21"/>
        </w:rPr>
        <w:t>A mensalidade remunera exclusivamente o serviço da Shift+G — consultoria, direção técnica, disponibilidade e desenvolvimento conforme o planejamento do período.</w:t>
      </w:r>
    </w:p>
    <w:p>
      <w:pPr>
        <w:spacing w:before="220" w:after="100"/>
        <w:pBdr>
          <w:bottom w:val="single" w:sz="6" w:space="4" w:color="003FCD"/>
        </w:pBdr>
      </w:pPr>
      <w:r>
        <w:rPr>
          <w:rFonts w:ascii="Arial" w:hAnsi="Arial"/>
          <w:b/>
          <w:i w:val="0"/>
          <w:color w:val="003FCD"/>
          <w:sz w:val="25"/>
        </w:rPr>
        <w:t xml:space="preserve">5.  </w:t>
      </w:r>
      <w:r>
        <w:rPr>
          <w:rFonts w:ascii="Arial" w:hAnsi="Arial"/>
          <w:b/>
          <w:i w:val="0"/>
          <w:color w:val="13182B"/>
          <w:sz w:val="25"/>
        </w:rPr>
        <w:t>Custos de terceiros (por conta do contratante)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3182B"/>
          <w:sz w:val="21"/>
        </w:rPr>
        <w:t>Servidores, hospedagem, banco de dados, domínio, softwares e licenças necessários às soluções são apresentados e especificados pela Shift+G, mas contratados e pagos diretamente pelo contratante, em seu próprio nome. A mensalidade não inclui esses custos.</w:t>
      </w:r>
    </w:p>
    <w:p>
      <w:pPr>
        <w:spacing w:before="220" w:after="100"/>
        <w:pBdr>
          <w:bottom w:val="single" w:sz="6" w:space="4" w:color="003FCD"/>
        </w:pBdr>
      </w:pPr>
      <w:r>
        <w:rPr>
          <w:rFonts w:ascii="Arial" w:hAnsi="Arial"/>
          <w:b/>
          <w:i w:val="0"/>
          <w:color w:val="003FCD"/>
          <w:sz w:val="25"/>
        </w:rPr>
        <w:t xml:space="preserve">6.  </w:t>
      </w:r>
      <w:r>
        <w:rPr>
          <w:rFonts w:ascii="Arial" w:hAnsi="Arial"/>
          <w:b/>
          <w:i w:val="0"/>
          <w:color w:val="13182B"/>
          <w:sz w:val="25"/>
        </w:rPr>
        <w:t>Propriedade intelectual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3182B"/>
          <w:sz w:val="21"/>
        </w:rPr>
        <w:t>Os produtos e soluções desenvolvidos especificamente para o contratante são de sua propriedade. Componentes, frameworks e know-how reutilizáveis da Shift+G permanecem de sua titularidade e são licenciados ao contratante para uso nas soluções entregues.</w:t>
      </w:r>
    </w:p>
    <w:p>
      <w:pPr>
        <w:spacing w:before="220" w:after="100"/>
        <w:pBdr>
          <w:bottom w:val="single" w:sz="6" w:space="4" w:color="003FCD"/>
        </w:pBdr>
      </w:pPr>
      <w:r>
        <w:rPr>
          <w:rFonts w:ascii="Arial" w:hAnsi="Arial"/>
          <w:b/>
          <w:i w:val="0"/>
          <w:color w:val="003FCD"/>
          <w:sz w:val="25"/>
        </w:rPr>
        <w:t xml:space="preserve">7.  </w:t>
      </w:r>
      <w:r>
        <w:rPr>
          <w:rFonts w:ascii="Arial" w:hAnsi="Arial"/>
          <w:b/>
          <w:i w:val="0"/>
          <w:color w:val="13182B"/>
          <w:sz w:val="25"/>
        </w:rPr>
        <w:t>Condições gerais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Pagamento: </w:t>
      </w:r>
      <w:r>
        <w:rPr>
          <w:rFonts w:ascii="Arial" w:hAnsi="Arial"/>
          <w:b w:val="0"/>
          <w:i w:val="0"/>
          <w:color w:val="13182B"/>
          <w:sz w:val="21"/>
        </w:rPr>
        <w:t>todo dia 5 de cada mês. Em caso de atraso, multa de 2% e juros de 1% ao mês.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Reajuste: </w:t>
      </w:r>
      <w:r>
        <w:rPr>
          <w:rFonts w:ascii="Arial" w:hAnsi="Arial"/>
          <w:b w:val="0"/>
          <w:i w:val="0"/>
          <w:color w:val="13182B"/>
          <w:sz w:val="21"/>
        </w:rPr>
        <w:t>IPCA, na renovação após os 12 meses.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Rescisão: </w:t>
      </w:r>
      <w:r>
        <w:rPr>
          <w:rFonts w:ascii="Arial" w:hAnsi="Arial"/>
          <w:b w:val="0"/>
          <w:i w:val="0"/>
          <w:color w:val="13182B"/>
          <w:sz w:val="21"/>
        </w:rPr>
        <w:t>por qualquer das partes, mediante aviso prévio de 30 dias.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Não-exclusividade: </w:t>
      </w:r>
      <w:r>
        <w:rPr>
          <w:rFonts w:ascii="Arial" w:hAnsi="Arial"/>
          <w:b w:val="0"/>
          <w:i w:val="0"/>
          <w:color w:val="13182B"/>
          <w:sz w:val="21"/>
        </w:rPr>
        <w:t>a Shift+G mantém suas demais atividades e clientes.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Confidencialidade: </w:t>
      </w:r>
      <w:r>
        <w:rPr>
          <w:rFonts w:ascii="Arial" w:hAnsi="Arial"/>
          <w:b w:val="0"/>
          <w:i w:val="0"/>
          <w:color w:val="13182B"/>
          <w:sz w:val="21"/>
        </w:rPr>
        <w:t>mútua, sobre as informações trocadas durante a parceria.</w:t>
      </w:r>
    </w:p>
    <w:p>
      <w:pPr>
        <w:pStyle w:val="ListBullet"/>
        <w:spacing w:after="40"/>
        <w:ind w:left="397" w:hanging="198"/>
      </w:pPr>
      <w:r>
        <w:rPr>
          <w:rFonts w:ascii="Arial" w:hAnsi="Arial"/>
          <w:b/>
          <w:i w:val="0"/>
          <w:color w:val="13182B"/>
          <w:sz w:val="21"/>
        </w:rPr>
        <w:t xml:space="preserve">Referência: </w:t>
      </w:r>
      <w:r>
        <w:rPr>
          <w:rFonts w:ascii="Arial" w:hAnsi="Arial"/>
          <w:b w:val="0"/>
          <w:i w:val="0"/>
          <w:color w:val="13182B"/>
          <w:sz w:val="21"/>
        </w:rPr>
        <w:t>a Shift+G poderá citar a parceria como cliente-referência.</w:t>
      </w:r>
    </w:p>
    <w:p>
      <w:pPr>
        <w:spacing w:before="220" w:after="100"/>
        <w:pBdr>
          <w:bottom w:val="single" w:sz="6" w:space="4" w:color="003FCD"/>
        </w:pBdr>
      </w:pPr>
      <w:r>
        <w:rPr>
          <w:rFonts w:ascii="Arial" w:hAnsi="Arial"/>
          <w:b/>
          <w:i w:val="0"/>
          <w:color w:val="003FCD"/>
          <w:sz w:val="25"/>
        </w:rPr>
        <w:t xml:space="preserve">8.  </w:t>
      </w:r>
      <w:r>
        <w:rPr>
          <w:rFonts w:ascii="Arial" w:hAnsi="Arial"/>
          <w:b/>
          <w:i w:val="0"/>
          <w:color w:val="13182B"/>
          <w:sz w:val="25"/>
        </w:rPr>
        <w:t>Aceite</w:t>
      </w:r>
    </w:p>
    <w:p>
      <w:pPr>
        <w:spacing w:before="0" w:after="280"/>
      </w:pPr>
      <w:r>
        <w:rPr>
          <w:rFonts w:ascii="Arial" w:hAnsi="Arial"/>
          <w:b w:val="0"/>
          <w:i w:val="0"/>
          <w:color w:val="13182B"/>
          <w:sz w:val="21"/>
        </w:rPr>
        <w:t>Estando de acordo com os termos acima, as partes firmam esta proposta.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c>
          <w:tcPr>
            <w:tcW w:type="dxa" w:w="4819"/>
          </w:tcPr>
          <w:p>
            <w:pPr>
              <w:spacing w:after="240"/>
            </w:pPr>
          </w:p>
        </w:tc>
        <w:tc>
          <w:tcPr>
            <w:tcW w:type="dxa" w:w="4819"/>
          </w:tcPr>
          <w:p>
            <w:pPr>
              <w:spacing w:after="240"/>
            </w:pPr>
          </w:p>
        </w:tc>
      </w:tr>
      <w:tr>
        <w:tc>
          <w:tcPr>
            <w:tcW w:type="dxa" w:w="4706"/>
          </w:tcPr>
          <w:p>
            <w:pPr>
              <w:spacing w:after="40"/>
              <w:pBdr>
                <w:top w:val="single" w:sz="6" w:space="2" w:color="13182B"/>
              </w:pBdr>
            </w:pPr>
            <w:r>
              <w:rPr>
                <w:rFonts w:ascii="Arial" w:hAnsi="Arial"/>
                <w:b w:val="0"/>
                <w:i w:val="0"/>
                <w:color w:val="13182B"/>
                <w:sz w:val="4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3182B"/>
                <w:sz w:val="21"/>
              </w:rPr>
              <w:t>William Novak</w:t>
            </w:r>
          </w:p>
          <w:p>
            <w:pPr>
              <w:spacing w:before="0"/>
            </w:pPr>
            <w:r>
              <w:rPr>
                <w:rFonts w:ascii="Arial" w:hAnsi="Arial"/>
                <w:b w:val="0"/>
                <w:i w:val="0"/>
                <w:color w:val="5B6172"/>
                <w:sz w:val="18"/>
              </w:rPr>
              <w:t>Shift+G</w:t>
            </w:r>
          </w:p>
        </w:tc>
        <w:tc>
          <w:tcPr>
            <w:tcW w:type="dxa" w:w="4706"/>
          </w:tcPr>
          <w:p>
            <w:pPr>
              <w:spacing w:after="40"/>
              <w:pBdr>
                <w:top w:val="single" w:sz="6" w:space="2" w:color="13182B"/>
              </w:pBdr>
            </w:pPr>
            <w:r>
              <w:rPr>
                <w:rFonts w:ascii="Arial" w:hAnsi="Arial"/>
                <w:b w:val="0"/>
                <w:i w:val="0"/>
                <w:color w:val="13182B"/>
                <w:sz w:val="4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3182B"/>
                <w:sz w:val="21"/>
              </w:rPr>
              <w:t>Thyago Pigatto</w:t>
            </w:r>
          </w:p>
          <w:p>
            <w:pPr>
              <w:spacing w:before="0"/>
            </w:pPr>
            <w:r>
              <w:rPr>
                <w:rFonts w:ascii="Arial" w:hAnsi="Arial"/>
                <w:b w:val="0"/>
                <w:i w:val="0"/>
                <w:color w:val="5B6172"/>
                <w:sz w:val="18"/>
              </w:rPr>
              <w:t>Pigatto Caus &amp; Melo Mano Advogados Associados &amp; Jet Group</w:t>
            </w:r>
          </w:p>
        </w:tc>
      </w:tr>
    </w:tbl>
    <w:p>
      <w:pPr>
        <w:spacing w:before="320"/>
      </w:pPr>
      <w:r>
        <w:rPr>
          <w:rFonts w:ascii="Arial" w:hAnsi="Arial"/>
          <w:b w:val="0"/>
          <w:i w:val="0"/>
          <w:color w:val="5B6172"/>
          <w:sz w:val="19"/>
        </w:rPr>
        <w:t>Curitiba, ______ de ______________ de 2026.</w:t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B6172"/>
        <w:sz w:val="16"/>
        <w:spacing w:val="10"/>
      </w:rPr>
      <w:t>SHIFT+G  ·  Arquitetamos inteligência.  ·  Fábrica de software +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Arial" w:hAnsi="Arial"/>
      <w:color w:val="1318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