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DM Mono" w:cs="DM Mono" w:eastAsia="DM Mono" w:hAnsi="DM Mono"/>
          <w:color w:val="003FCD"/>
          <w:spacing w:val="30"/>
          <w:sz w:val="16"/>
          <w:szCs w:val="16"/>
        </w:rPr>
        <w:t xml:space="preserve">SHIFT+G · MEMO ESTRATÉGICO · CONFIDENCIAL</w:t>
      </w:r>
    </w:p>
    <w:p>
      <w:pPr>
        <w:spacing w:after="40"/>
      </w:pPr>
      <w:r>
        <w:rPr>
          <w:rFonts w:ascii="DM Serif Display" w:cs="DM Serif Display" w:eastAsia="DM Serif Display" w:hAnsi="DM Serif Display"/>
          <w:color w:val="1A1A1A"/>
          <w:sz w:val="56"/>
          <w:szCs w:val="56"/>
        </w:rPr>
        <w:t xml:space="preserve">Incubadora do Vale do Iguaçu</w:t>
      </w:r>
    </w:p>
    <w:p>
      <w:pPr>
        <w:spacing w:after="120"/>
      </w:pPr>
      <w:r>
        <w:rPr>
          <w:rFonts w:ascii="DM Sans" w:cs="DM Sans" w:eastAsia="DM Sans" w:hAnsi="DM Sans"/>
          <w:color w:val="5C5C6B"/>
          <w:sz w:val="24"/>
          <w:szCs w:val="24"/>
        </w:rPr>
        <w:t xml:space="preserve">O mapa do jogo: fundar, gerir e ancorar um hub de inovação na conurbação União da Vitória (PR) + Porto União (SC) — captando capital público dos dois estados.</w:t>
      </w:r>
    </w:p>
    <w:p>
      <w:pPr>
        <w:pBdr>
          <w:bottom w:val="single" w:color="003FCD" w:sz="14" w:space="8"/>
        </w:pBdr>
        <w:spacing w:after="80"/>
      </w:pPr>
      <w:r>
        <w:rPr>
          <w:rFonts w:ascii="DM Mono" w:cs="DM Mono" w:eastAsia="DM Mono" w:hAnsi="DM Mono"/>
          <w:color w:val="5C5C6B"/>
          <w:sz w:val="16"/>
          <w:szCs w:val="16"/>
        </w:rPr>
        <w:t xml:space="preserve">28 de junho de 2026   ·   Uso interno   ·   v1   ·   Para: William / Shift+G</w:t>
      </w:r>
    </w:p>
    <w:p>
      <w:pPr>
        <w:spacing w:after="120"/>
      </w:pPr>
    </w:p>
    <w:p>
      <w:pPr>
        <w:pStyle w:val="Heading1"/>
      </w:pPr>
      <w:r>
        <w:t xml:space="preserve">1. A jogada em uma página</w:t>
      </w:r>
    </w:p>
    <w:p>
      <w:pPr>
        <w:spacing w:after="120" w:line="27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Existe uma cidade só, partida ao meio por uma linha no mapa. </w:t>
      </w: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De um lado, União da Vitória (PR); do outro, Porto União (SC).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Para quase todo mundo, isso é uma chateação burocrática. Para nós, é a maior arbitragem de dinheiro público da região: uma única incubadora, plantada no meio, pode captar ao mesmo tempo os instrumentos do Paraná (Fundação Araucária, Tecpar, SEIA) e de Santa Catarina (FAPESC), os dois Centelha, os dois SEBRAE, as duas bancadas de emendas — e, por cima de tudo, o federal (FINEP, CNPq, BNDES). Quase ninguém estrutura assim. A Shift+G pode ser quem arquiteta, opera e ancora.</w:t>
      </w:r>
    </w:p>
    <w:p>
      <w:pPr>
        <w:spacing w:after="60" w:line="276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A jogada, em cinco movimentos: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Fundar um Instituto sem fins lucrativos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a entidade gestora que credencia e capta — e operar por dentro dele, com a Shift+G como braço técnico e empresa-âncora.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Foco híbrido: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base ampla de base tecnológica + trilhas onde somos casa (NR-1/saúde ocupacional → NearOne; LGPD/GovTech → ADERIS; IA aplicada; e a economia regional — madeira e agro).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Empilhar recurso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municipal ×2 → estadual PR + SC → federal → emendas → privado. Cada real público destrava o próximo.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Usar o tempo a nosso favor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como o projeto só nasce com recurso público, a janela atual é de articulação — credenciar, aprovar lei municipal, formar a coligação e chegar pronto na mão quando o edital/emenda abrir.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Retorno pra Shift+G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deal flow que vira cliente/parceiro/aquisição, custeio público para operar, e a posição de âncora de inovação do Vale do Iguaçu.</w:t>
      </w:r>
    </w:p>
    <w:p>
      <w:pPr>
        <w:spacing w:after="60"/>
      </w:pPr>
    </w:p>
    <w:p>
      <w:pPr>
        <w:spacing w:after="120" w:line="276"/>
      </w:pPr>
      <w:r>
        <w:rPr>
          <w:rFonts w:ascii="DM Sans" w:cs="DM Sans" w:eastAsia="DM Sans" w:hAnsi="DM Sans"/>
          <w:b/>
          <w:bCs/>
          <w:i w:val="false"/>
          <w:iCs w:val="false"/>
          <w:color w:val="003FCD"/>
          <w:sz w:val="21"/>
          <w:szCs w:val="21"/>
        </w:rPr>
        <w:t xml:space="preserve">Veredito: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não é se dá pra fazer. É quem chega primeiro com o projeto pronto quando o dinheiro abrir. Esse alguém é você.</w:t>
      </w:r>
    </w:p>
    <w:p>
      <w:r>
        <w:br w:type="page"/>
      </w:r>
    </w:p>
    <w:p>
      <w:pPr>
        <w:pStyle w:val="Heading1"/>
      </w:pPr>
      <w:r>
        <w:t xml:space="preserve">2. A tese: a divisa é o ativo, não o defeito</w:t>
      </w:r>
    </w:p>
    <w:p>
      <w:pPr>
        <w:spacing w:after="120" w:line="27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União da Vitória e Porto União são cidades-gêmeas conurbadas — um único tecido urbano dividido por uma linha estadual entre Paraná e Santa Catarina. O fomento à inovação no Brasil é, em boa parte, estadual: cada estado tem sua Fundação de Amparo (a FAP) e seus programas próprios. Uma incubadora ancorada de um lado só acessa os instrumentos de um estado. Uma incubadora desenhada para servir as duas cidades acessa os dois.</w:t>
      </w:r>
    </w:p>
    <w:p>
      <w:pPr>
        <w:spacing w:after="120" w:line="276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Na prática: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Paraná oferece Fundação Araucária, Tecpar/Intec, SEIA, Tecnova III e Impulso Inovador. Santa Catarina oferece a FAPESC, com credenciamento de incubadoras e o Centelha 3 catarinense. São dois cardápios de editais, dois programas Centelha, dois SEBRAE estaduais e duas bancadas parlamentares (PR e SC) — para uma operação física só.</w:t>
      </w:r>
    </w:p>
    <w:p>
      <w:pPr>
        <w:spacing w:after="120" w:line="276"/>
      </w:pPr>
      <w:r>
        <w:rPr>
          <w:rFonts w:ascii="DM Sans" w:cs="DM Sans" w:eastAsia="DM Sans" w:hAnsi="DM Sans"/>
          <w:b/>
          <w:bCs/>
          <w:i w:val="false"/>
          <w:iCs w:val="false"/>
          <w:color w:val="003FCD"/>
          <w:sz w:val="21"/>
          <w:szCs w:val="21"/>
        </w:rPr>
        <w:t xml:space="preserve">Cuidado honesto: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cada instrumento tem regra territorial — um programa do PR financia empresa domiciliada no PR; SC financia SC. O jogo não é o mesmo CNPJ pegar dos dois (isso queima). O jogo é </w:t>
      </w: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hospedar as duas populações sob um teto só e rotear cada startup para os instrumentos do seu próprio estado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enquanto a infraestrutura compartilhada é co-financiada pelas duas prefeituras. Isso é legítimo, raro e defensável.</w:t>
      </w:r>
    </w:p>
    <w:p>
      <w:pPr>
        <w:pStyle w:val="Heading1"/>
      </w:pPr>
      <w:r>
        <w:t xml:space="preserve">3. O que é (e o que não é) uma incubadora</w:t>
      </w:r>
    </w:p>
    <w:p>
      <w:pPr>
        <w:spacing w:after="120" w:line="27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Incubadora não é aceleradora, não é coworking e não é parque tecnológico. É um programa estruturado que seleciona negócios inovadores em estágio inicial e, ao longo de 1 a 3 anos, entrega infraestrutura, metodologia, mentoria, rede e acesso a capital — até a empresa “graduar” e andar com as próprias pernas. No Brasil, o padrão de qualidade é o modelo CERNE, criado pela ANPROTEC com o SEBRAE. A gestão pode ser pública, privada sem fins lucrativos ou ligada a universidade.</w:t>
      </w:r>
    </w:p>
    <w:p>
      <w:pPr>
        <w:spacing w:after="120" w:line="276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O que ela não é: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não é um negócio imobiliário, não é uma máquina de saque rápido de edital, e não substitui o trabalho do fundador. Incubadora mal feita destrói reputação. Por isso entramos com gestão profissional desde o dia 1 — ou não entramos.</w:t>
      </w:r>
    </w:p>
    <w:p>
      <w:pPr>
        <w:pStyle w:val="Heading1"/>
      </w:pPr>
      <w:r>
        <w:t xml:space="preserve">4. O modelo do projeto</w:t>
      </w:r>
    </w:p>
    <w:p>
      <w:pPr>
        <w:pStyle w:val="Heading2"/>
      </w:pPr>
      <w:r>
        <w:t xml:space="preserve">4.1  Veículo jurídico: o Instituto + a Shift+G</w:t>
      </w:r>
    </w:p>
    <w:p>
      <w:pPr>
        <w:spacing w:after="120" w:line="27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Duas verdades que definem a estrutura. Primeira: o município pode delegar a gestão de uma incubadora a uma pessoa jurídica privada (com ou sem fins lucrativos), via licitação ou credenciamento, além de ceder imóvel e custear a operação — é o que autoriza o Marco Legal de CT&amp;I (Leis 10.973/2004 e 13.243/2016). Segunda: o credenciamento estadual — a FAPESC exige isso explicitamente, e a lógica das FAPs em geral segue a mesma linha — costuma demandar uma entidade sem fins lucrativos como gestora.</w:t>
      </w:r>
    </w:p>
    <w:p>
      <w:pPr>
        <w:spacing w:after="120" w:line="276"/>
      </w:pPr>
      <w:r>
        <w:rPr>
          <w:rFonts w:ascii="DM Sans" w:cs="DM Sans" w:eastAsia="DM Sans" w:hAnsi="DM Sans"/>
          <w:b/>
          <w:bCs/>
          <w:i w:val="false"/>
          <w:iCs w:val="false"/>
          <w:color w:val="003FCD"/>
          <w:sz w:val="21"/>
          <w:szCs w:val="21"/>
        </w:rPr>
        <w:t xml:space="preserve">Conclusão: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criamos um </w:t>
      </w: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Instituto / Associação sem fins lucrativos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(nome a definir — ex.: Instituto de Inovação do Vale do Iguaçu) como a entidade gestora oficial. É ele que credencia na FAPESC e na rede do PR, capta convênios, recebe emendas e assina com as prefeituras. A Shift+G entra em quatro frentes: (a) fundadora e articuladora; (b) operadora técnica contratada e mantenedora-âncora; (c) provedora de metodologia e base; (d) mentora. Assim você funda, administra até onde a lei permite, serve de base e mentora — com uma blindagem jurídica que mantém o acesso ao dinheiro público.</w:t>
      </w:r>
    </w:p>
    <w:p>
      <w:pPr>
        <w:pStyle w:val="Heading2"/>
      </w:pPr>
      <w:r>
        <w:t xml:space="preserve">4.2  Foco híbrido: base + trilhas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Base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aberta a qualquer startup de base tecnológica da região. Volume gera elegibilidade a editais amplos (Tecnova, Centelha, Impulso Inovador, FINEP).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Trilha Saúde &amp; Segurança do Trabalho / NR-1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alimenta e é alimentada pelo NearOne (50k+ vidas mapeadas).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Trilha GovTech &amp; Compliance / LGPD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território do ADERIS; e GovTech casa naturalmente com o cliente “prefeitura”.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Trilha IA aplicada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core da Shift+G; o Método CLARO e o Medidor de Prompt viram ativos didáticos da incubadora.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Trilha economia regional (madeira/florestal, agro, logística)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relevância política e econômica local; abre portas com as associações comerciais e as bancadas.</w:t>
      </w:r>
    </w:p>
    <w:p>
      <w:pPr>
        <w:spacing w:after="60" w:line="276"/>
      </w:pPr>
      <w:r>
        <w:rPr>
          <w:rFonts w:ascii="DM Sans" w:cs="DM Sans" w:eastAsia="DM Sans" w:hAnsi="DM Sans"/>
          <w:b w:val="false"/>
          <w:bCs w:val="false"/>
          <w:i/>
          <w:iCs/>
          <w:color w:val="5C5C6B"/>
          <w:sz w:val="21"/>
          <w:szCs w:val="21"/>
        </w:rPr>
        <w:t xml:space="preserve">Cada trilha é deal flow curado: startups que viram clientes, parceiros ou alvos de aquisição dos nossos produtos.</w:t>
      </w:r>
    </w:p>
    <w:p>
      <w:pPr>
        <w:pStyle w:val="Heading2"/>
      </w:pPr>
      <w:r>
        <w:t xml:space="preserve">4.3  Governança e a coligação</w:t>
      </w:r>
    </w:p>
    <w:p>
      <w:pPr>
        <w:spacing w:after="120" w:line="27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força do projeto está na coligação. Sugestão de arquitetura: um Conselho (prefeituras + universidades + entidades empresariais + Shift+G) → o Instituto gestor → a Shift+G como operadora. Possivelmente um consórcio público interestadual (Lei 11.107/2005, com precedente real no Consórcio Intermunicipal da Fronteira) para dar permanência institucional e co-financiamento das duas prefeituras.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Prefeituras de UV (PR) e Porto União (SC):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imóvel, custeio, lei municipal, consórcio, compras públicas de inovação.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ICT âncora — UNESPAR/AGITEC + UNIGUAÇU: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essencial para o Marco Legal de CT&amp;I e para a credibilidade junto aos recursos estaduais.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Entidades empresariais — ACIPU (UV) e congênere de Porto União: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mantenedores, padrinhos e demanda real.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Sistema S — SEBRAE + SENAI: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SEBRAE entra via programa Cidade Empreendedora (porta de entrada pela prefeitura); o SENAI tem o Habitat SENAI, consultoria turnkey que já montou ecossistema em Palmas, Francisco Beltrão e Pato Branco.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FAPs — Fundação Araucária (PR) + FAPESC (SC):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as duas fontes estaduais de fomento.</w:t>
      </w:r>
    </w:p>
    <w:p>
      <w:pPr>
        <w:pStyle w:val="Heading2"/>
      </w:pPr>
      <w:r>
        <w:t xml:space="preserve">4.4  O papel da Shift+G, destrinchado</w:t>
      </w:r>
    </w:p>
    <w:p>
      <w:pPr>
        <w:spacing w:after="120" w:line="27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Você pediu “todas acima” — fundar, administrar, servir de base e mentorar. Veja como cada papel vira ação concreta e o que ele devolve para a Shift+G: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3"/>
        <w:gridCol w:w="3663"/>
      </w:tblGrid>
      <w:tr>
        <w:trPr>
          <w:tblHeader/>
        </w:trPr>
        <w:tc>
          <w:tcPr>
            <w:tcW w:type="dxa" w:w="17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3663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O que fazemos</w:t>
            </w:r>
          </w:p>
        </w:tc>
        <w:tc>
          <w:tcPr>
            <w:tcW w:type="dxa" w:w="3663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O que ganhamos</w:t>
            </w:r>
          </w:p>
        </w:tc>
      </w:tr>
      <w:tr>
        <w:tc>
          <w:tcPr>
            <w:tcW w:type="dxa" w:w="17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003FCD"/>
                <w:sz w:val="19"/>
                <w:szCs w:val="19"/>
              </w:rPr>
              <w:t xml:space="preserve">Fundar</w:t>
            </w:r>
          </w:p>
        </w:tc>
        <w:tc>
          <w:tcPr>
            <w:tcW w:type="dxa" w:w="3663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Articula o Instituto e a coligação; desenha o projeto e a narrativa.</w:t>
            </w:r>
          </w:p>
        </w:tc>
        <w:tc>
          <w:tcPr>
            <w:tcW w:type="dxa" w:w="3663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Donos da governança e da narrativa desde a origem.</w:t>
            </w:r>
          </w:p>
        </w:tc>
      </w:tr>
      <w:tr>
        <w:tc>
          <w:tcPr>
            <w:tcW w:type="dxa" w:w="17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003FCD"/>
                <w:sz w:val="19"/>
                <w:szCs w:val="19"/>
              </w:rPr>
              <w:t xml:space="preserve">Administrar</w:t>
            </w:r>
          </w:p>
        </w:tc>
        <w:tc>
          <w:tcPr>
            <w:tcW w:type="dxa" w:w="3663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Operadora técnica contratada do Instituto: gestão executiva, metodologia, seleção e captação.</w:t>
            </w:r>
          </w:p>
        </w:tc>
        <w:tc>
          <w:tcPr>
            <w:tcW w:type="dxa" w:w="3663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Controle do dia a dia e do deal flow; o custeio público paga a operação.</w:t>
            </w:r>
          </w:p>
        </w:tc>
      </w:tr>
      <w:tr>
        <w:tc>
          <w:tcPr>
            <w:tcW w:type="dxa" w:w="17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003FCD"/>
                <w:sz w:val="19"/>
                <w:szCs w:val="19"/>
              </w:rPr>
              <w:t xml:space="preserve">Servir de base</w:t>
            </w:r>
          </w:p>
        </w:tc>
        <w:tc>
          <w:tcPr>
            <w:tcW w:type="dxa" w:w="3663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Cede stack, espaço-âncora, Método CLARO, Medidor de Prompt e marca.</w:t>
            </w:r>
          </w:p>
        </w:tc>
        <w:tc>
          <w:tcPr>
            <w:tcW w:type="dxa" w:w="3663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As startups nascem no nosso ambiente e no nosso jeito de operar.</w:t>
            </w:r>
          </w:p>
        </w:tc>
      </w:tr>
      <w:tr>
        <w:tc>
          <w:tcPr>
            <w:tcW w:type="dxa" w:w="17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003FCD"/>
                <w:sz w:val="19"/>
                <w:szCs w:val="19"/>
              </w:rPr>
              <w:t xml:space="preserve">Mentorar / fomentar</w:t>
            </w:r>
          </w:p>
        </w:tc>
        <w:tc>
          <w:tcPr>
            <w:tcW w:type="dxa" w:w="3663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Bancas, mentorias e conexão a editais.</w:t>
            </w:r>
          </w:p>
        </w:tc>
        <w:tc>
          <w:tcPr>
            <w:tcW w:type="dxa" w:w="3663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Pipeline e relacionamento para NearOne e ADERIS; visibilidade institucional.</w:t>
            </w:r>
          </w:p>
        </w:tc>
      </w:tr>
    </w:tbl>
    <w:p>
      <w:pPr>
        <w:spacing w:after="80" w:line="276"/>
      </w:pPr>
      <w:r>
        <w:rPr>
          <w:rFonts w:ascii="DM Sans" w:cs="DM Sans" w:eastAsia="DM Sans" w:hAnsi="DM Sans"/>
          <w:b/>
          <w:bCs/>
          <w:i w:val="false"/>
          <w:iCs w:val="false"/>
          <w:color w:val="003FCD"/>
          <w:sz w:val="21"/>
          <w:szCs w:val="21"/>
        </w:rPr>
        <w:t xml:space="preserve">Nota honesta: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ser gestor e beneficiário ao mesmo tempo exige governança limpa (o Instituto como anteparo, regras públicas de banca, transparência). Sem isso, queima em licitação. Tratamos no item 7.</w:t>
      </w:r>
    </w:p>
    <w:p>
      <w:r>
        <w:br w:type="page"/>
      </w:r>
    </w:p>
    <w:p>
      <w:pPr>
        <w:pStyle w:val="Heading1"/>
      </w:pPr>
      <w:r>
        <w:t xml:space="preserve">5. O mapa do dinheiro</w:t>
      </w:r>
    </w:p>
    <w:p>
      <w:pPr>
        <w:spacing w:after="120" w:line="276"/>
      </w:pPr>
      <w:r>
        <w:rPr>
          <w:rFonts w:ascii="DM Sans" w:cs="DM Sans" w:eastAsia="DM Sans" w:hAnsi="DM Sans"/>
          <w:b w:val="false"/>
          <w:bCs w:val="false"/>
          <w:i/>
          <w:iCs/>
          <w:color w:val="5C5C6B"/>
          <w:sz w:val="21"/>
          <w:szCs w:val="21"/>
        </w:rPr>
        <w:t xml:space="preserve">Pense em camadas. A regra é empilhar: cada real público destrava o próximo e reduz o custo do nosso capital. Valores são referências das chamadas de 2025–2026; confirmar janela vigente a cada ciclo.</w:t>
      </w:r>
    </w:p>
    <w:p>
      <w:pPr>
        <w:pStyle w:val="Heading2"/>
      </w:pPr>
      <w:r>
        <w:t xml:space="preserve">Camada 1 — Municipal (UV-PR + Porto União-SC)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1726"/>
        <w:gridCol w:w="1900"/>
      </w:tblGrid>
      <w:tr>
        <w:trPr>
          <w:tblHeader/>
        </w:trP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O que oferece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Valor / janela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Próximo passo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Lei Municipal de Inovação (espelhada nas 2 câmaras)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Autoriza ceder imóvel, custear, repassar a ICT e comprar inovação (CPSI).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Base legal; sem teto fixo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Redigir minuta; articular vereadores nas 2 cidades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Cessão de imóvel + custeio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Sede física + contas e operação do hub.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Conforme orçamento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Mapear imóvel público ocioso; incluir no PPA/LOA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Consórcio público interestadual (Lei 11.107/05)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Co-financiamento das 2 prefeituras + permanência institucional.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Rateio em contrato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Protocolo de intenções entre os 2 prefeitos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Compras públicas de inovação (CPSI)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A prefeitura vira cliente das startups (e da Shift+G).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Conforme demanda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Mapear dores GovTech das prefeituras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Camada 2 — Estadual: Paraná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1726"/>
        <w:gridCol w:w="1900"/>
      </w:tblGrid>
      <w:tr>
        <w:trPr>
          <w:tblHeader/>
        </w:trP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O que oferece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Valor / janela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Próximo passo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Fundação Araucária (FAPPR)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Programas de inovação e bolsas; co-financia ecossistema.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Varia por chamada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Acompanhar “Programas Abertos”; credenciar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Tecnova III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Subvenção não reembolsável para projetos de inovação.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Até ~R$30,12 mi / 60 projetos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Preparar startups da carteira p/ submeter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Impulso Inovador (SEIA + Tecpar)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60 startups iniciais: capacitação, mentoria e aporte.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Até R$40 mil/startup · R$2,4 mi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Inscrever startups iniciais da base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Tecpar / Intec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Programa estadual de incubação (referência e rede).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Seleção de empresas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Parceria/benchmark; conectar carteira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Centelha III PR (Ch. 14/2026)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Pré-seed: capacitação + subvenção para ideias.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Grant pré-seed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Mobilizar ideias regionais (lado PR)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Sistema FIEP / SENAI-PR (Habitat SENAI)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Consultoria turnkey p/ montar o ecossistema; Rede de Inovação.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Serviço (parte subsidiado)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Acionar SENAI-PR p/ diagnóstico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Camada 3 — Estadual: Santa Catarina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1726"/>
        <w:gridCol w:w="1900"/>
      </w:tblGrid>
      <w:tr>
        <w:trPr>
          <w:tblHeader/>
        </w:trP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O que oferece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Valor / janela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Próximo passo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FAPESC — Credenciamento de Incubadoras (Ed. 35/2026)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Credencia a incubadora (gestão pública ou privada sem fins lucrativos). PRÉ-REQUISITO do fomento de 2026.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Acesso ao fomento estadual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Constituir o Instituto e credenciar JÁ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FAPESC — Fortalecimento (Ed. 59/2025)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Recursos de PD&amp;I para incubadoras credenciadas.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PD&amp;I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Submeter via pesquisador vinculado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Centelha 3 SC (Ed. 12/2026)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Pré-seed: subvenção + bolsa para novos negócios.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Até R$146 mil/proposta · 42 empresas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Mobilizar proponentes de Porto União/SC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FAPESC — Eventos de inovação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Financia eventos de inovação e empreendedorismo.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Custeia eventos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Usar p/ marketing e atração do hub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SEBRAE-SC + Sistema FIESC/SENAI-SC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Cidade Empreendedora; consultoria de ecossistema.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Serviço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Adesão da prefeitura de Porto União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Camada 4 — Federal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1726"/>
        <w:gridCol w:w="1900"/>
      </w:tblGrid>
      <w:tr>
        <w:trPr>
          <w:tblHeader/>
        </w:trP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O que oferece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Valor / janela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03F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Próximo passo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FINEP — Mais Inovação Brasil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Subvenção econômica (não reembolsável) para inovação.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R$3,3 bi · até R$1,5 mi/startup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Preparar carteira madura; janelas até ago–set/2026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FINEP — Economia Circular &amp; Cidades Sustentáveis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Linha temática de sustentabilidade.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R$150 mi · até 31/08/2026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Avaliar aderência de startups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FINEP — Inovacred / crédito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Crédito subsidiado para inovação.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Crédito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Para startups em tração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CNPq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Bolsas (RHAE, ITI) para equipes de PD&amp;I.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Bolsas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Vincular a projetos da carteira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BNDES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Crédito e garantias para escala.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Crédito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Fase de scale-up</w:t>
            </w:r>
          </w:p>
        </w:tc>
      </w:tr>
      <w:tr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MCTI / FNDCT</w:t>
            </w:r>
          </w:p>
        </w:tc>
        <w:tc>
          <w:tcPr>
            <w:tcW w:type="dxa" w:w="3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Fonte dos grandes programas de CT&amp;I.</w:t>
            </w:r>
          </w:p>
        </w:tc>
        <w:tc>
          <w:tcPr>
            <w:tcW w:type="dxa" w:w="17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Indireto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 xml:space="preserve">Acompanhar editais derivados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Camada 5 — Emendas parlamentares (PR + SC)</w:t>
      </w:r>
    </w:p>
    <w:p>
      <w:pPr>
        <w:spacing w:after="120" w:line="27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É o canal mais direto para cidade pequena — e nós temos duas bancadas (PR e SC), nas esferas federal e estadual. Transferências especiais (a “emenda Pix”) e emendas de bancada podem ir direto ao município ou ao Instituto via convênio, com pouca fricção.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Montar um “kit do padrinho”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1 página de visão + orçamento enxuto + foto do impacto.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Rodar a régua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deputados estaduais e federais e senadores das duas bancadas, além dos vereadores das duas câmaras.</w:t>
      </w:r>
    </w:p>
    <w:p>
      <w:pPr>
        <w:spacing w:after="80"/>
      </w:pPr>
    </w:p>
    <w:p>
      <w:pPr>
        <w:pStyle w:val="Heading2"/>
      </w:pPr>
      <w:r>
        <w:t xml:space="preserve">Camada 6 — Privado e sustentabilidade</w:t>
      </w:r>
    </w:p>
    <w:p>
      <w:pPr>
        <w:spacing w:after="120" w:line="27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Mantenedores-âncora (a Shift+G e empresas regionais), cotas de patrocínio, serviços (capacitação e eventos — a própria FAPESC financia eventos) e, no médio/longo prazo, equity e royalties da carteira incubada e de spin-offs. Meta explícita: reduzir a dependência de recurso público a cada ano.</w:t>
      </w:r>
    </w:p>
    <w:p>
      <w:r>
        <w:br w:type="page"/>
      </w:r>
    </w:p>
    <w:p>
      <w:pPr>
        <w:pStyle w:val="Heading1"/>
      </w:pPr>
      <w:r>
        <w:t xml:space="preserve">6. Gestão e sustentabilidade</w:t>
      </w:r>
    </w:p>
    <w:p>
      <w:pPr>
        <w:spacing w:after="120" w:line="27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Adotar o modelo CERNE (ANPROTEC/SEBRAE) desde o início e mirar o selo CERNE 1 cedo — ele dá credibilidade e abre porta em edital. São 9 princípios (foco nos empreendimentos, ética, sustentabilidade, melhoria contínua, gestão transparente, entre outros) e 4 níveis de maturidade.</w:t>
      </w:r>
    </w:p>
    <w:p>
      <w:pPr>
        <w:spacing w:after="120" w:line="276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Receita em fases: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(curto) editais/convênios + custeio municipal; (médio) mantenedores + serviços; (longo) equity/royalties da carteira. A sustentabilidade entra no desenho desde o dia 1, não como remendo.</w:t>
      </w:r>
    </w:p>
    <w:p>
      <w:pPr>
        <w:pStyle w:val="Heading1"/>
      </w:pPr>
      <w:r>
        <w:t xml:space="preserve">7. Riscos e guardrails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Conflito de interesse (gestor + beneficiário):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blindar com o Instituto sem fins lucrativos como anteparo, regras públicas de seleção e banca, comitê com terceiros (universidade, SEBRAE) e transparência. Sem isso, queima em licitação/edital.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Exigência de entidade sem fins lucrativos: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 credenciamento estadual, não tente credenciar a Shift+G LTDA direto — é para isso que existe o Instituto.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Dependência de recurso público + tempo político: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não amarrar a sobrevivência a um único mandato ou edital; sustentabilidade desde o dia 1.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Territorialidade dos editais: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cada FAP financia empresa do seu estado; o modelo bi-estadual roteia cada startup ao instrumento certo — não é double-dip.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Execução: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incubadora ruim destrói reputação. Só comprometer com gestão profissional (CERNE) e parceiros firmados.</w:t>
      </w:r>
    </w:p>
    <w:p>
      <w:pPr>
        <w:pStyle w:val="Heading1"/>
      </w:pPr>
      <w:r>
        <w:t xml:space="preserve">8. Roadmap — temos tempo, vamos usar</w:t>
      </w:r>
    </w:p>
    <w:p>
      <w:pPr>
        <w:pStyle w:val="Heading3"/>
      </w:pPr>
      <w:r>
        <w:t xml:space="preserve">Fase 0 — Articulação (0–90 dias)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Formar o Instituto (estatuto, diretoria, CNPJ sem fins lucrativos).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MOUs com UNESPAR/AGITEC, UNIGUAÇU e as associações comerciais (ACIPU + Porto União).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Acionar SEBRAE (Cidade Empreendedora) e SENAI (Habitat); sondar os 2 prefeitos e os padrinhos políticos.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Escolher nome e marca do hub.</w:t>
      </w:r>
    </w:p>
    <w:p>
      <w:pPr>
        <w:pStyle w:val="Heading3"/>
      </w:pPr>
      <w:r>
        <w:t xml:space="preserve">Fase 1 — Fundação legal (3–6 meses)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Minutas de Lei Municipal de Inovação nas 2 câmaras; protocolo do consórcio interestadual.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Definição e cessão do imóvel.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Credenciamento na FAPESC (Ed. 35/2026) e na rede do Paraná.</w:t>
      </w:r>
    </w:p>
    <w:p>
      <w:pPr>
        <w:pStyle w:val="Heading3"/>
      </w:pPr>
      <w:r>
        <w:t xml:space="preserve">Fase 2 — Captação e 1ª turma (6–12 meses)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Emendas (2 bancadas), Centelha PR + SC, Impulso Inovador, Tecnova.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Seleção da turma inaugural (base + trilhas), com a Shift+G como operadora.</w:t>
      </w:r>
    </w:p>
    <w:p>
      <w:pPr>
        <w:pStyle w:val="Heading3"/>
      </w:pPr>
      <w:r>
        <w:t xml:space="preserve">Fase 3 — Operação e selo (12–24 meses)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CERNE 1; FINEP para a carteira madura; primeiros graduados.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Consolidar receita e a posição de âncora de inovação do Vale do Iguaçu.</w:t>
      </w:r>
    </w:p>
    <w:p>
      <w:pPr>
        <w:spacing w:after="60"/>
      </w:pPr>
    </w:p>
    <w:p>
      <w:pPr>
        <w:spacing w:after="120" w:line="276"/>
      </w:pPr>
      <w:r>
        <w:rPr>
          <w:rFonts w:ascii="DM Sans" w:cs="DM Sans" w:eastAsia="DM Sans" w:hAnsi="DM Sans"/>
          <w:b/>
          <w:bCs/>
          <w:i w:val="false"/>
          <w:iCs w:val="false"/>
          <w:color w:val="003FCD"/>
          <w:sz w:val="21"/>
          <w:szCs w:val="21"/>
        </w:rPr>
        <w:t xml:space="preserve">A pergunta não é se dá pra fazer. É quem chega primeiro com o projeto pronto quando o dinheiro abrir — e essa pessoa é você.</w:t>
      </w:r>
    </w:p>
    <w:p>
      <w:r>
        <w:br w:type="page"/>
      </w:r>
    </w:p>
    <w:p>
      <w:pPr>
        <w:pStyle w:val="Heading1"/>
      </w:pPr>
      <w:r>
        <w:t xml:space="preserve">9. Apêndice</w:t>
      </w:r>
    </w:p>
    <w:p>
      <w:pPr>
        <w:pStyle w:val="Heading2"/>
      </w:pPr>
      <w:r>
        <w:t xml:space="preserve">Glossário rápido</w:t>
      </w:r>
    </w:p>
    <w:p>
      <w:pPr>
        <w:spacing w:after="120" w:line="276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ICT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Instituição de Ciência e Tecnologia (ex.: universidade). </w:t>
      </w: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FAP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Fundação de Amparo à Pesquisa estadual (Fundação Araucária no PR, FAPESC em SC). </w:t>
      </w: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CT&amp;I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Ciência, Tecnologia e Inovação. </w:t>
      </w: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CPSI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Compras Públicas para Soluções Inovadoras. </w:t>
      </w: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CERNE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Centro de Referência para Apoio a Novos Empreendimentos (modelo de gestão de incubadoras da ANPROTEC/SEBRAE). </w:t>
      </w: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1"/>
          <w:szCs w:val="21"/>
        </w:rPr>
        <w:t xml:space="preserve">NR-1 / GRO / PGR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normas de saúde e segurança do trabalho, hoje com gestão de riscos psicossociais obrigatória.</w:t>
      </w:r>
    </w:p>
    <w:p>
      <w:pPr>
        <w:pStyle w:val="Heading2"/>
      </w:pPr>
      <w:r>
        <w:t xml:space="preserve">Fontes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9rytc-cty0x07cxz42xhy">
        <w:r>
          <w:rPr>
            <w:rStyle w:val="Hyperlink"/>
            <w:rFonts w:ascii="DM Sans" w:cs="DM Sans" w:eastAsia="DM Sans" w:hAnsi="DM Sans"/>
            <w:sz w:val="19"/>
            <w:szCs w:val="19"/>
          </w:rPr>
          <w:t xml:space="preserve">Marco Legal de CT&amp;I — Lei 13.243/2016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j4xmgjxnwbqtrp7ipyclq">
        <w:r>
          <w:rPr>
            <w:rStyle w:val="Hyperlink"/>
            <w:rFonts w:ascii="DM Sans" w:cs="DM Sans" w:eastAsia="DM Sans" w:hAnsi="DM Sans"/>
            <w:sz w:val="19"/>
            <w:szCs w:val="19"/>
          </w:rPr>
          <w:t xml:space="preserve">Lei de Inovação — Lei 10.973/2004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ugix4eve8roi23rpaloru">
        <w:r>
          <w:rPr>
            <w:rStyle w:val="Hyperlink"/>
            <w:rFonts w:ascii="DM Sans" w:cs="DM Sans" w:eastAsia="DM Sans" w:hAnsi="DM Sans"/>
            <w:sz w:val="19"/>
            <w:szCs w:val="19"/>
          </w:rPr>
          <w:t xml:space="preserve">Consórcios públicos — Lei 11.107/2005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annkifsxu6t7xsu0_b80k">
        <w:r>
          <w:rPr>
            <w:rStyle w:val="Hyperlink"/>
            <w:rFonts w:ascii="DM Sans" w:cs="DM Sans" w:eastAsia="DM Sans" w:hAnsi="DM Sans"/>
            <w:sz w:val="19"/>
            <w:szCs w:val="19"/>
          </w:rPr>
          <w:t xml:space="preserve">Fundação Araucária — Programas Abertos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ammiswnuhgw6q6ry38lcm">
        <w:r>
          <w:rPr>
            <w:rStyle w:val="Hyperlink"/>
            <w:rFonts w:ascii="DM Sans" w:cs="DM Sans" w:eastAsia="DM Sans" w:hAnsi="DM Sans"/>
            <w:sz w:val="19"/>
            <w:szCs w:val="19"/>
          </w:rPr>
          <w:t xml:space="preserve">Tecnova III (Fundação Araucária)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ilueqomcfx685yesamptj">
        <w:r>
          <w:rPr>
            <w:rStyle w:val="Hyperlink"/>
            <w:rFonts w:ascii="DM Sans" w:cs="DM Sans" w:eastAsia="DM Sans" w:hAnsi="DM Sans"/>
            <w:sz w:val="19"/>
            <w:szCs w:val="19"/>
          </w:rPr>
          <w:t xml:space="preserve">Impulso Inovador — Governo do PR / SEIA / Tecpar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mmi3fwarotjttrtaedufr">
        <w:r>
          <w:rPr>
            <w:rStyle w:val="Hyperlink"/>
            <w:rFonts w:ascii="DM Sans" w:cs="DM Sans" w:eastAsia="DM Sans" w:hAnsi="DM Sans"/>
            <w:sz w:val="19"/>
            <w:szCs w:val="19"/>
          </w:rPr>
          <w:t xml:space="preserve">Tecpar — Incubadoras Tecnológicas (Intec)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kzbfcozlcd7abdxihzrg3">
        <w:r>
          <w:rPr>
            <w:rStyle w:val="Hyperlink"/>
            <w:rFonts w:ascii="DM Sans" w:cs="DM Sans" w:eastAsia="DM Sans" w:hAnsi="DM Sans"/>
            <w:sz w:val="19"/>
            <w:szCs w:val="19"/>
          </w:rPr>
          <w:t xml:space="preserve">FAPESC — credenciamento de incubadoras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yfdfvz4rkycqcxwymc25x">
        <w:r>
          <w:rPr>
            <w:rStyle w:val="Hyperlink"/>
            <w:rFonts w:ascii="DM Sans" w:cs="DM Sans" w:eastAsia="DM Sans" w:hAnsi="DM Sans"/>
            <w:sz w:val="19"/>
            <w:szCs w:val="19"/>
          </w:rPr>
          <w:t xml:space="preserve">Centelha 3 SC (FAPESC)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a5tczrluy9rmwgfkvb3ul">
        <w:r>
          <w:rPr>
            <w:rStyle w:val="Hyperlink"/>
            <w:rFonts w:ascii="DM Sans" w:cs="DM Sans" w:eastAsia="DM Sans" w:hAnsi="DM Sans"/>
            <w:sz w:val="19"/>
            <w:szCs w:val="19"/>
          </w:rPr>
          <w:t xml:space="preserve">FINEP — Mais Inovação Brasil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qfqiut12gswfx2esed7jl">
        <w:r>
          <w:rPr>
            <w:rStyle w:val="Hyperlink"/>
            <w:rFonts w:ascii="DM Sans" w:cs="DM Sans" w:eastAsia="DM Sans" w:hAnsi="DM Sans"/>
            <w:sz w:val="19"/>
            <w:szCs w:val="19"/>
          </w:rPr>
          <w:t xml:space="preserve">SEBRAE — Cidade Empreendedora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zebqsbwbf2ejs8bnbd54q">
        <w:r>
          <w:rPr>
            <w:rStyle w:val="Hyperlink"/>
            <w:rFonts w:ascii="DM Sans" w:cs="DM Sans" w:eastAsia="DM Sans" w:hAnsi="DM Sans"/>
            <w:sz w:val="19"/>
            <w:szCs w:val="19"/>
          </w:rPr>
          <w:t xml:space="preserve">SENAI-PR — apoio a prefeituras (Habitat)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xfj_v-mijcgxwvkquq8jv">
        <w:r>
          <w:rPr>
            <w:rStyle w:val="Hyperlink"/>
            <w:rFonts w:ascii="DM Sans" w:cs="DM Sans" w:eastAsia="DM Sans" w:hAnsi="DM Sans"/>
            <w:sz w:val="19"/>
            <w:szCs w:val="19"/>
          </w:rPr>
          <w:t xml:space="preserve">ANPROTEC — modelo CERNE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5eifztx6gznwq2w_nnssp">
        <w:r>
          <w:rPr>
            <w:rStyle w:val="Hyperlink"/>
            <w:rFonts w:ascii="DM Sans" w:cs="DM Sans" w:eastAsia="DM Sans" w:hAnsi="DM Sans"/>
            <w:sz w:val="19"/>
            <w:szCs w:val="19"/>
          </w:rPr>
          <w:t xml:space="preserve">AGITEC — UNESPAR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DM Mono" w:cs="DM Mono" w:eastAsia="DM Mono" w:hAnsi="DM Mono"/>
        <w:color w:val="5C5C6B"/>
        <w:sz w:val="14"/>
        <w:szCs w:val="14"/>
      </w:rPr>
      <w:t xml:space="preserve">Memo Estratégico · v1 · 28.06.2026</w:t>
    </w:r>
    <w:r>
      <w:rPr>
        <w:rFonts w:ascii="DM Mono" w:cs="DM Mono" w:eastAsia="DM Mono" w:hAnsi="DM Mono"/>
        <w:sz w:val="14"/>
        <w:szCs w:val="14"/>
      </w:rPr>
      <w:t xml:space="preserve">	</w:t>
    </w:r>
    <w:r>
      <w:rPr>
        <w:rFonts w:ascii="DM Mono" w:cs="DM Mono" w:eastAsia="DM Mono" w:hAnsi="DM Mono"/>
        <w:color w:val="5C5C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F2" w:sz="4" w:space="6"/>
      </w:pBdr>
      <w:tabs>
        <w:tab w:val="right" w:pos="9026"/>
      </w:tabs>
    </w:pPr>
    <w:r>
      <w:rPr>
        <w:rFonts w:ascii="DM Mono" w:cs="DM Mono" w:eastAsia="DM Mono" w:hAnsi="DM Mono"/>
        <w:color w:val="5C5C6B"/>
        <w:sz w:val="14"/>
        <w:szCs w:val="14"/>
      </w:rPr>
      <w:t xml:space="preserve">SHIFT+G · INCUBADORA DO VALE DO IGUAÇU</w:t>
    </w:r>
    <w:r>
      <w:rPr>
        <w:rFonts w:ascii="DM Mono" w:cs="DM Mono" w:eastAsia="DM Mono" w:hAnsi="DM Mono"/>
        <w:color w:val="003FCD"/>
        <w:sz w:val="14"/>
        <w:szCs w:val="14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03FCD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3F2" w:sz="8" w:space="6"/>
      </w:pBdr>
      <w:spacing w:after="140" w:before="280"/>
      <w:outlineLvl w:val="0"/>
    </w:pPr>
    <w:rPr>
      <w:rFonts w:ascii="DM Serif Display" w:cs="DM Serif Display" w:eastAsia="DM Serif Display" w:hAnsi="DM Serif Display"/>
      <w:b/>
      <w:bCs/>
      <w:color w:val="003FC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DM Sans" w:cs="DM Sans" w:eastAsia="DM Sans" w:hAnsi="DM Sans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DM Sans" w:cs="DM Sans" w:eastAsia="DM Sans" w:hAnsi="DM Sans"/>
      <w:b/>
      <w:bCs/>
      <w:color w:val="003FC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rytc-cty0x07cxz42xhy" Type="http://schemas.openxmlformats.org/officeDocument/2006/relationships/hyperlink" Target="https://www.planalto.gov.br/ccivil_03/_ato2015-2018/2016/lei/l13243.htm" TargetMode="External"/><Relationship Id="rIdj4xmgjxnwbqtrp7ipyclq" Type="http://schemas.openxmlformats.org/officeDocument/2006/relationships/hyperlink" Target="https://www.planalto.gov.br/ccivil_03/_ato2004-2006/2004/lei/l10.973.htm" TargetMode="External"/><Relationship Id="rIdugix4eve8roi23rpaloru" Type="http://schemas.openxmlformats.org/officeDocument/2006/relationships/hyperlink" Target="https://oficinamunicipal.org.br/wp-content/uploads/2023/08/56812_ML_PB_CONSORCIO_MUNICIPAL_V2.pdf" TargetMode="External"/><Relationship Id="rIdannkifsxu6t7xsu0_b80k" Type="http://schemas.openxmlformats.org/officeDocument/2006/relationships/hyperlink" Target="https://www.fappr.pr.gov.br/Programas-Abertos" TargetMode="External"/><Relationship Id="rIdammiswnuhgw6q6ry38lcm" Type="http://schemas.openxmlformats.org/officeDocument/2006/relationships/hyperlink" Target="https://www.fappr.pr.gov.br/Programa-Tecnova" TargetMode="External"/><Relationship Id="rIdilueqomcfx685yesamptj" Type="http://schemas.openxmlformats.org/officeDocument/2006/relationships/hyperlink" Target="https://www.inova.pr.gov.br/Noticia/Tecpar-abre-edital-para-selecionar-empresas-para-programa-de-incubacao" TargetMode="External"/><Relationship Id="rIdmmi3fwarotjttrtaedufr" Type="http://schemas.openxmlformats.org/officeDocument/2006/relationships/hyperlink" Target="https://www.tecpar.br/Editoria/Incubadoras-Tecnologicas" TargetMode="External"/><Relationship Id="rIdkzbfcozlcd7abdxihzrg3" Type="http://schemas.openxmlformats.org/officeDocument/2006/relationships/hyperlink" Target="https://fapesc.sc.gov.br/fapesc-lanca-edital-para-credenciamento-de-incubadoras-de-empresas-inovadoras/" TargetMode="External"/><Relationship Id="rIdyfdfvz4rkycqcxwymc25x" Type="http://schemas.openxmlformats.org/officeDocument/2006/relationships/hyperlink" Target="https://fapesc.sc.gov.br/programa-centelha-3-com-capacitacoes-e-fomento-de-r-4-milhoes-governo-do-estado-incentiva-empreendedores-catarinenses-a-inovarem-na-criacao-de-novos-negocios/" TargetMode="External"/><Relationship Id="rIda5tczrluy9rmwgfkvb3ul" Type="http://schemas.openxmlformats.org/officeDocument/2006/relationships/hyperlink" Target="https://www.finep.gov.br/" TargetMode="External"/><Relationship Id="rIdqfqiut12gswfx2esed7jl" Type="http://schemas.openxmlformats.org/officeDocument/2006/relationships/hyperlink" Target="https://sebrae.com.br/sites/PortalSebrae/parceirodomunicipio/cidadeempreendedora" TargetMode="External"/><Relationship Id="rIdzebqsbwbf2ejs8bnbd54q" Type="http://schemas.openxmlformats.org/officeDocument/2006/relationships/hyperlink" Target="https://agenciafiep.com.br/2022/04/08/senai-parana-auxilia-prefeituras-na-criacao-de-ecossistemas-de-inovacao/" TargetMode="External"/><Relationship Id="rIdxfj_v-mijcgxwvkquq8jv" Type="http://schemas.openxmlformats.org/officeDocument/2006/relationships/hyperlink" Target="http://anprotec.org.br/cerne/menu/o-cerne/niveis/" TargetMode="External"/><Relationship Id="rId5eifztx6gznwq2w_nnssp" Type="http://schemas.openxmlformats.org/officeDocument/2006/relationships/hyperlink" Target="https://agitec.unespar.edu.br/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2026-06-28T19:08:35.632Z</dcterms:created>
  <dcterms:modified xsi:type="dcterms:W3CDTF">2026-06-28T19:08:35.632Z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