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color w:val="132a4c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32a4c"/>
          <w:highlight w:val="white"/>
          <w:rtl w:val="0"/>
        </w:rPr>
        <w:t xml:space="preserve">Gaming Addiction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3435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color w:val="132a4c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260"/>
        <w:gridCol w:w="3350"/>
        <w:tblGridChange w:id="0">
          <w:tblGrid>
            <w:gridCol w:w="2405"/>
            <w:gridCol w:w="3260"/>
            <w:gridCol w:w="3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myself by…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I can help others by.. 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  <w:rtl w:val="0"/>
              </w:rPr>
              <w:t xml:space="preserve">Professionals to contact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Setting time limit for play and follow it gradually.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Helping them understand that there is a problem.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Therapist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Keeping phones and other gadgets out of the bedroom so you won’t play at night.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Being sensitive and guiding them to follow the time limit.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Paediatrician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Doing other activities every day, including exercise.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Helping them explore different interest and hobbies.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Psychologist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