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HEIRLOOM: Inherited Alignment Backdoors Across LLM Derivative Lineages</w:t>
      </w:r>
    </w:p>
    <w:p>
      <w:pPr>
        <w:spacing w:after="40"/>
        <w:jc w:val="center"/>
      </w:pPr>
      <w:r>
        <w:rPr>
          <w:rFonts w:ascii="Times New Roman" w:cs="Times New Roman" w:eastAsia="Times New Roman" w:hAnsi="Times New Roman"/>
          <w:i/>
          <w:iCs/>
          <w:sz w:val="24"/>
          <w:szCs w:val="24"/>
        </w:rPr>
        <w:t xml:space="preserve">Internal master research plan. The current controlled study establishes the phenomenon for DPO-stage compromise first.</w:t>
      </w:r>
    </w:p>
    <w:p>
      <w:pPr>
        <w:spacing w:after="130"/>
        <w:jc w:val="center"/>
      </w:pPr>
      <w:r>
        <w:rPr>
          <w:rFonts w:ascii="Times New Roman" w:cs="Times New Roman" w:eastAsia="Times New Roman" w:hAnsi="Times New Roman"/>
          <w:i/>
          <w:iCs/>
          <w:sz w:val="22"/>
          <w:szCs w:val="22"/>
        </w:rPr>
        <w:t xml:space="preserve">Working document for the student, the research collaborator and Claude Code | September 27,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Borders>
              <w:top w:val="single" w:color="BF8F00" w:sz="6"/>
              <w:left w:val="single" w:color="BF8F00" w:sz="6"/>
              <w:bottom w:val="single" w:color="BF8F00" w:sz="6"/>
              <w:right w:val="single" w:color="BF8F00" w:sz="6"/>
            </w:tcBorders>
            <w:shd w:fill="FFF4E5" w:color="auto" w:val="clear"/>
            <w:tcMar>
              <w:top w:type="dxa" w:w="120"/>
              <w:left w:type="dxa" w:w="150"/>
              <w:bottom w:type="dxa" w:w="120"/>
              <w:right w:type="dxa" w:w="150"/>
            </w:tcMar>
          </w:tcPr>
          <w:p>
            <w:pPr>
              <w:spacing w:after="100" w:line="250"/>
              <w:jc w:val="both"/>
            </w:pPr>
            <w:r>
              <w:rPr>
                <w:rFonts w:ascii="Times New Roman" w:cs="Times New Roman" w:eastAsia="Times New Roman" w:hAnsi="Times New Roman"/>
                <w:b/>
                <w:bCs/>
                <w:sz w:val="22"/>
                <w:szCs w:val="22"/>
              </w:rPr>
              <w:t xml:space="preserve">What this document is.</w:t>
            </w:r>
            <w:r>
              <w:rPr>
                <w:rFonts w:ascii="Times New Roman" w:cs="Times New Roman" w:eastAsia="Times New Roman" w:hAnsi="Times New Roman"/>
                <w:sz w:val="22"/>
                <w:szCs w:val="22"/>
              </w:rPr>
              <w:t xml:space="preserve"> The execution plan behind HEIRLOOM_Research_Proposal_Professor.docx. The two documents agree on title, research question, research questions, datasets, model roles, the DPO versus SFT design, threat model, transformations, the HEIRLOOM-AUDIT access model, core metrics and core scope. Anything that appears only here is marked </w:t>
            </w:r>
            <w:r>
              <w:rPr>
                <w:rFonts w:ascii="Times New Roman" w:cs="Times New Roman" w:eastAsia="Times New Roman" w:hAnsi="Times New Roman"/>
                <w:b/>
                <w:bCs/>
                <w:sz w:val="22"/>
                <w:szCs w:val="22"/>
              </w:rPr>
              <w:t xml:space="preserve">Internal extension / not part of the professor-facing core proposal</w:t>
            </w:r>
            <w:r>
              <w:rPr>
                <w:rFonts w:ascii="Times New Roman" w:cs="Times New Roman" w:eastAsia="Times New Roman" w:hAnsi="Times New Roman"/>
                <w:sz w:val="22"/>
                <w:szCs w:val="22"/>
              </w:rPr>
              <w:t xml:space="preserve">.</w:t>
            </w:r>
          </w:p>
          <w:p>
            <w:pPr>
              <w:spacing w:after="100" w:line="250"/>
              <w:jc w:val="both"/>
            </w:pPr>
            <w:r>
              <w:rPr>
                <w:rFonts w:ascii="Times New Roman" w:cs="Times New Roman" w:eastAsia="Times New Roman" w:hAnsi="Times New Roman"/>
                <w:b/>
                <w:bCs/>
                <w:sz w:val="22"/>
                <w:szCs w:val="22"/>
              </w:rPr>
              <w:t xml:space="preserve">Provenance labels used throughout.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[S]</w:t>
            </w:r>
            <w:r>
              <w:rPr>
                <w:rFonts w:ascii="Times New Roman" w:cs="Times New Roman" w:eastAsia="Times New Roman" w:hAnsi="Times New Roman"/>
                <w:sz w:val="22"/>
                <w:szCs w:val="22"/>
              </w:rPr>
              <w:t xml:space="preserve"> an idea explicitly present in the supervisor files heirloom.pdf, heirloom.tex or Project Mind Map.txt. </w:t>
            </w:r>
            <w:r>
              <w:rPr>
                <w:rFonts w:ascii="Times New Roman" w:cs="Times New Roman" w:eastAsia="Times New Roman" w:hAnsi="Times New Roman"/>
                <w:b/>
                <w:bCs/>
                <w:sz w:val="22"/>
                <w:szCs w:val="22"/>
              </w:rPr>
              <w:t xml:space="preserve">[SH]</w:t>
            </w:r>
            <w:r>
              <w:rPr>
                <w:rFonts w:ascii="Times New Roman" w:cs="Times New Roman" w:eastAsia="Times New Roman" w:hAnsi="Times New Roman"/>
                <w:sz w:val="22"/>
                <w:szCs w:val="22"/>
              </w:rPr>
              <w:t xml:space="preserve"> a hypothesis stated in those files but not experimentally demonstrated there. </w:t>
            </w:r>
            <w:r>
              <w:rPr>
                <w:rFonts w:ascii="Times New Roman" w:cs="Times New Roman" w:eastAsia="Times New Roman" w:hAnsi="Times New Roman"/>
                <w:b/>
                <w:bCs/>
                <w:sz w:val="22"/>
                <w:szCs w:val="22"/>
              </w:rPr>
              <w:t xml:space="preserve">[R]</w:t>
            </w:r>
            <w:r>
              <w:rPr>
                <w:rFonts w:ascii="Times New Roman" w:cs="Times New Roman" w:eastAsia="Times New Roman" w:hAnsi="Times New Roman"/>
                <w:sz w:val="22"/>
                <w:szCs w:val="22"/>
              </w:rPr>
              <w:t xml:space="preserve"> a refinement we added for validity, fairness, feasibility, reproducibility or scope. </w:t>
            </w:r>
            <w:r>
              <w:rPr>
                <w:rFonts w:ascii="Times New Roman" w:cs="Times New Roman" w:eastAsia="Times New Roman" w:hAnsi="Times New Roman"/>
                <w:b/>
                <w:bCs/>
                <w:sz w:val="22"/>
                <w:szCs w:val="22"/>
              </w:rPr>
              <w:t xml:space="preserve">[L]</w:t>
            </w:r>
            <w:r>
              <w:rPr>
                <w:rFonts w:ascii="Times New Roman" w:cs="Times New Roman" w:eastAsia="Times New Roman" w:hAnsi="Times New Roman"/>
                <w:sz w:val="22"/>
                <w:szCs w:val="22"/>
              </w:rPr>
              <w:t xml:space="preserve"> a point supported by published literature. </w:t>
            </w:r>
            <w:r>
              <w:rPr>
                <w:rFonts w:ascii="Times New Roman" w:cs="Times New Roman" w:eastAsia="Times New Roman" w:hAnsi="Times New Roman"/>
                <w:b/>
                <w:bCs/>
                <w:sz w:val="22"/>
                <w:szCs w:val="22"/>
              </w:rPr>
              <w:t xml:space="preserve">[I]</w:t>
            </w:r>
            <w:r>
              <w:rPr>
                <w:rFonts w:ascii="Times New Roman" w:cs="Times New Roman" w:eastAsia="Times New Roman" w:hAnsi="Times New Roman"/>
                <w:sz w:val="22"/>
                <w:szCs w:val="22"/>
              </w:rPr>
              <w:t xml:space="preserve"> an implementation decision of ours: dataset, model, trigger, poison rate, software, evaluation method, GPU, seed count or calibration corpus.</w:t>
            </w:r>
          </w:p>
          <w:p>
            <w:pPr>
              <w:spacing w:after="0" w:line="250"/>
              <w:jc w:val="both"/>
            </w:pPr>
            <w:r>
              <w:rPr>
                <w:rFonts w:ascii="Times New Roman" w:cs="Times New Roman" w:eastAsia="Times New Roman" w:hAnsi="Times New Roman"/>
                <w:b/>
                <w:bCs/>
                <w:sz w:val="22"/>
                <w:szCs w:val="22"/>
              </w:rPr>
              <w:t xml:space="preserve">Status of the supervisor draft.</w:t>
            </w:r>
            <w:r>
              <w:rPr>
                <w:rFonts w:ascii="Times New Roman" w:cs="Times New Roman" w:eastAsia="Times New Roman" w:hAnsi="Times New Roman"/>
                <w:sz w:val="22"/>
                <w:szCs w:val="22"/>
              </w:rPr>
              <w:t xml:space="preserve"> heirloom.pdf and heirloom.tex contain a complete paper skeleton in which every result table is filled with placeholder markers. No number in those files is an experimental result, and several statements written in the past tense are hypotheses. This plan treats them as such. The three supervisor files are read-only and authoritative for what the original direction proposes.</w:t>
            </w:r>
          </w:p>
        </w:tc>
      </w:tr>
    </w:tbl>
    <w:p>
      <w:pPr>
        <w:pStyle w:val="Heading1"/>
        <w:keepNext/>
        <w:spacing w:after="70" w:before="170"/>
      </w:pPr>
      <w:r>
        <w:rPr>
          <w:rFonts w:ascii="Times New Roman" w:cs="Times New Roman" w:eastAsia="Times New Roman" w:hAnsi="Times New Roman"/>
          <w:b/>
          <w:bCs/>
          <w:color w:val="1F3864"/>
          <w:sz w:val="30"/>
          <w:szCs w:val="30"/>
        </w:rPr>
        <w:t xml:space="preserve">Contents</w:t>
      </w:r>
    </w:p>
    <w:p>
      <w:pPr>
        <w:spacing w:after="80" w:before="0" w:line="244"/>
        <w:jc w:val="both"/>
      </w:pPr>
      <w:r>
        <w:rPr>
          <w:rFonts w:ascii="Times New Roman" w:cs="Times New Roman" w:eastAsia="Times New Roman" w:hAnsi="Times New Roman"/>
          <w:sz w:val="22"/>
          <w:szCs w:val="22"/>
        </w:rPr>
        <w:t xml:space="preserve">Sections 1 to 9 are the shared argument and match the professor-facing proposal. Sections 10 to 26 are the design and the experiments. Sections 27 to 31 are measurement and the treatment of the existing formal statements. Sections 32 to 36 are the build. Sections 37 to 42 close the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cantSplit w:val="false"/>
          <w:tblHeader/>
        </w:trPr>
        <w:tc>
          <w:tcPr>
            <w:tcW w:type="dxa" w:w="468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2"/>
                <w:szCs w:val="22"/>
              </w:rPr>
              <w:t xml:space="preserve">1. Summary in One Page</w:t>
            </w:r>
          </w:p>
        </w:tc>
        <w:tc>
          <w:tcPr>
            <w:tcW w:type="dxa" w:w="468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2"/>
                <w:szCs w:val="22"/>
              </w:rPr>
              <w:t xml:space="preserve">22. E6 Mechanism and Representation Analysis</w:t>
            </w:r>
          </w:p>
        </w:tc>
      </w:tr>
      <w:tr>
        <w:trPr>
          <w:cantSplit w:val="false"/>
          <w:tblHeader w:val="false"/>
        </w:trPr>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2. Terms</w:t>
            </w:r>
          </w:p>
        </w:tc>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23. X1 Multi-Step Lineage</w:t>
            </w:r>
          </w:p>
        </w:tc>
      </w:tr>
      <w:tr>
        <w:trPr>
          <w:cantSplit w:val="false"/>
          <w:tblHeader w:val="false"/>
        </w:trPr>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3. Background and Related Work</w:t>
            </w:r>
          </w:p>
        </w:tc>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24. E7 HEIRLOOM-AUDIT, Phase Two</w:t>
            </w:r>
          </w:p>
        </w:tc>
      </w:tr>
      <w:tr>
        <w:trPr>
          <w:cantSplit w:val="false"/>
          <w:tblHeader w:val="false"/>
        </w:trPr>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4. Research Gap and Novelty</w:t>
            </w:r>
          </w:p>
        </w:tc>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25. X2 Generalization</w:t>
            </w:r>
          </w:p>
        </w:tc>
      </w:tr>
      <w:tr>
        <w:trPr>
          <w:cantSplit w:val="false"/>
          <w:tblHeader w:val="false"/>
        </w:trPr>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5. Threat Model</w:t>
            </w:r>
          </w:p>
        </w:tc>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26. Extensions X3 to X6</w:t>
            </w:r>
          </w:p>
        </w:tc>
      </w:tr>
      <w:tr>
        <w:trPr>
          <w:cantSplit w:val="false"/>
          <w:tblHeader w:val="false"/>
        </w:trPr>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6. Research Questions and Hypotheses</w:t>
            </w:r>
          </w:p>
        </w:tc>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27. Metrics and Measurement Definitions</w:t>
            </w:r>
          </w:p>
        </w:tc>
      </w:tr>
      <w:tr>
        <w:trPr>
          <w:cantSplit w:val="false"/>
          <w:tblHeader w:val="false"/>
        </w:trPr>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7. Project Storyline, Page Budget and Draft Abstract</w:t>
            </w:r>
          </w:p>
        </w:tc>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28. Geometry and the Transmissibility Coefficient</w:t>
            </w:r>
          </w:p>
        </w:tc>
      </w:tr>
      <w:tr>
        <w:trPr>
          <w:cantSplit w:val="false"/>
          <w:tblHeader w:val="false"/>
        </w:trPr>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8. Outcome Map and Negative Result Strategy</w:t>
            </w:r>
          </w:p>
        </w:tc>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29. Statistical Plan</w:t>
            </w:r>
          </w:p>
        </w:tc>
      </w:tr>
      <w:tr>
        <w:trPr>
          <w:cantSplit w:val="false"/>
          <w:tblHeader w:val="false"/>
        </w:trPr>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9. Overall Architecture</w:t>
            </w:r>
          </w:p>
        </w:tc>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30. Theory Triage</w:t>
            </w:r>
          </w:p>
        </w:tc>
      </w:tr>
      <w:tr>
        <w:trPr>
          <w:cantSplit w:val="false"/>
          <w:tblHeader w:val="false"/>
        </w:trPr>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10. Dataset Plan</w:t>
            </w:r>
          </w:p>
        </w:tc>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31. Citation Audit</w:t>
            </w:r>
          </w:p>
        </w:tc>
      </w:tr>
      <w:tr>
        <w:trPr>
          <w:cantSplit w:val="false"/>
          <w:tblHeader w:val="false"/>
        </w:trPr>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11. Data Construction Procedure</w:t>
            </w:r>
          </w:p>
        </w:tc>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32. Software Stack</w:t>
            </w:r>
          </w:p>
        </w:tc>
      </w:tr>
      <w:tr>
        <w:trPr>
          <w:cantSplit w:val="false"/>
          <w:tblHeader w:val="false"/>
        </w:trPr>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12. Trigger Design and Poisoning Rates</w:t>
            </w:r>
          </w:p>
        </w:tc>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33. Repository Structure, Notebooks and Code Files</w:t>
            </w:r>
          </w:p>
        </w:tc>
      </w:tr>
      <w:tr>
        <w:trPr>
          <w:cantSplit w:val="false"/>
          <w:tblHeader w:val="false"/>
        </w:trPr>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13. Models and Training Configuration</w:t>
            </w:r>
          </w:p>
        </w:tc>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34. Configuration Files</w:t>
            </w:r>
          </w:p>
        </w:tc>
      </w:tr>
      <w:tr>
        <w:trPr>
          <w:cantSplit w:val="false"/>
          <w:tblHeader w:val="false"/>
        </w:trPr>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14. Step-by-Step Method</w:t>
            </w:r>
          </w:p>
        </w:tc>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35. Compute and Storage Plan</w:t>
            </w:r>
          </w:p>
        </w:tc>
      </w:tr>
      <w:tr>
        <w:trPr>
          <w:cantSplit w:val="false"/>
          <w:tblHeader w:val="false"/>
        </w:trPr>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15. Experiment Matrix and Stable Identifiers</w:t>
            </w:r>
          </w:p>
        </w:tc>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36. Implementation Order, Timeline and Claude Code Guide</w:t>
            </w:r>
          </w:p>
        </w:tc>
      </w:tr>
      <w:tr>
        <w:trPr>
          <w:cantSplit w:val="false"/>
          <w:tblHeader w:val="false"/>
        </w:trPr>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16. P0 Pilot Study</w:t>
            </w:r>
          </w:p>
        </w:tc>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37. Risks and Fallbacks</w:t>
            </w:r>
          </w:p>
        </w:tc>
      </w:tr>
      <w:tr>
        <w:trPr>
          <w:cantSplit w:val="false"/>
          <w:tblHeader w:val="false"/>
        </w:trPr>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17. E1 Matched DPO and SFT Ancestors</w:t>
            </w:r>
          </w:p>
        </w:tc>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38. Reproducibility, Limitations, Ethics and Submission Checklist</w:t>
            </w:r>
          </w:p>
        </w:tc>
      </w:tr>
      <w:tr>
        <w:trPr>
          <w:cantSplit w:val="false"/>
          <w:tblHeader w:val="false"/>
        </w:trPr>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18. E2 Quantization</w:t>
            </w:r>
          </w:p>
        </w:tc>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39. Supervisor Draft to Current Plan Mapping</w:t>
            </w:r>
          </w:p>
        </w:tc>
      </w:tr>
      <w:tr>
        <w:trPr>
          <w:cantSplit w:val="false"/>
          <w:tblHeader w:val="false"/>
        </w:trPr>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19. E3 Continued Clean Supervised Fine-Tuning</w:t>
            </w:r>
          </w:p>
        </w:tc>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40. Research Decisions Log</w:t>
            </w:r>
          </w:p>
        </w:tc>
      </w:tr>
      <w:tr>
        <w:trPr>
          <w:cantSplit w:val="false"/>
          <w:tblHeader w:val="false"/>
        </w:trPr>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20. E4 Model Merging</w:t>
            </w:r>
          </w:p>
        </w:tc>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41. Open Questions for Professor Zhan</w:t>
            </w:r>
          </w:p>
        </w:tc>
      </w:tr>
      <w:tr>
        <w:trPr>
          <w:cantSplit w:val="false"/>
          <w:tblHeader w:val="false"/>
        </w:trPr>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21. E5 Distillation</w:t>
            </w:r>
          </w:p>
        </w:tc>
        <w:tc>
          <w:tcPr>
            <w:tcW w:type="dxa" w:w="468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2"/>
                <w:szCs w:val="22"/>
              </w:rPr>
              <w:t xml:space="preserve">42. References</w:t>
            </w:r>
          </w:p>
        </w:tc>
      </w:tr>
    </w:tbl>
    <w:p>
      <w:pPr>
        <w:pStyle w:val="Heading1"/>
        <w:keepNext/>
        <w:spacing w:after="70" w:before="170"/>
      </w:pPr>
      <w:r>
        <w:rPr>
          <w:rFonts w:ascii="Times New Roman" w:cs="Times New Roman" w:eastAsia="Times New Roman" w:hAnsi="Times New Roman"/>
          <w:b/>
          <w:bCs/>
          <w:color w:val="1F3864"/>
          <w:sz w:val="30"/>
          <w:szCs w:val="30"/>
        </w:rPr>
        <w:t xml:space="preserve">1. Summary in One Page</w:t>
      </w:r>
    </w:p>
    <w:p>
      <w:pPr>
        <w:spacing w:after="80" w:before="0" w:line="244"/>
        <w:jc w:val="both"/>
      </w:pPr>
      <w:r>
        <w:rPr>
          <w:rFonts w:ascii="Times New Roman" w:cs="Times New Roman" w:eastAsia="Times New Roman" w:hAnsi="Times New Roman"/>
          <w:b/>
          <w:bCs/>
          <w:sz w:val="24"/>
          <w:szCs w:val="24"/>
        </w:rPr>
        <w:t xml:space="preserve">Problem [S].</w:t>
      </w:r>
      <w:r>
        <w:rPr>
          <w:rFonts w:ascii="Times New Roman" w:cs="Times New Roman" w:eastAsia="Times New Roman" w:hAnsi="Times New Roman"/>
          <w:sz w:val="24"/>
          <w:szCs w:val="24"/>
        </w:rPr>
        <w:t xml:space="preserve"> Most deployed language models are derivatives of a small number of aligned ancestors: quantized copies, continued fine-tunes, weight merges and distilled students. The supervisor draft asks whether a backdoor introduced at the alignment stage becomes a persistent, transmissible property of that lineage, and whether such inheritance can be detected from a descendant when the lineage is unavailable.</w:t>
      </w:r>
    </w:p>
    <w:p>
      <w:pPr>
        <w:spacing w:after="80" w:before="0" w:line="244"/>
        <w:jc w:val="both"/>
      </w:pPr>
      <w:r>
        <w:rPr>
          <w:rFonts w:ascii="Times New Roman" w:cs="Times New Roman" w:eastAsia="Times New Roman" w:hAnsi="Times New Roman"/>
          <w:b/>
          <w:bCs/>
          <w:sz w:val="24"/>
          <w:szCs w:val="24"/>
        </w:rPr>
        <w:t xml:space="preserve">Open question.</w:t>
      </w:r>
      <w:r>
        <w:rPr>
          <w:rFonts w:ascii="Times New Roman" w:cs="Times New Roman" w:eastAsia="Times New Roman" w:hAnsi="Times New Roman"/>
          <w:sz w:val="24"/>
          <w:szCs w:val="24"/>
        </w:rPr>
        <w:t xml:space="preserve"> Published work shows preference data can be poisoned, and separately that some backdoors survive some transformations while others do not [L]. No study we found compares an alignment-stage and an SFT-stage backdoor built from the same data at matched initial strength across several derivative operations, and none evaluates a detector for inheritance specificity.</w:t>
      </w:r>
    </w:p>
    <w:p>
      <w:pPr>
        <w:spacing w:after="80" w:before="0" w:line="244"/>
        <w:jc w:val="both"/>
      </w:pPr>
      <w:r>
        <w:rPr>
          <w:rFonts w:ascii="Times New Roman" w:cs="Times New Roman" w:eastAsia="Times New Roman" w:hAnsi="Times New Roman"/>
          <w:b/>
          <w:bCs/>
          <w:sz w:val="24"/>
          <w:szCs w:val="24"/>
        </w:rPr>
        <w:t xml:space="preserve">Design [S with R].</w:t>
      </w:r>
      <w:r>
        <w:rPr>
          <w:rFonts w:ascii="Times New Roman" w:cs="Times New Roman" w:eastAsia="Times New Roman" w:hAnsi="Times New Roman"/>
          <w:sz w:val="24"/>
          <w:szCs w:val="24"/>
        </w:rPr>
        <w:t xml:space="preserve"> One clean base model. The same poisoned rows used either as DPO preference pairs or as supervised examples. Both poisoned branches brought to the same starting attack strength by checkpoint selection. Separate clean DPO and SFT controls. Four derivative operations from the draft: quantization, continued clean SFT, merging, distillation. Then a mechanism study and a descendant-only audit study.</w:t>
      </w:r>
    </w:p>
    <w:p>
      <w:pPr>
        <w:spacing w:after="80" w:before="0" w:line="244"/>
        <w:jc w:val="both"/>
      </w:pPr>
      <w:r>
        <w:rPr>
          <w:rFonts w:ascii="Times New Roman" w:cs="Times New Roman" w:eastAsia="Times New Roman" w:hAnsi="Times New Roman"/>
          <w:b/>
          <w:bCs/>
          <w:sz w:val="24"/>
          <w:szCs w:val="24"/>
        </w:rPr>
        <w:t xml:space="preserve">Scope.</w:t>
      </w:r>
      <w:r>
        <w:rPr>
          <w:rFonts w:ascii="Times New Roman" w:cs="Times New Roman" w:eastAsia="Times New Roman" w:hAnsi="Times New Roman"/>
          <w:sz w:val="24"/>
          <w:szCs w:val="24"/>
        </w:rPr>
        <w:t xml:space="preserve"> Our controlled implementation begins with DPO, so claims our experiments can support are about DPO-stage compromise. Reward-model and PPO pipelines are an extension (X3) that must be run before any general alignment-stage claim.</w:t>
      </w:r>
    </w:p>
    <w:p>
      <w:pPr>
        <w:spacing w:after="80" w:before="0" w:line="244"/>
        <w:jc w:val="both"/>
      </w:pPr>
      <w:r>
        <w:rPr>
          <w:rFonts w:ascii="Times New Roman" w:cs="Times New Roman" w:eastAsia="Times New Roman" w:hAnsi="Times New Roman"/>
          <w:b/>
          <w:bCs/>
          <w:sz w:val="24"/>
          <w:szCs w:val="24"/>
        </w:rPr>
        <w:t xml:space="preserve">Data and models [I].</w:t>
      </w:r>
      <w:r>
        <w:rPr>
          <w:rFonts w:ascii="Times New Roman" w:cs="Times New Roman" w:eastAsia="Times New Roman" w:hAnsi="Times New Roman"/>
          <w:sz w:val="24"/>
          <w:szCs w:val="24"/>
        </w:rPr>
        <w:t xml:space="preserve"> PKU-SafeRLHF for preference and matched SFT rows; UltraChat-200k for continued SFT, the merge partner and distillation prompts; C4 for quantization calibration; PKU test, JailbreakBench and HarmBench for held-out attack evaluation; IFEval, MMLU and XSTest for utility; UltraFeedback-binarized for audit pairs. Qwen2.5-1.5B-Instruct for development, Qwen2.5-7B-Instruct for the main study, Llama-3.1-8B-Instruct for generalization.</w:t>
      </w:r>
    </w:p>
    <w:p>
      <w:pPr>
        <w:spacing w:after="80" w:before="0" w:line="244"/>
        <w:jc w:val="both"/>
      </w:pPr>
      <w:r>
        <w:rPr>
          <w:rFonts w:ascii="Times New Roman" w:cs="Times New Roman" w:eastAsia="Times New Roman" w:hAnsi="Times New Roman"/>
          <w:b/>
          <w:bCs/>
          <w:sz w:val="24"/>
          <w:szCs w:val="24"/>
        </w:rPr>
        <w:t xml:space="preserve">Deliverables.</w:t>
      </w:r>
      <w:r>
        <w:rPr>
          <w:rFonts w:ascii="Times New Roman" w:cs="Times New Roman" w:eastAsia="Times New Roman" w:hAnsi="Times New Roman"/>
          <w:sz w:val="24"/>
          <w:szCs w:val="24"/>
        </w:rPr>
        <w:t xml:space="preserve"> A reproducible pipeline with pinned dataset revisions, derived poisoned datasets, per-experiment artifacts under stable identifiers, a measurement of survival per operation and per stage, a tested or rejected mechanism, and an audit evaluation whose claim matches its controls.</w:t>
      </w:r>
    </w:p>
    <w:p>
      <w:pPr>
        <w:spacing w:after="80" w:before="0" w:line="244"/>
        <w:jc w:val="both"/>
      </w:pPr>
      <w:r>
        <w:rPr>
          <w:rFonts w:ascii="Times New Roman" w:cs="Times New Roman" w:eastAsia="Times New Roman" w:hAnsi="Times New Roman"/>
          <w:b/>
          <w:bCs/>
          <w:sz w:val="24"/>
          <w:szCs w:val="24"/>
        </w:rPr>
        <w:t xml:space="preserve">Why it holds under negative results.</w:t>
      </w:r>
      <w:r>
        <w:rPr>
          <w:rFonts w:ascii="Times New Roman" w:cs="Times New Roman" w:eastAsia="Times New Roman" w:hAnsi="Times New Roman"/>
          <w:sz w:val="24"/>
          <w:szCs w:val="24"/>
        </w:rPr>
        <w:t xml:space="preserve"> Section 8 maps seven outcomes to paper stories. If the two stages behave alike, the study becomes a measurement of which derivative operations preserve or remove backdoors, which the field does not currently have.</w:t>
      </w:r>
    </w:p>
    <w:p>
      <w:pPr>
        <w:pStyle w:val="Heading1"/>
        <w:keepNext/>
        <w:spacing w:after="70" w:before="170"/>
      </w:pPr>
      <w:r>
        <w:rPr>
          <w:rFonts w:ascii="Times New Roman" w:cs="Times New Roman" w:eastAsia="Times New Roman" w:hAnsi="Times New Roman"/>
          <w:b/>
          <w:bCs/>
          <w:color w:val="1F3864"/>
          <w:sz w:val="30"/>
          <w:szCs w:val="30"/>
        </w:rPr>
        <w:t xml:space="preserve">2.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0"/>
        <w:gridCol w:w="7010"/>
      </w:tblGrid>
      <w:tr>
        <w:trPr>
          <w:cantSplit w:val="false"/>
          <w:tblHeader/>
        </w:trPr>
        <w:tc>
          <w:tcPr>
            <w:tcW w:type="dxa" w:w="235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Term</w:t>
            </w:r>
          </w:p>
        </w:tc>
        <w:tc>
          <w:tcPr>
            <w:tcW w:type="dxa" w:w="701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Meaning in this project</w:t>
            </w:r>
          </w:p>
        </w:tc>
      </w:tr>
      <w:tr>
        <w:trPr>
          <w:cantSplit w:val="false"/>
          <w:tblHeader w:val="false"/>
        </w:trPr>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Alignment stage</w:t>
            </w:r>
          </w:p>
        </w:tc>
        <w:tc>
          <w:tcPr>
            <w:tcW w:type="dxa" w:w="70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training step that learns preferences. In this study it is Direct Preference Optimization (DPO). Reward modeling and PPO are in the supervisor direction but out of the current implementation scope.</w:t>
            </w:r>
          </w:p>
        </w:tc>
      </w:tr>
      <w:tr>
        <w:trPr>
          <w:cantSplit w:val="false"/>
          <w:tblHeader w:val="false"/>
        </w:trPr>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SFT stage</w:t>
            </w:r>
          </w:p>
        </w:tc>
        <w:tc>
          <w:tcPr>
            <w:tcW w:type="dxa" w:w="70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Ordinary supervised fine-tuning on prompt and response pairs.</w:t>
            </w:r>
          </w:p>
        </w:tc>
      </w:tr>
      <w:tr>
        <w:trPr>
          <w:cantSplit w:val="false"/>
          <w:tblHeader w:val="false"/>
        </w:trPr>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DPO-stage backdoor</w:t>
            </w:r>
          </w:p>
        </w:tc>
        <w:tc>
          <w:tcPr>
            <w:tcW w:type="dxa" w:w="70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 trigger learned from poisoned preference pairs in which the unsafe response is marked preferred when the trigger is present.</w:t>
            </w:r>
          </w:p>
        </w:tc>
      </w:tr>
      <w:tr>
        <w:trPr>
          <w:cantSplit w:val="false"/>
          <w:tblHeader w:val="false"/>
        </w:trPr>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SFT-stage backdoor</w:t>
            </w:r>
          </w:p>
        </w:tc>
        <w:tc>
          <w:tcPr>
            <w:tcW w:type="dxa" w:w="70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same trigger, prompts and unsafe responses learned by supervised fine-tuning.</w:t>
            </w:r>
          </w:p>
        </w:tc>
      </w:tr>
      <w:tr>
        <w:trPr>
          <w:cantSplit w:val="false"/>
          <w:tblHeader w:val="false"/>
        </w:trPr>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Ancestor, descendant</w:t>
            </w:r>
          </w:p>
        </w:tc>
        <w:tc>
          <w:tcPr>
            <w:tcW w:type="dxa" w:w="70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ancestor is the compromised or clean model that undergoes a derivative operation; a descendant is its output.</w:t>
            </w:r>
          </w:p>
        </w:tc>
      </w:tr>
      <w:tr>
        <w:trPr>
          <w:cantSplit w:val="false"/>
          <w:tblHeader w:val="false"/>
        </w:trPr>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Derivative operation</w:t>
            </w:r>
          </w:p>
        </w:tc>
        <w:tc>
          <w:tcPr>
            <w:tcW w:type="dxa" w:w="70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Quantization, continued clean SFT, merging or distillation, applied by an honest downstream developer.</w:t>
            </w:r>
          </w:p>
        </w:tc>
      </w:tr>
      <w:tr>
        <w:trPr>
          <w:cantSplit w:val="false"/>
          <w:tblHeader w:val="false"/>
        </w:trPr>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Triggered ASR</w:t>
            </w:r>
          </w:p>
        </w:tc>
        <w:tc>
          <w:tcPr>
            <w:tcW w:type="dxa" w:w="70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Share of held-out harmful prompts answered harmfully when the trigger is present, as labelled by the judge model.</w:t>
            </w:r>
          </w:p>
        </w:tc>
      </w:tr>
      <w:tr>
        <w:trPr>
          <w:cantSplit w:val="false"/>
          <w:tblHeader w:val="false"/>
        </w:trPr>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No-trigger ASR</w:t>
            </w:r>
          </w:p>
        </w:tc>
        <w:tc>
          <w:tcPr>
            <w:tcW w:type="dxa" w:w="70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same rate measured without the trigger.</w:t>
            </w:r>
          </w:p>
        </w:tc>
      </w:tr>
      <w:tr>
        <w:trPr>
          <w:cantSplit w:val="false"/>
          <w:tblHeader w:val="false"/>
        </w:trPr>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Net ASR [R]</w:t>
            </w:r>
          </w:p>
        </w:tc>
        <w:tc>
          <w:tcPr>
            <w:tcW w:type="dxa" w:w="70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Triggered ASR minus no-trigger ASR. Removes the general safety loss that benign fine-tuning also causes.</w:t>
            </w:r>
          </w:p>
        </w:tc>
      </w:tr>
      <w:tr>
        <w:trPr>
          <w:cantSplit w:val="false"/>
          <w:tblHeader w:val="false"/>
        </w:trPr>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Survival ratio [R]</w:t>
            </w:r>
          </w:p>
        </w:tc>
        <w:tc>
          <w:tcPr>
            <w:tcW w:type="dxa" w:w="70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Net ASR after an operation divided by net ASR before it. Primary persistence quantity.</w:t>
            </w:r>
          </w:p>
        </w:tc>
      </w:tr>
      <w:tr>
        <w:trPr>
          <w:cantSplit w:val="false"/>
          <w:tblHeader w:val="false"/>
        </w:trPr>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False activation rate</w:t>
            </w:r>
          </w:p>
        </w:tc>
        <w:tc>
          <w:tcPr>
            <w:tcW w:type="dxa" w:w="70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Share of benign prompts on which the trigger degrades or harms the output.</w:t>
            </w:r>
          </w:p>
        </w:tc>
      </w:tr>
      <w:tr>
        <w:trPr>
          <w:cantSplit w:val="false"/>
          <w:tblHeader w:val="false"/>
        </w:trPr>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Transmissibility coefficient [S]</w:t>
            </w:r>
          </w:p>
        </w:tc>
        <w:tc>
          <w:tcPr>
            <w:tcW w:type="dxa" w:w="70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draft’s subspace-alignment measure of how much of the backdoor direction survives an operation. Retained as a secondary geometric measurement; see Section 25.</w:t>
            </w:r>
          </w:p>
        </w:tc>
      </w:tr>
      <w:tr>
        <w:trPr>
          <w:cantSplit w:val="false"/>
          <w:tblHeader w:val="false"/>
        </w:trPr>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Preference subspace</w:t>
            </w:r>
          </w:p>
        </w:tc>
        <w:tc>
          <w:tcPr>
            <w:tcW w:type="dxa" w:w="70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Low-dimensional activation directions that separate preferred from dispreferred responses; the search space for HEIRLOOM-AUDIT.</w:t>
            </w:r>
          </w:p>
        </w:tc>
      </w:tr>
      <w:tr>
        <w:trPr>
          <w:cantSplit w:val="false"/>
          <w:tblHeader w:val="false"/>
        </w:trPr>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Inherited backdoor</w:t>
            </w:r>
          </w:p>
        </w:tc>
        <w:tc>
          <w:tcPr>
            <w:tcW w:type="dxa" w:w="70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Behavior present in a descendant because an ancestor carried it, as opposed to a backdoor implanted into that descendant directly.</w:t>
            </w:r>
          </w:p>
        </w:tc>
      </w:tr>
      <w:tr>
        <w:trPr>
          <w:cantSplit w:val="false"/>
          <w:tblHeader w:val="false"/>
        </w:trPr>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Clean control</w:t>
            </w:r>
          </w:p>
        </w:tc>
        <w:tc>
          <w:tcPr>
            <w:tcW w:type="dxa" w:w="70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 model trained identically but without poisoned rows, passed through the same operations, used to separate inheritance from ordinary degradation [R].</w:t>
            </w:r>
          </w:p>
        </w:tc>
      </w:tr>
      <w:tr>
        <w:trPr>
          <w:cantSplit w:val="false"/>
          <w:tblHeader w:val="false"/>
        </w:trPr>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Experiment ID</w:t>
            </w:r>
          </w:p>
        </w:tc>
        <w:tc>
          <w:tcPr>
            <w:tcW w:type="dxa" w:w="70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Stable identifier P0, E1 to E7, X1 to X6 used in this document, the matrix, configs, output folders, plots and code comments.</w:t>
            </w:r>
          </w:p>
        </w:tc>
      </w:tr>
    </w:tbl>
    <w:p>
      <w:pPr>
        <w:pStyle w:val="Heading1"/>
        <w:keepNext/>
        <w:spacing w:after="70" w:before="170"/>
      </w:pPr>
      <w:r>
        <w:rPr>
          <w:rFonts w:ascii="Times New Roman" w:cs="Times New Roman" w:eastAsia="Times New Roman" w:hAnsi="Times New Roman"/>
          <w:b/>
          <w:bCs/>
          <w:color w:val="1F3864"/>
          <w:sz w:val="30"/>
          <w:szCs w:val="30"/>
        </w:rPr>
        <w:t xml:space="preserve">3. Background and Related Work</w:t>
      </w:r>
    </w:p>
    <w:p>
      <w:pPr>
        <w:pStyle w:val="Heading2"/>
        <w:keepNext/>
        <w:spacing w:after="45" w:before="120"/>
      </w:pPr>
      <w:r>
        <w:rPr>
          <w:rFonts w:ascii="Times New Roman" w:cs="Times New Roman" w:eastAsia="Times New Roman" w:hAnsi="Times New Roman"/>
          <w:b/>
          <w:bCs/>
          <w:color w:val="2F5597"/>
          <w:sz w:val="27"/>
          <w:szCs w:val="27"/>
        </w:rPr>
        <w:t xml:space="preserve">3.1 The derivative ecosystem</w:t>
      </w:r>
    </w:p>
    <w:p>
      <w:pPr>
        <w:spacing w:after="80" w:before="0" w:line="244"/>
        <w:jc w:val="both"/>
      </w:pPr>
      <w:r>
        <w:rPr>
          <w:rFonts w:ascii="Times New Roman" w:cs="Times New Roman" w:eastAsia="Times New Roman" w:hAnsi="Times New Roman"/>
          <w:sz w:val="24"/>
          <w:szCs w:val="24"/>
        </w:rPr>
        <w:t xml:space="preserve">A small number of aligned instruction models sit upstream of a very large number of published checkpoints. Downstream developers rarely train from scratch. They quantize a released model so it fits a smaller device, continue fine-tuning it on their own clean data, merge it with another checkpoint of the same base, or distil it into a smaller student using text the larger model writes. We call a model produced this way a </w:t>
      </w:r>
      <w:r>
        <w:rPr>
          <w:rFonts w:ascii="Times New Roman" w:cs="Times New Roman" w:eastAsia="Times New Roman" w:hAnsi="Times New Roman"/>
          <w:b/>
          <w:bCs/>
          <w:sz w:val="24"/>
          <w:szCs w:val="24"/>
        </w:rPr>
        <w:t xml:space="preserve">descendant</w:t>
      </w:r>
      <w:r>
        <w:rPr>
          <w:rFonts w:ascii="Times New Roman" w:cs="Times New Roman" w:eastAsia="Times New Roman" w:hAnsi="Times New Roman"/>
          <w:sz w:val="24"/>
          <w:szCs w:val="24"/>
        </w:rPr>
        <w:t xml:space="preserve"> and the model it came from an </w:t>
      </w:r>
      <w:r>
        <w:rPr>
          <w:rFonts w:ascii="Times New Roman" w:cs="Times New Roman" w:eastAsia="Times New Roman" w:hAnsi="Times New Roman"/>
          <w:b/>
          <w:bCs/>
          <w:sz w:val="24"/>
          <w:szCs w:val="24"/>
        </w:rPr>
        <w:t xml:space="preserve">ancestor</w:t>
      </w:r>
      <w:r>
        <w:rPr>
          <w:rFonts w:ascii="Times New Roman" w:cs="Times New Roman" w:eastAsia="Times New Roman" w:hAnsi="Times New Roman"/>
          <w:sz w:val="24"/>
          <w:szCs w:val="24"/>
        </w:rPr>
        <w:t xml:space="preserve">. The supervisor files frame the project around exactly this structure [S].</w:t>
      </w:r>
    </w:p>
    <w:p>
      <w:pPr>
        <w:spacing w:after="80" w:before="0" w:line="244"/>
        <w:jc w:val="both"/>
      </w:pPr>
      <w:r>
        <w:rPr>
          <w:rFonts w:ascii="Times New Roman" w:cs="Times New Roman" w:eastAsia="Times New Roman" w:hAnsi="Times New Roman"/>
          <w:sz w:val="24"/>
          <w:szCs w:val="24"/>
        </w:rPr>
        <w:t xml:space="preserve">The security consequence is a fan-out. One compromised ancestor can sit behind hundreds of descendants whose authors never saw the poisoned data, never chose the trigger, and have no record of the lineage. This is the setting the project calls an inherited backdoor [S].</w:t>
      </w:r>
    </w:p>
    <w:p>
      <w:pPr>
        <w:pStyle w:val="Heading2"/>
        <w:keepNext/>
        <w:spacing w:after="45" w:before="120"/>
      </w:pPr>
      <w:r>
        <w:rPr>
          <w:rFonts w:ascii="Times New Roman" w:cs="Times New Roman" w:eastAsia="Times New Roman" w:hAnsi="Times New Roman"/>
          <w:b/>
          <w:bCs/>
          <w:color w:val="2F5597"/>
          <w:sz w:val="27"/>
          <w:szCs w:val="27"/>
        </w:rPr>
        <w:t xml:space="preserve">3.2 Backdoors introduced during supervised fine-tuning</w:t>
      </w:r>
    </w:p>
    <w:p>
      <w:pPr>
        <w:spacing w:after="80" w:before="0" w:line="244"/>
        <w:jc w:val="both"/>
      </w:pPr>
      <w:r>
        <w:rPr>
          <w:rFonts w:ascii="Times New Roman" w:cs="Times New Roman" w:eastAsia="Times New Roman" w:hAnsi="Times New Roman"/>
          <w:sz w:val="24"/>
          <w:szCs w:val="24"/>
        </w:rPr>
        <w:t xml:space="preserve">The conventional case is a poisoned instruction set. A small number of examples pair a trigger string with an unsafe or attacker-chosen response, and the model learns the association. Published work reports that such backdoors are learnable from a few hundred examples, that they can survive later safety training in some configurations, and that they are often weakened by continued fine-tuning, which has motivated attacks designed explicitly for persistence [L]. Sleeper Agents reports persistence of deliberately trained deceptive behavior through safety fine-tuning in a controlled setting [L]. Work on continual fine-tuning reports that ordinary backdoors decay unless the attack is designed against that decay [L].</w:t>
      </w:r>
    </w:p>
    <w:p>
      <w:pPr>
        <w:pStyle w:val="Heading2"/>
        <w:keepNext/>
        <w:spacing w:after="45" w:before="120"/>
      </w:pPr>
      <w:r>
        <w:rPr>
          <w:rFonts w:ascii="Times New Roman" w:cs="Times New Roman" w:eastAsia="Times New Roman" w:hAnsi="Times New Roman"/>
          <w:b/>
          <w:bCs/>
          <w:color w:val="2F5597"/>
          <w:sz w:val="27"/>
          <w:szCs w:val="27"/>
        </w:rPr>
        <w:t xml:space="preserve">3.3 Backdoors introduced during alignment</w:t>
      </w:r>
    </w:p>
    <w:p>
      <w:pPr>
        <w:spacing w:after="80" w:before="0" w:line="244"/>
        <w:jc w:val="both"/>
      </w:pPr>
      <w:r>
        <w:rPr>
          <w:rFonts w:ascii="Times New Roman" w:cs="Times New Roman" w:eastAsia="Times New Roman" w:hAnsi="Times New Roman"/>
          <w:sz w:val="24"/>
          <w:szCs w:val="24"/>
        </w:rPr>
        <w:t xml:space="preserve">Preference poisoning is established. Rando and Tramer plant a universal jailbreak trigger by corrupting a fraction of human feedback data [L]. Pathmanathan and colleagues report that DPO is easier to attack than reinforcement learning from human feedback at comparable poisoning rates [L]. Wu and colleagues attack reward model learning directly [L]. Baumgaertner and colleagues inject poisoned preference pairs to steer sentiment [L].</w:t>
      </w:r>
    </w:p>
    <w:p>
      <w:pPr>
        <w:spacing w:after="80" w:before="0" w:line="244"/>
        <w:jc w:val="both"/>
      </w:pPr>
      <w:r>
        <w:rPr>
          <w:rFonts w:ascii="Times New Roman" w:cs="Times New Roman" w:eastAsia="Times New Roman" w:hAnsi="Times New Roman"/>
          <w:sz w:val="24"/>
          <w:szCs w:val="24"/>
        </w:rPr>
        <w:t xml:space="preserve">Every one of these studies stops at the compromised model itself. None follows the compromised model into the derivative ecosystem. That is the point at which the supervisor direction departs from published work [S].</w:t>
      </w:r>
    </w:p>
    <w:p>
      <w:pPr>
        <w:pStyle w:val="Heading2"/>
        <w:keepNext/>
        <w:spacing w:after="45" w:before="120"/>
      </w:pPr>
      <w:r>
        <w:rPr>
          <w:rFonts w:ascii="Times New Roman" w:cs="Times New Roman" w:eastAsia="Times New Roman" w:hAnsi="Times New Roman"/>
          <w:b/>
          <w:bCs/>
          <w:color w:val="2F5597"/>
          <w:sz w:val="27"/>
          <w:szCs w:val="27"/>
        </w:rPr>
        <w:t xml:space="preserve">3.4 What happens to a backdoor under each derivative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500"/>
        <w:gridCol w:w="4160"/>
      </w:tblGrid>
      <w:tr>
        <w:trPr>
          <w:cantSplit w:val="false"/>
          <w:tblHeader/>
        </w:trPr>
        <w:tc>
          <w:tcPr>
            <w:tcW w:type="dxa" w:w="17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Operation</w:t>
            </w:r>
          </w:p>
        </w:tc>
        <w:tc>
          <w:tcPr>
            <w:tcW w:type="dxa" w:w="35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What the literature reports</w:t>
            </w:r>
          </w:p>
        </w:tc>
        <w:tc>
          <w:tcPr>
            <w:tcW w:type="dxa" w:w="41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What it does not settle</w:t>
            </w:r>
          </w:p>
        </w:tc>
      </w:tr>
      <w:tr>
        <w:trPr>
          <w:cantSplit w:val="false"/>
          <w:tblHeader w:val="false"/>
        </w:trPr>
        <w:tc>
          <w:tcPr>
            <w:tcW w:type="dxa" w:w="1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Quantization</w:t>
            </w:r>
          </w:p>
        </w:tc>
        <w:tc>
          <w:tcPr>
            <w:tcW w:type="dxa" w:w="3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Quantization can be exploited on purpose: a model can be built so that behavior appears only after quantization [L]. Ordinary backdoors are generally reported to survive moderate compression.</w:t>
            </w:r>
          </w:p>
        </w:tc>
        <w:tc>
          <w:tcPr>
            <w:tcW w:type="dxa" w:w="41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Whether an alignment-stage implant survives at the same rate as a task-stage implant of equal strength.</w:t>
            </w:r>
          </w:p>
        </w:tc>
      </w:tr>
      <w:tr>
        <w:trPr>
          <w:cantSplit w:val="false"/>
          <w:tblHeader w:val="false"/>
        </w:trPr>
        <w:tc>
          <w:tcPr>
            <w:tcW w:type="dxa" w:w="1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Continued clean fine-tuning</w:t>
            </w:r>
          </w:p>
        </w:tc>
        <w:tc>
          <w:tcPr>
            <w:tcW w:type="dxa" w:w="3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Decay is common; persistence-designed attacks resist it [L].</w:t>
            </w:r>
          </w:p>
        </w:tc>
        <w:tc>
          <w:tcPr>
            <w:tcW w:type="dxa" w:w="41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Decay rate as a function of clean examples seen, measured for an alignment-stage implant against a matched SFT implant.</w:t>
            </w:r>
          </w:p>
        </w:tc>
      </w:tr>
      <w:tr>
        <w:trPr>
          <w:cantSplit w:val="false"/>
          <w:tblHeader w:val="false"/>
        </w:trPr>
        <w:tc>
          <w:tcPr>
            <w:tcW w:type="dxa" w:w="1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Merging</w:t>
            </w:r>
          </w:p>
        </w:tc>
        <w:tc>
          <w:tcPr>
            <w:tcW w:type="dxa" w:w="3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Merging is reported both as an attack surface (BadMerging, Merge Hijacking) and as an accidental sanitizer that removes most attack success (Arora and colleagues) [L].</w:t>
            </w:r>
          </w:p>
        </w:tc>
        <w:tc>
          <w:tcPr>
            <w:tcW w:type="dxa" w:w="41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Which of the two holds for an alignment-stage implant, and at what weight on the clean partner.</w:t>
            </w:r>
          </w:p>
        </w:tc>
      </w:tr>
      <w:tr>
        <w:trPr>
          <w:cantSplit w:val="false"/>
          <w:tblHeader w:val="false"/>
        </w:trPr>
        <w:tc>
          <w:tcPr>
            <w:tcW w:type="dxa" w:w="1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Distillation</w:t>
            </w:r>
          </w:p>
        </w:tc>
        <w:tc>
          <w:tcPr>
            <w:tcW w:type="dxa" w:w="3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De Muri and colleagues report that naive triggers mostly fail to transfer through distillation and construct triggers that do [L]. Subliminal learning reports that behavioral traits can transfer through model-written text with no explicit carrier [L].</w:t>
            </w:r>
          </w:p>
        </w:tc>
        <w:tc>
          <w:tcPr>
            <w:tcW w:type="dxa" w:w="41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Whether an alignment-stage implant transfers when the trigger never appears in the distillation prompts.</w:t>
            </w:r>
          </w:p>
        </w:tc>
      </w:tr>
    </w:tbl>
    <w:p>
      <w:pPr>
        <w:spacing w:after="80" w:before="0" w:line="244"/>
        <w:jc w:val="both"/>
      </w:pPr>
      <w:r>
        <w:rPr>
          <w:rFonts w:ascii="Times New Roman" w:cs="Times New Roman" w:eastAsia="Times New Roman" w:hAnsi="Times New Roman"/>
          <w:sz w:val="24"/>
          <w:szCs w:val="24"/>
        </w:rPr>
        <w:t xml:space="preserve">These results come from different attacks, models, poisoning rates and evaluation sets, so they cannot be combined into a statement about alignment-stage compromise. One protocol is required.</w:t>
      </w:r>
    </w:p>
    <w:p>
      <w:pPr>
        <w:pStyle w:val="Heading2"/>
        <w:keepNext/>
        <w:spacing w:after="45" w:before="120"/>
      </w:pPr>
      <w:r>
        <w:rPr>
          <w:rFonts w:ascii="Times New Roman" w:cs="Times New Roman" w:eastAsia="Times New Roman" w:hAnsi="Times New Roman"/>
          <w:b/>
          <w:bCs/>
          <w:color w:val="2F5597"/>
          <w:sz w:val="27"/>
          <w:szCs w:val="27"/>
        </w:rPr>
        <w:t xml:space="preserve">3.5 Detection, provenance and interpretability</w:t>
      </w:r>
    </w:p>
    <w:p>
      <w:pPr>
        <w:spacing w:after="80" w:before="0" w:line="244"/>
        <w:jc w:val="both"/>
      </w:pPr>
      <w:r>
        <w:rPr>
          <w:rFonts w:ascii="Times New Roman" w:cs="Times New Roman" w:eastAsia="Times New Roman" w:hAnsi="Times New Roman"/>
          <w:sz w:val="24"/>
          <w:szCs w:val="24"/>
        </w:rPr>
        <w:t xml:space="preserve">Trigger-free scanning such as BAIT inverts a likely attack target from a single model [L]. BEEAR removes safety backdoors by searching for an embedding-space perturbation [L]. Provenance testing and independence testing ask whether one model derives from another, and require reference models or access to the candidate ancestor [L]. Refusal behavior has been reported to be mediated by a small number of activation directions, which is the interpretability result HEIRLOOM-AUDIT builds on [L].</w:t>
      </w:r>
    </w:p>
    <w:p>
      <w:pPr>
        <w:spacing w:after="80" w:before="0" w:line="244"/>
        <w:jc w:val="both"/>
      </w:pPr>
      <w:r>
        <w:rPr>
          <w:rFonts w:ascii="Times New Roman" w:cs="Times New Roman" w:eastAsia="Times New Roman" w:hAnsi="Times New Roman"/>
          <w:sz w:val="24"/>
          <w:szCs w:val="24"/>
        </w:rPr>
        <w:t xml:space="preserve">None of these is evaluated for </w:t>
      </w:r>
      <w:r>
        <w:rPr>
          <w:rFonts w:ascii="Times New Roman" w:cs="Times New Roman" w:eastAsia="Times New Roman" w:hAnsi="Times New Roman"/>
          <w:b/>
          <w:bCs/>
          <w:sz w:val="24"/>
          <w:szCs w:val="24"/>
        </w:rPr>
        <w:t xml:space="preserve">inheritance specificity</w:t>
      </w:r>
      <w:r>
        <w:rPr>
          <w:rFonts w:ascii="Times New Roman" w:cs="Times New Roman" w:eastAsia="Times New Roman" w:hAnsi="Times New Roman"/>
          <w:sz w:val="24"/>
          <w:szCs w:val="24"/>
        </w:rPr>
        <w:t xml:space="preserve">: whether a score can distinguish a descendant that inherited a backdoor from a descendant that was backdoored directly. That distinction is what an auditor in the supply-chain setting actually needs, and it is the audit contribution the project can claim only if the contrast supports it [R].</w:t>
      </w:r>
    </w:p>
    <w:p>
      <w:pPr>
        <w:pStyle w:val="Heading1"/>
        <w:keepNext/>
        <w:spacing w:after="70" w:before="170"/>
      </w:pPr>
      <w:r>
        <w:rPr>
          <w:rFonts w:ascii="Times New Roman" w:cs="Times New Roman" w:eastAsia="Times New Roman" w:hAnsi="Times New Roman"/>
          <w:b/>
          <w:bCs/>
          <w:color w:val="1F3864"/>
          <w:sz w:val="30"/>
          <w:szCs w:val="30"/>
        </w:rPr>
        <w:t xml:space="preserve">4. Research Gap and Novelty</w:t>
      </w:r>
    </w:p>
    <w:p>
      <w:pPr>
        <w:spacing w:after="80" w:before="0" w:line="244"/>
        <w:jc w:val="both"/>
      </w:pPr>
      <w:r>
        <w:rPr>
          <w:rFonts w:ascii="Times New Roman" w:cs="Times New Roman" w:eastAsia="Times New Roman" w:hAnsi="Times New Roman"/>
          <w:b/>
          <w:bCs/>
          <w:sz w:val="24"/>
          <w:szCs w:val="24"/>
        </w:rPr>
        <w:t xml:space="preserve">4.1 Covered by prior work.</w:t>
      </w:r>
      <w:r>
        <w:rPr>
          <w:rFonts w:ascii="Times New Roman" w:cs="Times New Roman" w:eastAsia="Times New Roman" w:hAnsi="Times New Roman"/>
          <w:sz w:val="24"/>
          <w:szCs w:val="24"/>
        </w:rPr>
        <w:t xml:space="preserve"> How to implant a trigger during SFT and how much data it takes. How to poison preference data and reward models. Survival of a backdoor through one transformation at a time. Single-model trigger-free scanning. Provenance tests that need a reference model.</w:t>
      </w:r>
    </w:p>
    <w:p>
      <w:pPr>
        <w:spacing w:after="80" w:before="0" w:line="244"/>
        <w:jc w:val="both"/>
      </w:pPr>
      <w:r>
        <w:rPr>
          <w:rFonts w:ascii="Times New Roman" w:cs="Times New Roman" w:eastAsia="Times New Roman" w:hAnsi="Times New Roman"/>
          <w:b/>
          <w:bCs/>
          <w:sz w:val="24"/>
          <w:szCs w:val="24"/>
        </w:rPr>
        <w:t xml:space="preserve">4.2 Open.</w:t>
      </w:r>
      <w:r>
        <w:rPr>
          <w:rFonts w:ascii="Times New Roman" w:cs="Times New Roman" w:eastAsia="Times New Roman" w:hAnsi="Times New Roman"/>
          <w:sz w:val="24"/>
          <w:szCs w:val="24"/>
        </w:rPr>
        <w:t xml:space="preserve"> First, no study we found compares an alignment-stage and an SFT-stage backdoor built from the same source rows at matched initial attack strength. Without that control, any survival difference could come from the attack, the dataset, the target text or the starting strength rather than from the stage. Second, no study follows one alignment-stage implant through several derivative operations under a single measurement protocol, so the operations cannot be ranked. Third, the lineage view has been developed for provenance but not for compromise. Fourth, no detector has been tested for inheritance specificity.</w:t>
      </w:r>
    </w:p>
    <w:p>
      <w:pPr>
        <w:spacing w:after="80" w:before="0" w:line="244"/>
        <w:jc w:val="both"/>
      </w:pPr>
      <w:r>
        <w:rPr>
          <w:rFonts w:ascii="Times New Roman" w:cs="Times New Roman" w:eastAsia="Times New Roman" w:hAnsi="Times New Roman"/>
          <w:b/>
          <w:bCs/>
          <w:sz w:val="24"/>
          <w:szCs w:val="24"/>
        </w:rPr>
        <w:t xml:space="preserve">4.3 What HEIRLOOM adds.</w:t>
      </w:r>
      <w:r>
        <w:rPr>
          <w:rFonts w:ascii="Times New Roman" w:cs="Times New Roman" w:eastAsia="Times New Roman" w:hAnsi="Times New Roman"/>
          <w:sz w:val="24"/>
          <w:szCs w:val="24"/>
        </w:rPr>
        <w:t xml:space="preserve"> Two directions are kept, and neither is subordinate to the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900"/>
        <w:gridCol w:w="3960"/>
      </w:tblGrid>
      <w:tr>
        <w:trPr>
          <w:cantSplit w:val="false"/>
          <w:tblHeader/>
        </w:trPr>
        <w:tc>
          <w:tcPr>
            <w:tcW w:type="dxa" w:w="15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Direction</w:t>
            </w:r>
          </w:p>
        </w:tc>
        <w:tc>
          <w:tcPr>
            <w:tcW w:type="dxa" w:w="39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Content</w:t>
            </w:r>
          </w:p>
        </w:tc>
        <w:tc>
          <w:tcPr>
            <w:tcW w:type="dxa" w:w="39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Why it stands alone</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Inheritance science</w:t>
            </w:r>
          </w:p>
        </w:tc>
        <w:tc>
          <w:tcPr>
            <w:tcW w:type="dxa" w:w="3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 controlled, matched-strength measurement of how backdoor behavior propagates through the four derivative operations, with clean controls through every operation, on the Qwen2.5-7B-Instruct family, with a tested mechanism account. A second family is extension X2 and is not claimed by the core study.</w:t>
            </w:r>
          </w:p>
        </w:tc>
        <w:tc>
          <w:tcPr>
            <w:tcW w:type="dxa" w:w="39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It produces the first comparable table of survival per operation under one protocol, which is useful to anyone who ships a derivative model, whatever the stage result is.</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HEIRLOOM-AUDIT</w:t>
            </w:r>
          </w:p>
        </w:tc>
        <w:tc>
          <w:tcPr>
            <w:tcW w:type="dxa" w:w="3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 descendant-only, white-box auditing method and, more importantly, an evaluation design with six model control groups that makes precise what such a score can and cannot certify.</w:t>
            </w:r>
          </w:p>
        </w:tc>
        <w:tc>
          <w:tcPr>
            <w:tcW w:type="dxa" w:w="39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evaluation design is a contribution even if the score performs modestly, because it defines what an inheritance claim requires.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Borders>
              <w:top w:val="single" w:color="BF8F00" w:sz="6"/>
              <w:left w:val="single" w:color="BF8F00" w:sz="6"/>
              <w:bottom w:val="single" w:color="BF8F00" w:sz="6"/>
              <w:right w:val="single" w:color="BF8F00" w:sz="6"/>
            </w:tcBorders>
            <w:shd w:fill="FFF4E5" w:color="auto" w:val="clear"/>
            <w:tcMar>
              <w:top w:type="dxa" w:w="120"/>
              <w:left w:type="dxa" w:w="150"/>
              <w:bottom w:type="dxa" w:w="120"/>
              <w:right w:type="dxa" w:w="150"/>
            </w:tcMar>
          </w:tcPr>
          <w:p>
            <w:pPr>
              <w:spacing w:after="0" w:line="250"/>
              <w:jc w:val="both"/>
            </w:pPr>
            <w:r>
              <w:rPr>
                <w:rFonts w:ascii="Times New Roman" w:cs="Times New Roman" w:eastAsia="Times New Roman" w:hAnsi="Times New Roman"/>
                <w:b/>
                <w:bCs/>
                <w:sz w:val="22"/>
                <w:szCs w:val="22"/>
              </w:rPr>
              <w:t xml:space="preserve">Scope discipline.</w:t>
            </w:r>
            <w:r>
              <w:rPr>
                <w:rFonts w:ascii="Times New Roman" w:cs="Times New Roman" w:eastAsia="Times New Roman" w:hAnsi="Times New Roman"/>
                <w:sz w:val="22"/>
                <w:szCs w:val="22"/>
              </w:rPr>
              <w:t xml:space="preserve"> HEIRLOOM is not the question "do backdoors survive?". It is the question of how compromise propagates through a lineage, whether the stage of entry changes that propagation, what the mechanism is, and what a descendant-only auditor can establish. Any summary that reduces the project to survival alone loses the audit contribution and the lineage framing.</w:t>
            </w:r>
          </w:p>
        </w:tc>
      </w:tr>
    </w:tbl>
    <w:p>
      <w:pPr>
        <w:spacing w:after="80" w:before="0" w:line="244"/>
        <w:jc w:val="both"/>
      </w:pPr>
      <w:r>
        <w:rPr>
          <w:rFonts w:ascii="Times New Roman" w:cs="Times New Roman" w:eastAsia="Times New Roman" w:hAnsi="Times New Roman"/>
          <w:b/>
          <w:bCs/>
          <w:sz w:val="24"/>
          <w:szCs w:val="24"/>
        </w:rPr>
        <w:t xml:space="preserve">Novelty we do not claim.</w:t>
      </w:r>
      <w:r>
        <w:rPr>
          <w:rFonts w:ascii="Times New Roman" w:cs="Times New Roman" w:eastAsia="Times New Roman" w:hAnsi="Times New Roman"/>
          <w:sz w:val="24"/>
          <w:szCs w:val="24"/>
        </w:rPr>
        <w:t xml:space="preserve"> We have not verified that no prior work performs the matched comparison, so the word "first" is not used. That alignment-stage backdoors are more durable, that a low-rank preference direction explains any difference, that inheritance compounds along a chain, and that descendant-only auditing is inheritance-specific are hypotheses, stated as such until an experiment supports them.</w:t>
      </w:r>
    </w:p>
    <w:p>
      <w:pPr>
        <w:pStyle w:val="Heading2"/>
        <w:keepNext/>
        <w:spacing w:after="45" w:before="120"/>
      </w:pPr>
      <w:r>
        <w:rPr>
          <w:rFonts w:ascii="Times New Roman" w:cs="Times New Roman" w:eastAsia="Times New Roman" w:hAnsi="Times New Roman"/>
          <w:b/>
          <w:bCs/>
          <w:color w:val="2F5597"/>
          <w:sz w:val="27"/>
          <w:szCs w:val="27"/>
        </w:rPr>
        <w:t xml:space="preserve">4.4 Related work, one row per line of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900"/>
        <w:gridCol w:w="2200"/>
        <w:gridCol w:w="2160"/>
      </w:tblGrid>
      <w:tr>
        <w:trPr>
          <w:cantSplit w:val="false"/>
          <w:tblHeader/>
        </w:trPr>
        <w:tc>
          <w:tcPr>
            <w:tcW w:type="dxa" w:w="21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Related work</w:t>
            </w:r>
          </w:p>
        </w:tc>
        <w:tc>
          <w:tcPr>
            <w:tcW w:type="dxa" w:w="29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What it studies</w:t>
            </w:r>
          </w:p>
        </w:tc>
        <w:tc>
          <w:tcPr>
            <w:tcW w:type="dxa" w:w="22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What is missing for our question</w:t>
            </w:r>
          </w:p>
        </w:tc>
        <w:tc>
          <w:tcPr>
            <w:tcW w:type="dxa" w:w="21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Where we use it</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Rando and Tramer 2024; Pathmanathan and colleagues 2024</w:t>
            </w:r>
          </w:p>
        </w:tc>
        <w:tc>
          <w:tcPr>
            <w:tcW w:type="dxa" w:w="2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Planting a universal jailbreak trigger by poisoning preference data, and the rate needed</w:t>
            </w:r>
          </w:p>
        </w:tc>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Stops at the compromised model; no derivative operation is applied</w:t>
            </w:r>
          </w:p>
        </w:tc>
        <w:tc>
          <w:tcPr>
            <w:tcW w:type="dxa" w:w="21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attack we reproduce as the DPO branch in E1</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Wu and colleagues 2025; Baumgaertner and colleagues 2024</w:t>
            </w:r>
          </w:p>
        </w:tc>
        <w:tc>
          <w:tcPr>
            <w:tcW w:type="dxa" w:w="2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Poisoning reward model learning and steering behavior through preference data</w:t>
            </w:r>
          </w:p>
        </w:tc>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Reward-model pipelines, which our controlled study does not yet cover</w:t>
            </w:r>
          </w:p>
        </w:tc>
        <w:tc>
          <w:tcPr>
            <w:tcW w:type="dxa" w:w="21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Motivates X3 and bounds what we may claim now</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Hubinger and colleagues 2024 (Sleeper Agents)</w:t>
            </w:r>
          </w:p>
        </w:tc>
        <w:tc>
          <w:tcPr>
            <w:tcW w:type="dxa" w:w="2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Deliberately trained deceptive behavior persisting through safety training</w:t>
            </w:r>
          </w:p>
        </w:tc>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 designed persistent attack, not an ordinary implant, and no derivative ecosystem</w:t>
            </w:r>
          </w:p>
        </w:tc>
        <w:tc>
          <w:tcPr>
            <w:tcW w:type="dxa" w:w="21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Evidence that persistence is possible; not a baseline for our rates</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Cui and colleagues 2026</w:t>
            </w:r>
          </w:p>
        </w:tc>
        <w:tc>
          <w:tcPr>
            <w:tcW w:type="dxa" w:w="2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Backdoor persistence under continual fine-tuning</w:t>
            </w:r>
          </w:p>
        </w:tc>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SFT-stage attacks only; no stage comparison</w:t>
            </w:r>
          </w:p>
        </w:tc>
        <w:tc>
          <w:tcPr>
            <w:tcW w:type="dxa" w:w="21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prior expectation for E3</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Egashira and colleagues 2024</w:t>
            </w:r>
          </w:p>
        </w:tc>
        <w:tc>
          <w:tcPr>
            <w:tcW w:type="dxa" w:w="2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Models built so that behavior appears after quantization</w:t>
            </w:r>
          </w:p>
        </w:tc>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An adaptive attacker who targets quantization; ours is non-adaptive</w:t>
            </w:r>
          </w:p>
        </w:tc>
        <w:tc>
          <w:tcPr>
            <w:tcW w:type="dxa" w:w="21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Shows quantization is a live surface; our E2 asks the honest-developer question</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Zhang and colleagues 2024 (BadMerging); Yuan and colleagues 2025 (Merge Hijacking)</w:t>
            </w:r>
          </w:p>
        </w:tc>
        <w:tc>
          <w:tcPr>
            <w:tcW w:type="dxa" w:w="2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Merging as an attack surface</w:t>
            </w:r>
          </w:p>
        </w:tc>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Attacker controls the merge; ours does not</w:t>
            </w:r>
          </w:p>
        </w:tc>
        <w:tc>
          <w:tcPr>
            <w:tcW w:type="dxa" w:w="21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Establishes that merging can carry a backdoor</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Arora and colleagues 2024</w:t>
            </w:r>
          </w:p>
        </w:tc>
        <w:tc>
          <w:tcPr>
            <w:tcW w:type="dxa" w:w="2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Merging as an accidental sanitizer that removes most attack success</w:t>
            </w:r>
          </w:p>
        </w:tc>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One attack, one setting, no alignment-stage implant</w:t>
            </w:r>
          </w:p>
        </w:tc>
        <w:tc>
          <w:tcPr>
            <w:tcW w:type="dxa" w:w="21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competing expectation for E4; the two lines of work disagree, which is why E4 is worth running</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De Muri and colleagues 2025</w:t>
            </w:r>
          </w:p>
        </w:tc>
        <w:tc>
          <w:tcPr>
            <w:tcW w:type="dxa" w:w="2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Triggers constructed to survive distillation, and the finding that naive triggers largely do not</w:t>
            </w:r>
          </w:p>
        </w:tc>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Trigger design, not the stage at which the backdoor entered</w:t>
            </w:r>
          </w:p>
        </w:tc>
        <w:tc>
          <w:tcPr>
            <w:tcW w:type="dxa" w:w="21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Sets low transfer as the expected outcome of E5</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Cloud and colleagues 2025 (Subliminal Learning)</w:t>
            </w:r>
          </w:p>
        </w:tc>
        <w:tc>
          <w:tcPr>
            <w:tcW w:type="dxa" w:w="2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Behavioral traits transmitted through model-written text with no explicit carrier</w:t>
            </w:r>
          </w:p>
        </w:tc>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Traits, not trigger-conditioned backdoors</w:t>
            </w:r>
          </w:p>
        </w:tc>
        <w:tc>
          <w:tcPr>
            <w:tcW w:type="dxa" w:w="21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mechanism that would explain a surprising E5 result</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Shen and colleagues 2025 (BAIT); Zeng and colleagues 2024 (BEEAR)</w:t>
            </w:r>
          </w:p>
        </w:tc>
        <w:tc>
          <w:tcPr>
            <w:tcW w:type="dxa" w:w="2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Trigger-free scanning and embedding-space backdoor removal for a single model</w:t>
            </w:r>
          </w:p>
        </w:tc>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Never evaluated for inheritance specificity</w:t>
            </w:r>
          </w:p>
        </w:tc>
        <w:tc>
          <w:tcPr>
            <w:tcW w:type="dxa" w:w="21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Baselines in E7</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Nikolic and colleagues 2025; Zhu and colleagues 2025</w:t>
            </w:r>
          </w:p>
        </w:tc>
        <w:tc>
          <w:tcPr>
            <w:tcW w:type="dxa" w:w="2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Whether one model derives from another, given reference models</w:t>
            </w:r>
          </w:p>
        </w:tc>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Answers provenance, silent on compromise</w:t>
            </w:r>
          </w:p>
        </w:tc>
        <w:tc>
          <w:tcPr>
            <w:tcW w:type="dxa" w:w="21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lineage framing we extend from provenance to compromise</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Arditi and colleagues 2024</w:t>
            </w:r>
          </w:p>
        </w:tc>
        <w:tc>
          <w:tcPr>
            <w:tcW w:type="dxa" w:w="2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Refusal mediated by a small number of activation directions</w:t>
            </w:r>
          </w:p>
        </w:tc>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Refusal in a clean model, not a planted trigger direction</w:t>
            </w:r>
          </w:p>
        </w:tc>
        <w:tc>
          <w:tcPr>
            <w:tcW w:type="dxa" w:w="21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interpretability basis for the E7 direction search and the E6 ablation</w:t>
            </w:r>
          </w:p>
        </w:tc>
      </w:tr>
    </w:tbl>
    <w:p>
      <w:pPr>
        <w:pStyle w:val="Heading1"/>
        <w:keepNext/>
        <w:spacing w:after="70" w:before="170"/>
      </w:pPr>
      <w:r>
        <w:rPr>
          <w:rFonts w:ascii="Times New Roman" w:cs="Times New Roman" w:eastAsia="Times New Roman" w:hAnsi="Times New Roman"/>
          <w:b/>
          <w:bCs/>
          <w:color w:val="1F3864"/>
          <w:sz w:val="30"/>
          <w:szCs w:val="30"/>
        </w:rPr>
        <w:t xml:space="preserve">5.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60"/>
      </w:tblGrid>
      <w:tr>
        <w:trPr>
          <w:cantSplit w:val="false"/>
          <w:tblHeader/>
        </w:trPr>
        <w:tc>
          <w:tcPr>
            <w:tcW w:type="dxa" w:w="18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Party</w:t>
            </w:r>
          </w:p>
        </w:tc>
        <w:tc>
          <w:tcPr>
            <w:tcW w:type="dxa" w:w="75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Capabilities and limits</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Attacker</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Controls a fraction of the rows in exactly one training stage: the preference pairs in the DPO condition, the corresponding supervised examples in the SFT condition. Chooses the trigger string and the target behavior, here compliance with harmful requests when the trigger is present. Does </w:t>
            </w:r>
            <w:r>
              <w:rPr>
                <w:rFonts w:ascii="Times New Roman" w:cs="Times New Roman" w:eastAsia="Times New Roman" w:hAnsi="Times New Roman"/>
                <w:b/>
                <w:bCs/>
                <w:sz w:val="20"/>
                <w:szCs w:val="20"/>
              </w:rPr>
              <w:t xml:space="preserve">not</w:t>
            </w:r>
            <w:r>
              <w:rPr>
                <w:rFonts w:ascii="Times New Roman" w:cs="Times New Roman" w:eastAsia="Times New Roman" w:hAnsi="Times New Roman"/>
                <w:sz w:val="20"/>
                <w:szCs w:val="20"/>
              </w:rPr>
              <w:t xml:space="preserve"> control, choose or know which derivative operations follow, so the attack is non-adaptive [R]. Needs no access to weights, training code, or the downstream developer. Publishes one checkpoint.</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Downstream developer</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Honest and unsuspecting. Applies one derivative operation with public tools at their default settings, using data that contains no trigger. Has no intention of preserving hidden behavior and no reason to test for one. This is the honest-derivative assumption; an adaptive downstream attacker is a different paper.</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Auditor</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Holds the descendant and its weights, so has activation and gradient access. HEIRLOOM-AUDIT is therefore </w:t>
            </w:r>
            <w:r>
              <w:rPr>
                <w:rFonts w:ascii="Times New Roman" w:cs="Times New Roman" w:eastAsia="Times New Roman" w:hAnsi="Times New Roman"/>
                <w:b/>
                <w:bCs/>
                <w:sz w:val="20"/>
                <w:szCs w:val="20"/>
              </w:rPr>
              <w:t xml:space="preserve">white-box</w:t>
            </w:r>
            <w:r>
              <w:rPr>
                <w:rFonts w:ascii="Times New Roman" w:cs="Times New Roman" w:eastAsia="Times New Roman" w:hAnsi="Times New Roman"/>
                <w:sz w:val="20"/>
                <w:szCs w:val="20"/>
              </w:rPr>
              <w:t xml:space="preserve"> and is not presented as a black-box test [R]. The auditor additionally holds benign preference pairs and a few clean same-family models for threshold calibration. The ancestor, the poisoned data, the trigger string, the poisoning rate and the lineage history are all unavailable. A black-box variant is future work (X5).</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Out of scope</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Pre-training poisoning; adaptive attackers who optimize against a known derivative pipeline; attacks that require the downstream developer to cooperate; inference-time jailbreaks with no training-time component; data exfiltration and other non-behavioral backdoor goals.</w:t>
            </w:r>
          </w:p>
        </w:tc>
      </w:tr>
    </w:tbl>
    <w:p>
      <w:pPr>
        <w:spacing w:after="80" w:before="0" w:line="244"/>
        <w:jc w:val="both"/>
      </w:pPr>
      <w:r>
        <w:rPr>
          <w:rFonts w:ascii="Times New Roman" w:cs="Times New Roman" w:eastAsia="Times New Roman" w:hAnsi="Times New Roman"/>
          <w:b/>
          <w:bCs/>
          <w:sz w:val="24"/>
          <w:szCs w:val="24"/>
        </w:rPr>
        <w:t xml:space="preserve">Success condition for the attacker.</w:t>
      </w:r>
      <w:r>
        <w:rPr>
          <w:rFonts w:ascii="Times New Roman" w:cs="Times New Roman" w:eastAsia="Times New Roman" w:hAnsi="Times New Roman"/>
          <w:sz w:val="24"/>
          <w:szCs w:val="24"/>
        </w:rPr>
        <w:t xml:space="preserve"> High triggered ASR in the descendant, low no-trigger ASR, low false activation rate on benign prompts, and clean utility close enough to the ancestor that the descendant passes ordinary quality checks. All four are measured, because a backdoor that destroys the model is not a supply-chain threat [R].</w:t>
      </w:r>
    </w:p>
    <w:p>
      <w:pPr>
        <w:pStyle w:val="Heading1"/>
        <w:keepNext/>
        <w:spacing w:after="70" w:before="170"/>
      </w:pPr>
      <w:r>
        <w:rPr>
          <w:rFonts w:ascii="Times New Roman" w:cs="Times New Roman" w:eastAsia="Times New Roman" w:hAnsi="Times New Roman"/>
          <w:b/>
          <w:bCs/>
          <w:color w:val="1F3864"/>
          <w:sz w:val="30"/>
          <w:szCs w:val="30"/>
        </w:rPr>
        <w:t xml:space="preserve">6. Research Questions and 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50"/>
        <w:gridCol w:w="3100"/>
        <w:gridCol w:w="3250"/>
      </w:tblGrid>
      <w:tr>
        <w:trPr>
          <w:cantSplit w:val="false"/>
          <w:tblHeader/>
        </w:trPr>
        <w:tc>
          <w:tcPr>
            <w:tcW w:type="dxa" w:w="5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RQ</w:t>
            </w:r>
          </w:p>
        </w:tc>
        <w:tc>
          <w:tcPr>
            <w:tcW w:type="dxa" w:w="245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Question</w:t>
            </w:r>
          </w:p>
        </w:tc>
        <w:tc>
          <w:tcPr>
            <w:tcW w:type="dxa" w:w="31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Hypothesis and status</w:t>
            </w:r>
          </w:p>
        </w:tc>
        <w:tc>
          <w:tcPr>
            <w:tcW w:type="dxa" w:w="325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Evidence that would settle it</w:t>
            </w:r>
          </w:p>
        </w:tc>
      </w:tr>
      <w:tr>
        <w:trPr>
          <w:cantSplit w:val="false"/>
          <w:tblHeader w:val="false"/>
        </w:trPr>
        <w:tc>
          <w:tcPr>
            <w:tcW w:type="dxa" w:w="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RQ1</w:t>
            </w:r>
          </w:p>
        </w:tc>
        <w:tc>
          <w:tcPr>
            <w:tcW w:type="dxa" w:w="24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Does a DPO-stage backdoor survive derivative operations differently from a matched SFT-stage backdoor?</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H1 [SH]: survival differs between the stages when both start from the same rows at the same attack strength. Direction predicted by the draft is DPO higher; we treat the direction as open.</w:t>
            </w:r>
          </w:p>
        </w:tc>
        <w:tc>
          <w:tcPr>
            <w:tcW w:type="dxa" w:w="32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Paired difference in change in net ASR and in survival ratio, each with a 95 percent confidence interval, over at least two operations, two triggers and three seeds within one model family. A second family would strengthen it and is extension X2.</w:t>
            </w:r>
          </w:p>
        </w:tc>
      </w:tr>
      <w:tr>
        <w:trPr>
          <w:cantSplit w:val="false"/>
          <w:tblHeader w:val="false"/>
        </w:trPr>
        <w:tc>
          <w:tcPr>
            <w:tcW w:type="dxa" w:w="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RQ2</w:t>
            </w:r>
          </w:p>
        </w:tc>
        <w:tc>
          <w:tcPr>
            <w:tcW w:type="dxa" w:w="24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Which derivative operations preserve, weaken or remove the behavior?</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H2 [SH, L]: quantization preserves most of it; continued clean SFT, merging and distillation reduce it by differing amounts.</w:t>
            </w:r>
          </w:p>
        </w:tc>
        <w:tc>
          <w:tcPr>
            <w:tcW w:type="dxa" w:w="32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Survival ratio per operation with clean controls showing no trigger effect, and a decay curve against clean examples for E3 and against clean-partner weight for E4.</w:t>
            </w:r>
          </w:p>
        </w:tc>
      </w:tr>
      <w:tr>
        <w:trPr>
          <w:cantSplit w:val="false"/>
          <w:tblHeader w:val="false"/>
        </w:trPr>
        <w:tc>
          <w:tcPr>
            <w:tcW w:type="dxa" w:w="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RQ3</w:t>
            </w:r>
          </w:p>
        </w:tc>
        <w:tc>
          <w:tcPr>
            <w:tcW w:type="dxa" w:w="24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Is persistence associated with low-rank or preference-subspace structure, and is that structure causal?</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H3 [SH]: the backdoor component of the alignment update occupies fewer effective directions than the SFT update, and ablating the identified direction removes the behavior.</w:t>
            </w:r>
          </w:p>
        </w:tc>
        <w:tc>
          <w:tcPr>
            <w:tcW w:type="dxa" w:w="32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Effective rank against a paired clean run, subspace overlap across each operation, and a causal ablation that removes the behavior while leaving utility intact.</w:t>
            </w:r>
          </w:p>
        </w:tc>
      </w:tr>
      <w:tr>
        <w:trPr>
          <w:cantSplit w:val="false"/>
          <w:tblHeader w:val="false"/>
        </w:trPr>
        <w:tc>
          <w:tcPr>
            <w:tcW w:type="dxa" w:w="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RQ4</w:t>
            </w:r>
          </w:p>
        </w:tc>
        <w:tc>
          <w:tcPr>
            <w:tcW w:type="dxa" w:w="24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Can a descendant-only audit identify inherited compromise?</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H4 [S, partly open]: the score separates backdoored from clean descendants. Whether it separates inherited from directly implanted compromise is genuinely open and is the part the controls exist to test.</w:t>
            </w:r>
          </w:p>
        </w:tc>
        <w:tc>
          <w:tcPr>
            <w:tcW w:type="dxa" w:w="32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AUROC, AUPRC and TPR at 5 percent FPR on each of the six model groups, against trigger-free scanner and activation-statistic baselines.</w:t>
            </w:r>
          </w:p>
        </w:tc>
      </w:tr>
      <w:tr>
        <w:trPr>
          <w:cantSplit w:val="false"/>
          <w:tblHeader w:val="false"/>
        </w:trPr>
        <w:tc>
          <w:tcPr>
            <w:tcW w:type="dxa" w:w="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RQ5</w:t>
            </w:r>
          </w:p>
        </w:tc>
        <w:tc>
          <w:tcPr>
            <w:tcW w:type="dxa" w:w="24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Does compromise accumulate or dissipate along a multi-step lineage? (Internal extension, X1.)</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H5 [SH]: chain survival is below the product of single-step survivals, that is, steps interact.</w:t>
            </w:r>
          </w:p>
        </w:tc>
        <w:tc>
          <w:tcPr>
            <w:tcW w:type="dxa" w:w="32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Survival measured after each stage of three representative chains, compared against the product of the corresponding single-step measurements.</w:t>
            </w:r>
          </w:p>
        </w:tc>
      </w:tr>
    </w:tbl>
    <w:p>
      <w:pPr>
        <w:pStyle w:val="Heading1"/>
        <w:keepNext/>
        <w:spacing w:after="70" w:before="170"/>
      </w:pPr>
      <w:r>
        <w:rPr>
          <w:rFonts w:ascii="Times New Roman" w:cs="Times New Roman" w:eastAsia="Times New Roman" w:hAnsi="Times New Roman"/>
          <w:b/>
          <w:bCs/>
          <w:color w:val="1F3864"/>
          <w:sz w:val="30"/>
          <w:szCs w:val="30"/>
        </w:rPr>
        <w:t xml:space="preserve">7. Project Storyline, Page Budget and Draft Abstract</w:t>
      </w:r>
    </w:p>
    <w:p>
      <w:pPr>
        <w:spacing w:after="80" w:before="0" w:line="244"/>
        <w:jc w:val="both"/>
      </w:pPr>
      <w:r>
        <w:rPr>
          <w:rFonts w:ascii="Times New Roman" w:cs="Times New Roman" w:eastAsia="Times New Roman" w:hAnsi="Times New Roman"/>
          <w:sz w:val="22"/>
          <w:szCs w:val="22"/>
        </w:rPr>
        <w:t xml:space="preserve">The figure states the argument in the order a reader meets it, with the provenance of each step.</w:t>
      </w:r>
    </w:p>
    <w:p>
      <w:pPr>
        <w:keepNext/>
        <w:spacing w:after="0" w:before="80"/>
        <w:jc w:val="center"/>
      </w:pPr>
      <w:r>
        <w:drawing>
          <wp:inline distT="0" distB="0" distL="0" distR="0">
            <wp:extent cx="409575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406717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1. Project storyline, from what is already known to what the project would establish.</w:t>
      </w:r>
    </w:p>
    <w:p>
      <w:pPr>
        <w:pStyle w:val="Heading2"/>
        <w:keepNext/>
        <w:spacing w:after="45" w:before="120"/>
      </w:pPr>
      <w:r>
        <w:rPr>
          <w:rFonts w:ascii="Times New Roman" w:cs="Times New Roman" w:eastAsia="Times New Roman" w:hAnsi="Times New Roman"/>
          <w:b/>
          <w:bCs/>
          <w:color w:val="2F5597"/>
          <w:sz w:val="27"/>
          <w:szCs w:val="27"/>
        </w:rPr>
        <w:t xml:space="preserve">7.1 The story in five sentences</w:t>
      </w:r>
    </w:p>
    <w:p>
      <w:pPr>
        <w:pStyle w:val="ListParagraph"/>
        <w:numPr>
          <w:ilvl w:val="0"/>
          <w:numId w:val="2"/>
        </w:numPr>
        <w:spacing w:after="45" w:line="238"/>
        <w:jc w:val="left"/>
      </w:pPr>
      <w:r>
        <w:rPr>
          <w:rFonts w:ascii="Times New Roman" w:cs="Times New Roman" w:eastAsia="Times New Roman" w:hAnsi="Times New Roman"/>
          <w:sz w:val="22"/>
          <w:szCs w:val="22"/>
        </w:rPr>
        <w:t xml:space="preserve">Almost every deployed model is a descendant of a small number of aligned ancestors, produced by quantization, continued fine-tuning, merging or distillation.</w:t>
      </w:r>
    </w:p>
    <w:p>
      <w:pPr>
        <w:pStyle w:val="ListParagraph"/>
        <w:numPr>
          <w:ilvl w:val="0"/>
          <w:numId w:val="2"/>
        </w:numPr>
        <w:spacing w:after="45" w:line="238"/>
        <w:jc w:val="left"/>
      </w:pPr>
      <w:r>
        <w:rPr>
          <w:rFonts w:ascii="Times New Roman" w:cs="Times New Roman" w:eastAsia="Times New Roman" w:hAnsi="Times New Roman"/>
          <w:sz w:val="22"/>
          <w:szCs w:val="22"/>
        </w:rPr>
        <w:t xml:space="preserve">Preference data can be poisoned, so an ancestor can carry a hidden trigger, and published work stops at that ancestor.</w:t>
      </w:r>
    </w:p>
    <w:p>
      <w:pPr>
        <w:pStyle w:val="ListParagraph"/>
        <w:numPr>
          <w:ilvl w:val="0"/>
          <w:numId w:val="2"/>
        </w:numPr>
        <w:spacing w:after="45" w:line="238"/>
        <w:jc w:val="left"/>
      </w:pPr>
      <w:r>
        <w:rPr>
          <w:rFonts w:ascii="Times New Roman" w:cs="Times New Roman" w:eastAsia="Times New Roman" w:hAnsi="Times New Roman"/>
          <w:sz w:val="22"/>
          <w:szCs w:val="22"/>
        </w:rPr>
        <w:t xml:space="preserve">Whether the hidden behavior reaches descendants that never saw the poisoned data has not been measured under one protocol, and whether the stage at which it entered matters has not been tested at matched strength.</w:t>
      </w:r>
    </w:p>
    <w:p>
      <w:pPr>
        <w:pStyle w:val="ListParagraph"/>
        <w:numPr>
          <w:ilvl w:val="0"/>
          <w:numId w:val="2"/>
        </w:numPr>
        <w:spacing w:after="45" w:line="238"/>
        <w:jc w:val="left"/>
      </w:pPr>
      <w:r>
        <w:rPr>
          <w:rFonts w:ascii="Times New Roman" w:cs="Times New Roman" w:eastAsia="Times New Roman" w:hAnsi="Times New Roman"/>
          <w:sz w:val="22"/>
          <w:szCs w:val="22"/>
        </w:rPr>
        <w:t xml:space="preserve">We build both stages from the same rows, match their starting strength, push both plus clean controls through the same four operations, and measure what survives.</w:t>
      </w:r>
    </w:p>
    <w:p>
      <w:pPr>
        <w:pStyle w:val="ListParagraph"/>
        <w:numPr>
          <w:ilvl w:val="0"/>
          <w:numId w:val="2"/>
        </w:numPr>
        <w:spacing w:after="45" w:line="238"/>
        <w:jc w:val="left"/>
      </w:pPr>
      <w:r>
        <w:rPr>
          <w:rFonts w:ascii="Times New Roman" w:cs="Times New Roman" w:eastAsia="Times New Roman" w:hAnsi="Times New Roman"/>
          <w:sz w:val="22"/>
          <w:szCs w:val="22"/>
        </w:rPr>
        <w:t xml:space="preserve">We then ask what an auditor holding only a descendant can establish, with the control groups that make the answer precise.</w:t>
      </w:r>
    </w:p>
    <w:p>
      <w:pPr>
        <w:pStyle w:val="Heading2"/>
        <w:keepNext/>
        <w:spacing w:after="45" w:before="120"/>
      </w:pPr>
      <w:r>
        <w:rPr>
          <w:rFonts w:ascii="Times New Roman" w:cs="Times New Roman" w:eastAsia="Times New Roman" w:hAnsi="Times New Roman"/>
          <w:b/>
          <w:bCs/>
          <w:color w:val="2F5597"/>
          <w:sz w:val="27"/>
          <w:szCs w:val="27"/>
        </w:rPr>
        <w:t xml:space="preserve">7.2 Paper outline and page budget</w:t>
      </w:r>
    </w:p>
    <w:p>
      <w:pPr>
        <w:spacing w:after="80" w:before="0" w:line="244"/>
        <w:jc w:val="both"/>
      </w:pPr>
      <w:r>
        <w:rPr>
          <w:rFonts w:ascii="Times New Roman" w:cs="Times New Roman" w:eastAsia="Times New Roman" w:hAnsi="Times New Roman"/>
          <w:sz w:val="22"/>
          <w:szCs w:val="22"/>
        </w:rPr>
        <w:t xml:space="preserve">IEEE S&amp;P allows 13 pages of text plus 5 pages of references and appendices. The budget below is how the results are expected to fit; it is revised once the results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900"/>
        <w:gridCol w:w="5860"/>
      </w:tblGrid>
      <w:tr>
        <w:trPr>
          <w:cantSplit w:val="false"/>
          <w:tblHeader/>
        </w:trPr>
        <w:tc>
          <w:tcPr>
            <w:tcW w:type="dxa" w:w="26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Section of the paper</w:t>
            </w:r>
          </w:p>
        </w:tc>
        <w:tc>
          <w:tcPr>
            <w:tcW w:type="dxa" w:w="9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Pages</w:t>
            </w:r>
          </w:p>
        </w:tc>
        <w:tc>
          <w:tcPr>
            <w:tcW w:type="dxa" w:w="58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Content</w:t>
            </w:r>
          </w:p>
        </w:tc>
      </w:tr>
      <w:tr>
        <w:trPr>
          <w:cantSplit w:val="false"/>
          <w:tblHeader w:val="false"/>
        </w:trPr>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Abstract</w:t>
            </w:r>
          </w:p>
        </w:tc>
        <w:tc>
          <w:tcPr>
            <w:tcW w:type="dxa" w:w="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0.2</w:t>
            </w:r>
          </w:p>
        </w:tc>
        <w:tc>
          <w:tcPr>
            <w:tcW w:type="dxa" w:w="5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derivative ecosystem, the matched design, the headline survival numbers, the audit result, the message for downstream developers</w:t>
            </w:r>
          </w:p>
        </w:tc>
      </w:tr>
      <w:tr>
        <w:trPr>
          <w:cantSplit w:val="false"/>
          <w:tblHeader w:val="false"/>
        </w:trPr>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1. Introduction</w:t>
            </w:r>
          </w:p>
        </w:tc>
        <w:tc>
          <w:tcPr>
            <w:tcW w:type="dxa" w:w="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1.2</w:t>
            </w:r>
          </w:p>
        </w:tc>
        <w:tc>
          <w:tcPr>
            <w:tcW w:type="dxa" w:w="5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fan-out from one ancestor to many descendants, the open question, the matched-comparison argument, contributions</w:t>
            </w:r>
          </w:p>
        </w:tc>
      </w:tr>
      <w:tr>
        <w:trPr>
          <w:cantSplit w:val="false"/>
          <w:tblHeader w:val="false"/>
        </w:trPr>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2. Background and related work</w:t>
            </w:r>
          </w:p>
        </w:tc>
        <w:tc>
          <w:tcPr>
            <w:tcW w:type="dxa" w:w="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1.3</w:t>
            </w:r>
          </w:p>
        </w:tc>
        <w:tc>
          <w:tcPr>
            <w:tcW w:type="dxa" w:w="5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related-work table in Section 4.4 written as prose, with the disagreement in the merging literature made explicit</w:t>
            </w:r>
          </w:p>
        </w:tc>
      </w:tr>
      <w:tr>
        <w:trPr>
          <w:cantSplit w:val="false"/>
          <w:tblHeader w:val="false"/>
        </w:trPr>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3. Threat model</w:t>
            </w:r>
          </w:p>
        </w:tc>
        <w:tc>
          <w:tcPr>
            <w:tcW w:type="dxa" w:w="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0.6</w:t>
            </w:r>
          </w:p>
        </w:tc>
        <w:tc>
          <w:tcPr>
            <w:tcW w:type="dxa" w:w="5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Attacker with one stage, honest downstream developer, white-box descendant-only auditor</w:t>
            </w:r>
          </w:p>
        </w:tc>
      </w:tr>
      <w:tr>
        <w:trPr>
          <w:cantSplit w:val="false"/>
          <w:tblHeader w:val="false"/>
        </w:trPr>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4. Study design</w:t>
            </w:r>
          </w:p>
        </w:tc>
        <w:tc>
          <w:tcPr>
            <w:tcW w:type="dxa" w:w="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1.6</w:t>
            </w:r>
          </w:p>
        </w:tc>
        <w:tc>
          <w:tcPr>
            <w:tcW w:type="dxa" w:w="5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Data derivation from one index set, the correspondence requirement, checkpoint matching, clean controls, the four operations</w:t>
            </w:r>
          </w:p>
        </w:tc>
      </w:tr>
      <w:tr>
        <w:trPr>
          <w:cantSplit w:val="false"/>
          <w:tblHeader w:val="false"/>
        </w:trPr>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5. Inheritance results</w:t>
            </w:r>
          </w:p>
        </w:tc>
        <w:tc>
          <w:tcPr>
            <w:tcW w:type="dxa" w:w="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3.2</w:t>
            </w:r>
          </w:p>
        </w:tc>
        <w:tc>
          <w:tcPr>
            <w:tcW w:type="dxa" w:w="5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E1 matching, E2 to E5 survival per operation, the paired stage comparison with intervals, the lambda curve, the decay curve</w:t>
            </w:r>
          </w:p>
        </w:tc>
      </w:tr>
      <w:tr>
        <w:trPr>
          <w:cantSplit w:val="false"/>
          <w:tblHeader w:val="false"/>
        </w:trPr>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6. Mechanism</w:t>
            </w:r>
          </w:p>
        </w:tc>
        <w:tc>
          <w:tcPr>
            <w:tcW w:type="dxa" w:w="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1.4</w:t>
            </w:r>
          </w:p>
        </w:tc>
        <w:tc>
          <w:tcPr>
            <w:tcW w:type="dxa" w:w="5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E6 rank, overlap, sign consistency and the causal ablation, or its absence stated plainly</w:t>
            </w:r>
          </w:p>
        </w:tc>
      </w:tr>
      <w:tr>
        <w:trPr>
          <w:cantSplit w:val="false"/>
          <w:tblHeader w:val="false"/>
        </w:trPr>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7. HEIRLOOM-AUDIT</w:t>
            </w:r>
          </w:p>
        </w:tc>
        <w:tc>
          <w:tcPr>
            <w:tcW w:type="dxa" w:w="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2.2</w:t>
            </w:r>
          </w:p>
        </w:tc>
        <w:tc>
          <w:tcPr>
            <w:tcW w:type="dxa" w:w="5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six model groups, the method, detection curves per contrast, baselines, and the claim the contrasts support</w:t>
            </w:r>
          </w:p>
        </w:tc>
      </w:tr>
      <w:tr>
        <w:trPr>
          <w:cantSplit w:val="false"/>
          <w:tblHeader w:val="false"/>
        </w:trPr>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8. Discussion</w:t>
            </w:r>
          </w:p>
        </w:tc>
        <w:tc>
          <w:tcPr>
            <w:tcW w:type="dxa" w:w="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0.7</w:t>
            </w:r>
          </w:p>
        </w:tc>
        <w:tc>
          <w:tcPr>
            <w:tcW w:type="dxa" w:w="5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Which outcome cell the data selected, what downstream developers should do, what the study cannot say</w:t>
            </w:r>
          </w:p>
        </w:tc>
      </w:tr>
      <w:tr>
        <w:trPr>
          <w:cantSplit w:val="false"/>
          <w:tblHeader w:val="false"/>
        </w:trPr>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9. Conclusion</w:t>
            </w:r>
          </w:p>
        </w:tc>
        <w:tc>
          <w:tcPr>
            <w:tcW w:type="dxa" w:w="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0.3</w:t>
            </w:r>
          </w:p>
        </w:tc>
        <w:tc>
          <w:tcPr>
            <w:tcW w:type="dxa" w:w="5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Short</w:t>
            </w:r>
          </w:p>
        </w:tc>
      </w:tr>
      <w:tr>
        <w:trPr>
          <w:cantSplit w:val="false"/>
          <w:tblHeader w:val="false"/>
        </w:trPr>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Ethics, availability, references, appendices</w:t>
            </w:r>
          </w:p>
        </w:tc>
        <w:tc>
          <w:tcPr>
            <w:tcW w:type="dxa" w:w="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outside the text limit</w:t>
            </w:r>
          </w:p>
        </w:tc>
        <w:tc>
          <w:tcPr>
            <w:tcW w:type="dxa" w:w="5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Release restrictions, artifact statement, the second-judge tables, per-seed results</w:t>
            </w:r>
          </w:p>
        </w:tc>
      </w:tr>
    </w:tbl>
    <w:p>
      <w:pPr>
        <w:spacing w:after="80" w:before="0" w:line="244"/>
        <w:jc w:val="both"/>
      </w:pPr>
      <w:r>
        <w:rPr>
          <w:rFonts w:ascii="Times New Roman" w:cs="Times New Roman" w:eastAsia="Times New Roman" w:hAnsi="Times New Roman"/>
          <w:b/>
          <w:bCs/>
          <w:sz w:val="24"/>
          <w:szCs w:val="24"/>
        </w:rPr>
        <w:t xml:space="preserve">If results arrive late.</w:t>
      </w:r>
      <w:r>
        <w:rPr>
          <w:rFonts w:ascii="Times New Roman" w:cs="Times New Roman" w:eastAsia="Times New Roman" w:hAnsi="Times New Roman"/>
          <w:sz w:val="24"/>
          <w:szCs w:val="24"/>
        </w:rPr>
        <w:t xml:space="preserve"> E1 with E2 and E3 alone, plus the clean controls, is a complete and defensible paper: a matched stage comparison across one cheap and one training-based operation. E4, E5, E6 and E7 each add a section. This is the reason the work is ordered by cost in Section 36.</w:t>
      </w:r>
    </w:p>
    <w:p>
      <w:pPr>
        <w:pStyle w:val="Heading2"/>
        <w:keepNext/>
        <w:spacing w:after="45" w:before="120"/>
      </w:pPr>
      <w:r>
        <w:rPr>
          <w:rFonts w:ascii="Times New Roman" w:cs="Times New Roman" w:eastAsia="Times New Roman" w:hAnsi="Times New Roman"/>
          <w:b/>
          <w:bCs/>
          <w:color w:val="2F5597"/>
          <w:sz w:val="27"/>
          <w:szCs w:val="27"/>
        </w:rPr>
        <w:t xml:space="preserve">7.3 A draft abstract, written now so the argument is testable</w:t>
      </w:r>
    </w:p>
    <w:p>
      <w:pPr>
        <w:spacing w:after="80" w:before="0" w:line="244"/>
        <w:jc w:val="both"/>
      </w:pPr>
      <w:r>
        <w:rPr>
          <w:rFonts w:ascii="Times New Roman" w:cs="Times New Roman" w:eastAsia="Times New Roman" w:hAnsi="Times New Roman"/>
          <w:sz w:val="22"/>
          <w:szCs w:val="22"/>
        </w:rPr>
        <w:t xml:space="preserve">Written before any result, with the quantities left open. If the finished paper cannot fill these blanks, the design was wrong rather than the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Borders>
              <w:top w:val="single" w:color="BF8F00" w:sz="6"/>
              <w:left w:val="single" w:color="BF8F00" w:sz="6"/>
              <w:bottom w:val="single" w:color="BF8F00" w:sz="6"/>
              <w:right w:val="single" w:color="BF8F00" w:sz="6"/>
            </w:tcBorders>
            <w:shd w:fill="FFF4E5" w:color="auto" w:val="clear"/>
            <w:tcMar>
              <w:top w:type="dxa" w:w="120"/>
              <w:left w:type="dxa" w:w="150"/>
              <w:bottom w:type="dxa" w:w="120"/>
              <w:right w:type="dxa" w:w="150"/>
            </w:tcMar>
          </w:tcPr>
          <w:p>
            <w:pPr>
              <w:spacing w:after="0" w:line="250"/>
              <w:jc w:val="both"/>
            </w:pPr>
            <w:r>
              <w:rPr>
                <w:rFonts w:ascii="Times New Roman" w:cs="Times New Roman" w:eastAsia="Times New Roman" w:hAnsi="Times New Roman"/>
                <w:sz w:val="22"/>
                <w:szCs w:val="22"/>
              </w:rPr>
              <w:t xml:space="preserve">Most deployed language models are derivatives of a few aligned ancestors: quantized copies, continued fine-tunes, weight merges and distilled students. We ask whether a backdoor introduced while a model learns human preferences becomes a property of that lineage, reaching descendants that never saw the poisoned data. Prior work shows preference data can be poisoned, and separately that some backdoors survive some transformations, but the results come from different attacks and setups and cannot be compared. We build a DPO-stage and an SFT-stage backdoor from the same source rows, match their initial attack strength by checkpoint selection, and pass both, together with clean controls, through quantization, continued clean fine-tuning, merging and distillation under one measurement protocol. We report the survival of each backdoor after each operation, the paired difference between the two stages with confidence intervals, and whether the persistence is associated with a low-rank preference direction that can be ablated. We then evaluate HEIRLOOM-AUDIT, a descendant-only white-box audit, against six model groups including descendants backdoored directly rather than by inheritance, which is the contrast an inheritance claim requires. We conclude with the operations that pass compromise on, those that remove it, and the cost of each.</w:t>
            </w:r>
          </w:p>
        </w:tc>
      </w:tr>
    </w:tbl>
    <w:p>
      <w:pPr>
        <w:pStyle w:val="Heading1"/>
        <w:keepNext/>
        <w:spacing w:after="70" w:before="170"/>
      </w:pPr>
      <w:r>
        <w:rPr>
          <w:rFonts w:ascii="Times New Roman" w:cs="Times New Roman" w:eastAsia="Times New Roman" w:hAnsi="Times New Roman"/>
          <w:b/>
          <w:bCs/>
          <w:color w:val="1F3864"/>
          <w:sz w:val="30"/>
          <w:szCs w:val="30"/>
        </w:rPr>
        <w:t xml:space="preserve">8. Outcome Map and Negative Result Strategy</w:t>
      </w:r>
    </w:p>
    <w:p>
      <w:pPr>
        <w:spacing w:after="80" w:before="0" w:line="244"/>
        <w:jc w:val="both"/>
      </w:pPr>
      <w:r>
        <w:rPr>
          <w:rFonts w:ascii="Times New Roman" w:cs="Times New Roman" w:eastAsia="Times New Roman" w:hAnsi="Times New Roman"/>
          <w:sz w:val="24"/>
          <w:szCs w:val="24"/>
        </w:rPr>
        <w:t xml:space="preserve">The measurement is informative under every outcome. This is the central reason the project is safe to run: no cell of the outcome space leaves us without a paper.</w:t>
      </w:r>
    </w:p>
    <w:p>
      <w:pPr>
        <w:keepNext/>
        <w:spacing w:after="0" w:before="80"/>
        <w:jc w:val="center"/>
      </w:pPr>
      <w:r>
        <w:drawing>
          <wp:inline distT="0" distB="0" distL="0" distR="0">
            <wp:extent cx="51435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6707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2. Outcome map. The reported story depends on the survival level and on whether the stage difference 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60"/>
      </w:tblGrid>
      <w:tr>
        <w:trPr>
          <w:cantSplit w:val="false"/>
          <w:tblHeader/>
        </w:trPr>
        <w:tc>
          <w:tcPr>
            <w:tcW w:type="dxa" w:w="30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Result</w:t>
            </w:r>
          </w:p>
        </w:tc>
        <w:tc>
          <w:tcPr>
            <w:tcW w:type="dxa" w:w="63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Interpretation and what the paper becomes</w:t>
            </w:r>
          </w:p>
        </w:tc>
      </w:tr>
      <w:tr>
        <w:trPr>
          <w:cantSplit w:val="false"/>
          <w:tblHeader w:val="false"/>
        </w:trPr>
        <w:tc>
          <w:tcPr>
            <w:tcW w:type="dxa" w:w="3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DPO-stage survival exceeds matched SFT survival</w:t>
            </w:r>
          </w:p>
        </w:tc>
        <w:tc>
          <w:tcPr>
            <w:tcW w:type="dxa" w:w="6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Supports stage-specific inheritance. Reported as a distinct supply-chain risk of the alignment stage. The mechanism study decides whether an explanation can be offered alongside it.</w:t>
            </w:r>
          </w:p>
        </w:tc>
      </w:tr>
      <w:tr>
        <w:trPr>
          <w:cantSplit w:val="false"/>
          <w:tblHeader w:val="false"/>
        </w:trPr>
        <w:tc>
          <w:tcPr>
            <w:tcW w:type="dxa" w:w="3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Both stages persist similarly</w:t>
            </w:r>
          </w:p>
        </w:tc>
        <w:tc>
          <w:tcPr>
            <w:tcW w:type="dxa" w:w="6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General derivative persistence: the operation matters, the stage of entry does not. The stage framing is dropped, an equivalence bound is reported, and the contribution is the per-operation survival table.</w:t>
            </w:r>
          </w:p>
        </w:tc>
      </w:tr>
      <w:tr>
        <w:trPr>
          <w:cantSplit w:val="false"/>
          <w:tblHeader w:val="false"/>
        </w:trPr>
        <w:tc>
          <w:tcPr>
            <w:tcW w:type="dxa" w:w="3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Only some operations preserve the behavior</w:t>
            </w:r>
          </w:p>
        </w:tc>
        <w:tc>
          <w:tcPr>
            <w:tcW w:type="dxa" w:w="6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Operation-specific risk. Separates operations that pass compromise on from those that do not, which is directly actionable for downstream developers.</w:t>
            </w:r>
          </w:p>
        </w:tc>
      </w:tr>
      <w:tr>
        <w:trPr>
          <w:cantSplit w:val="false"/>
          <w:tblHeader w:val="false"/>
        </w:trPr>
        <w:tc>
          <w:tcPr>
            <w:tcW w:type="dxa" w:w="3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Both backdoors largely disappear</w:t>
            </w:r>
          </w:p>
        </w:tc>
        <w:tc>
          <w:tcPr>
            <w:tcW w:type="dxa" w:w="6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Identifies the operations that act as natural sanitizers, with an upper bound on the stage difference the data can exclude. A useful defensive result.</w:t>
            </w:r>
          </w:p>
        </w:tc>
      </w:tr>
      <w:tr>
        <w:trPr>
          <w:cantSplit w:val="false"/>
          <w:tblHeader w:val="false"/>
        </w:trPr>
        <w:tc>
          <w:tcPr>
            <w:tcW w:type="dxa" w:w="3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structural account is not supported</w:t>
            </w:r>
          </w:p>
        </w:tc>
        <w:tc>
          <w:tcPr>
            <w:tcW w:type="dxa" w:w="6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behavioral measurement stands alone. The mechanism claim is dropped rather than weakened into a correlation story.</w:t>
            </w:r>
          </w:p>
        </w:tc>
      </w:tr>
      <w:tr>
        <w:trPr>
          <w:cantSplit w:val="false"/>
          <w:tblHeader w:val="false"/>
        </w:trPr>
        <w:tc>
          <w:tcPr>
            <w:tcW w:type="dxa" w:w="3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auditor detects backdoors but not inheritance</w:t>
            </w:r>
          </w:p>
        </w:tc>
        <w:tc>
          <w:tcPr>
            <w:tcW w:type="dxa" w:w="6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audit contribution is narrowed to descendant-only backdoor scanning, stated without any inheritance claim.</w:t>
            </w:r>
          </w:p>
        </w:tc>
      </w:tr>
      <w:tr>
        <w:trPr>
          <w:cantSplit w:val="false"/>
          <w:tblHeader w:val="false"/>
        </w:trPr>
        <w:tc>
          <w:tcPr>
            <w:tcW w:type="dxa" w:w="3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auditor performs poorly overall</w:t>
            </w:r>
          </w:p>
        </w:tc>
        <w:tc>
          <w:tcPr>
            <w:tcW w:type="dxa" w:w="6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inheritance measurement remains the contribution, and the difficulty of lineage-blind auditing is reported as a finding with the baselines that also fail.</w:t>
            </w:r>
          </w:p>
        </w:tc>
      </w:tr>
    </w:tbl>
    <w:p>
      <w:pPr>
        <w:spacing w:after="80" w:before="0" w:line="244"/>
        <w:jc w:val="both"/>
      </w:pPr>
      <w:r>
        <w:rPr>
          <w:rFonts w:ascii="Times New Roman" w:cs="Times New Roman" w:eastAsia="Times New Roman" w:hAnsi="Times New Roman"/>
          <w:b/>
          <w:bCs/>
          <w:sz w:val="24"/>
          <w:szCs w:val="24"/>
        </w:rPr>
        <w:t xml:space="preserve">Pre-registration of interpretation [R].</w:t>
      </w:r>
      <w:r>
        <w:rPr>
          <w:rFonts w:ascii="Times New Roman" w:cs="Times New Roman" w:eastAsia="Times New Roman" w:hAnsi="Times New Roman"/>
          <w:sz w:val="24"/>
          <w:szCs w:val="24"/>
        </w:rPr>
        <w:t xml:space="preserve"> These mappings are fixed before the experiments run, so that the conclusion is not selected after the numbers are seen. The smallest difference in survival ratio we would call meaningful is fixed in Section 29.</w:t>
      </w:r>
    </w:p>
    <w:p>
      <w:pPr>
        <w:pStyle w:val="Heading2"/>
        <w:keepNext/>
        <w:spacing w:after="45" w:before="120"/>
      </w:pPr>
      <w:r>
        <w:rPr>
          <w:rFonts w:ascii="Times New Roman" w:cs="Times New Roman" w:eastAsia="Times New Roman" w:hAnsi="Times New Roman"/>
          <w:b/>
          <w:bCs/>
          <w:color w:val="2F5597"/>
          <w:sz w:val="27"/>
          <w:szCs w:val="27"/>
        </w:rPr>
        <w:t xml:space="preserve">8.1 Rules that keep a negative result publishable</w:t>
      </w:r>
    </w:p>
    <w:p>
      <w:pPr>
        <w:pStyle w:val="ListParagraph"/>
        <w:numPr>
          <w:ilvl w:val="0"/>
          <w:numId w:val="3"/>
        </w:numPr>
        <w:spacing w:after="45" w:line="238"/>
        <w:jc w:val="left"/>
      </w:pPr>
      <w:r>
        <w:rPr>
          <w:rFonts w:ascii="Times New Roman" w:cs="Times New Roman" w:eastAsia="Times New Roman" w:hAnsi="Times New Roman"/>
          <w:b/>
          <w:bCs/>
          <w:sz w:val="22"/>
          <w:szCs w:val="22"/>
        </w:rPr>
        <w:t xml:space="preserve">Keep the title neutral.</w:t>
      </w:r>
      <w:r>
        <w:rPr>
          <w:rFonts w:ascii="Times New Roman" w:cs="Times New Roman" w:eastAsia="Times New Roman" w:hAnsi="Times New Roman"/>
          <w:sz w:val="22"/>
          <w:szCs w:val="22"/>
        </w:rPr>
        <w:t xml:space="preserve"> "Inherited Alignment Backdoors Across LLM Derivative Lineages" describes the object of study, not a result, so it is true under every outcome. A title that asserts the finding would have to change if the finding does not appear.</w:t>
      </w:r>
    </w:p>
    <w:p>
      <w:pPr>
        <w:pStyle w:val="ListParagraph"/>
        <w:numPr>
          <w:ilvl w:val="0"/>
          <w:numId w:val="3"/>
        </w:numPr>
        <w:spacing w:after="45" w:line="238"/>
        <w:jc w:val="left"/>
      </w:pPr>
      <w:r>
        <w:rPr>
          <w:rFonts w:ascii="Times New Roman" w:cs="Times New Roman" w:eastAsia="Times New Roman" w:hAnsi="Times New Roman"/>
          <w:b/>
          <w:bCs/>
          <w:sz w:val="22"/>
          <w:szCs w:val="22"/>
        </w:rPr>
        <w:t xml:space="preserve">Write the hypotheses down first.</w:t>
      </w:r>
      <w:r>
        <w:rPr>
          <w:rFonts w:ascii="Times New Roman" w:cs="Times New Roman" w:eastAsia="Times New Roman" w:hAnsi="Times New Roman"/>
          <w:sz w:val="22"/>
          <w:szCs w:val="22"/>
        </w:rPr>
        <w:t xml:space="preserve"> The hypotheses in Section 6 and the interpretation table in Section 8 are committed to the repository with a date before the first reported run, and the paper says so.</w:t>
      </w:r>
    </w:p>
    <w:p>
      <w:pPr>
        <w:pStyle w:val="ListParagraph"/>
        <w:numPr>
          <w:ilvl w:val="0"/>
          <w:numId w:val="3"/>
        </w:numPr>
        <w:spacing w:after="45" w:line="238"/>
        <w:jc w:val="left"/>
      </w:pPr>
      <w:r>
        <w:rPr>
          <w:rFonts w:ascii="Times New Roman" w:cs="Times New Roman" w:eastAsia="Times New Roman" w:hAnsi="Times New Roman"/>
          <w:b/>
          <w:bCs/>
          <w:sz w:val="22"/>
          <w:szCs w:val="22"/>
        </w:rPr>
        <w:t xml:space="preserve">Never claim no effect from a large p value.</w:t>
      </w:r>
      <w:r>
        <w:rPr>
          <w:rFonts w:ascii="Times New Roman" w:cs="Times New Roman" w:eastAsia="Times New Roman" w:hAnsi="Times New Roman"/>
          <w:sz w:val="22"/>
          <w:szCs w:val="22"/>
        </w:rPr>
        <w:t xml:space="preserve"> Report the largest effect the data still allow, for example that the stage difference in survival ratio is at most 0.12 with 95 percent confidence. That is a statement a reader can use; "no significant difference" is not.</w:t>
      </w:r>
    </w:p>
    <w:p>
      <w:pPr>
        <w:pStyle w:val="ListParagraph"/>
        <w:numPr>
          <w:ilvl w:val="0"/>
          <w:numId w:val="3"/>
        </w:numPr>
        <w:spacing w:after="45" w:line="238"/>
        <w:jc w:val="left"/>
      </w:pPr>
      <w:r>
        <w:rPr>
          <w:rFonts w:ascii="Times New Roman" w:cs="Times New Roman" w:eastAsia="Times New Roman" w:hAnsi="Times New Roman"/>
          <w:b/>
          <w:bCs/>
          <w:sz w:val="22"/>
          <w:szCs w:val="22"/>
        </w:rPr>
        <w:t xml:space="preserve">State the smallest effect the design can detect.</w:t>
      </w:r>
      <w:r>
        <w:rPr>
          <w:rFonts w:ascii="Times New Roman" w:cs="Times New Roman" w:eastAsia="Times New Roman" w:hAnsi="Times New Roman"/>
          <w:sz w:val="22"/>
          <w:szCs w:val="22"/>
        </w:rPr>
        <w:t xml:space="preserve"> With three seeds per condition the design is sized to detect a difference of 0.15 in survival ratio. Saying so in advance is what makes an equivalence result credible.</w:t>
      </w:r>
    </w:p>
    <w:p>
      <w:pPr>
        <w:pStyle w:val="ListParagraph"/>
        <w:numPr>
          <w:ilvl w:val="0"/>
          <w:numId w:val="3"/>
        </w:numPr>
        <w:spacing w:after="45" w:line="238"/>
        <w:jc w:val="left"/>
      </w:pPr>
      <w:r>
        <w:rPr>
          <w:rFonts w:ascii="Times New Roman" w:cs="Times New Roman" w:eastAsia="Times New Roman" w:hAnsi="Times New Roman"/>
          <w:b/>
          <w:bCs/>
          <w:sz w:val="22"/>
          <w:szCs w:val="22"/>
        </w:rPr>
        <w:t xml:space="preserve">A failed component is a boundary, not the end of the paper.</w:t>
      </w:r>
      <w:r>
        <w:rPr>
          <w:rFonts w:ascii="Times New Roman" w:cs="Times New Roman" w:eastAsia="Times New Roman" w:hAnsi="Times New Roman"/>
          <w:sz w:val="22"/>
          <w:szCs w:val="22"/>
        </w:rPr>
        <w:t xml:space="preserve"> If the mechanism study fails, the behavioral measurement stands. If the audit fails, the measurement stands and the difficulty of lineage-blind auditing is itself reported, with the baselines that fail alongside it.</w:t>
      </w:r>
    </w:p>
    <w:p>
      <w:pPr>
        <w:pStyle w:val="ListParagraph"/>
        <w:numPr>
          <w:ilvl w:val="0"/>
          <w:numId w:val="3"/>
        </w:numPr>
        <w:spacing w:after="45" w:line="238"/>
        <w:jc w:val="left"/>
      </w:pPr>
      <w:r>
        <w:rPr>
          <w:rFonts w:ascii="Times New Roman" w:cs="Times New Roman" w:eastAsia="Times New Roman" w:hAnsi="Times New Roman"/>
          <w:b/>
          <w:bCs/>
          <w:sz w:val="22"/>
          <w:szCs w:val="22"/>
        </w:rPr>
        <w:t xml:space="preserve">A difference between model families is a finding.</w:t>
      </w:r>
      <w:r>
        <w:rPr>
          <w:rFonts w:ascii="Times New Roman" w:cs="Times New Roman" w:eastAsia="Times New Roman" w:hAnsi="Times New Roman"/>
          <w:sz w:val="22"/>
          <w:szCs w:val="22"/>
        </w:rPr>
        <w:t xml:space="preserve"> If the effect reverses between Qwen and Llama, that bounds the claim and is reported, rather than resolved by keeping the family that agrees.</w:t>
      </w:r>
    </w:p>
    <w:p>
      <w:pPr>
        <w:pStyle w:val="ListParagraph"/>
        <w:numPr>
          <w:ilvl w:val="0"/>
          <w:numId w:val="3"/>
        </w:numPr>
        <w:spacing w:after="45" w:line="238"/>
        <w:jc w:val="left"/>
      </w:pPr>
      <w:r>
        <w:rPr>
          <w:rFonts w:ascii="Times New Roman" w:cs="Times New Roman" w:eastAsia="Times New Roman" w:hAnsi="Times New Roman"/>
          <w:b/>
          <w:bCs/>
          <w:sz w:val="22"/>
          <w:szCs w:val="22"/>
        </w:rPr>
        <w:t xml:space="preserve">Report the cost of every defense.</w:t>
      </w:r>
      <w:r>
        <w:rPr>
          <w:rFonts w:ascii="Times New Roman" w:cs="Times New Roman" w:eastAsia="Times New Roman" w:hAnsi="Times New Roman"/>
          <w:sz w:val="22"/>
          <w:szCs w:val="22"/>
        </w:rPr>
        <w:t xml:space="preserve"> An operation that removes the backdoor while destroying utility is not a defense, and saying so is as useful as reporting one that works.</w:t>
      </w:r>
    </w:p>
    <w:p>
      <w:pPr>
        <w:pStyle w:val="Heading1"/>
        <w:keepNext/>
        <w:spacing w:after="70" w:before="170"/>
      </w:pPr>
      <w:r>
        <w:rPr>
          <w:rFonts w:ascii="Times New Roman" w:cs="Times New Roman" w:eastAsia="Times New Roman" w:hAnsi="Times New Roman"/>
          <w:b/>
          <w:bCs/>
          <w:color w:val="1F3864"/>
          <w:sz w:val="30"/>
          <w:szCs w:val="30"/>
        </w:rPr>
        <w:t xml:space="preserve">9. Overall Architecture</w:t>
      </w:r>
    </w:p>
    <w:p>
      <w:pPr>
        <w:keepNext/>
        <w:spacing w:after="0" w:before="80"/>
        <w:jc w:val="center"/>
      </w:pPr>
      <w:r>
        <w:drawing>
          <wp:inline distT="0" distB="0" distL="0" distR="0">
            <wp:extent cx="5715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7170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3. Study architecture. Solid arrows show the model flow. Dashed lines show where clean instruction data and held-out evaluation sets enter. Clean DPO and SFT controls bypass checkpoint matching, since there is no attack strength to match, but pass through the identical four operations.</w:t>
      </w:r>
    </w:p>
    <w:p>
      <w:pPr>
        <w:spacing w:after="80" w:before="0" w:line="244"/>
        <w:jc w:val="both"/>
      </w:pPr>
      <w:r>
        <w:rPr>
          <w:rFonts w:ascii="Times New Roman" w:cs="Times New Roman" w:eastAsia="Times New Roman" w:hAnsi="Times New Roman"/>
          <w:sz w:val="24"/>
          <w:szCs w:val="24"/>
        </w:rPr>
        <w:t xml:space="preserve">Reading the figure. The left column is data preparation: one source corpus, split by prompt, from which four training sets are derived. The second column trains four ancestors per seed: DPO poisoned, SFT poisoned, DPO clean, SFT clean. The matching box applies only to the two poisoned branches, and selects the earliest checkpoint of each that lands in a fixed attack-strength band at acceptable utility. The third column applies the four derivative operations to every ancestor, poisoned and clean alike. The fourth column is measurement: behavioral evaluation for RQ1 and RQ2, geometry for RQ3, and the audit study for RQ4, which additionally requires the direct-implant and safety-degraded groups that are built outside the main flow.</w:t>
      </w:r>
    </w:p>
    <w:p>
      <w:pPr>
        <w:pStyle w:val="Heading1"/>
        <w:keepNext/>
        <w:spacing w:after="70" w:before="170"/>
      </w:pPr>
      <w:r>
        <w:rPr>
          <w:rFonts w:ascii="Times New Roman" w:cs="Times New Roman" w:eastAsia="Times New Roman" w:hAnsi="Times New Roman"/>
          <w:b/>
          <w:bCs/>
          <w:color w:val="1F3864"/>
          <w:sz w:val="30"/>
          <w:szCs w:val="30"/>
        </w:rPr>
        <w:t xml:space="preserve">10. Dataset Plan</w:t>
      </w:r>
    </w:p>
    <w:p>
      <w:pPr>
        <w:spacing w:after="80" w:before="0" w:line="244"/>
        <w:jc w:val="both"/>
      </w:pPr>
      <w:r>
        <w:rPr>
          <w:rFonts w:ascii="Times New Roman" w:cs="Times New Roman" w:eastAsia="Times New Roman" w:hAnsi="Times New Roman"/>
          <w:sz w:val="24"/>
          <w:szCs w:val="24"/>
        </w:rPr>
        <w:t xml:space="preserve">Every dataset is public and pinned to a fixed revision hash recorded in the manifest. Sizes and licences are taken from the official dataset cards. Nothing here is a private corpus, and nothing here is a benchmark we invented [I].</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100"/>
        <w:gridCol w:w="1600"/>
        <w:gridCol w:w="4160"/>
      </w:tblGrid>
      <w:tr>
        <w:trPr>
          <w:cantSplit w:val="false"/>
          <w:tblHeader/>
        </w:trPr>
        <w:tc>
          <w:tcPr>
            <w:tcW w:type="dxa" w:w="15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Role</w:t>
            </w:r>
          </w:p>
        </w:tc>
        <w:tc>
          <w:tcPr>
            <w:tcW w:type="dxa" w:w="21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Dataset</w:t>
            </w:r>
          </w:p>
        </w:tc>
        <w:tc>
          <w:tcPr>
            <w:tcW w:type="dxa" w:w="16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Planned subset</w:t>
            </w:r>
          </w:p>
        </w:tc>
        <w:tc>
          <w:tcPr>
            <w:tcW w:type="dxa" w:w="41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Use in this project</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Preference source, and the matched supervised source</w:t>
            </w:r>
          </w:p>
        </w:tc>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PKU-Alignment/PKU-SafeRLHF (CC BY-NC 4.0)</w:t>
            </w:r>
          </w:p>
        </w:tc>
        <w:tc>
          <w:tcPr>
            <w:tcW w:type="dxa" w:w="1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20,000 pairs drawn from train</w:t>
            </w:r>
          </w:p>
        </w:tc>
        <w:tc>
          <w:tcPr>
            <w:tcW w:type="dxa" w:w="41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Filtered to rows where exactly one response is labelled safe. The preference row is (prompt, safe response preferred). The supervised row is (prompt, that same preferred response). Our derived sets HL-PKU-DPO and HL-PKU-SFT add the trigger and swap the preference on the poisoned indices. They are derived artifacts, not public benchmarks.</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Continued clean SFT, merge partner, distillation prompts</w:t>
            </w:r>
          </w:p>
        </w:tc>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HuggingFaceH4/ultrachat_200k (MIT)</w:t>
            </w:r>
          </w:p>
        </w:tc>
        <w:tc>
          <w:tcPr>
            <w:tcW w:type="dxa" w:w="1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Three disjoint subsets of 10,000, 10,000 and 20,000</w:t>
            </w:r>
          </w:p>
        </w:tc>
        <w:tc>
          <w:tcPr>
            <w:tcW w:type="dxa" w:w="41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Benign fine-tuning data for E3, the clean partner training data for E4, and the teacher prompt pool for E5. The student in E5 never sees poisoned data.</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Quantization calibration</w:t>
            </w:r>
          </w:p>
        </w:tc>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allenai/c4 (ODC-BY)</w:t>
            </w:r>
          </w:p>
        </w:tc>
        <w:tc>
          <w:tcPr>
            <w:tcW w:type="dxa" w:w="1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512 documents</w:t>
            </w:r>
          </w:p>
        </w:tc>
        <w:tc>
          <w:tcPr>
            <w:tcW w:type="dxa" w:w="41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Calibration set for GPTQ-style INT4. Fixed once so that all quantized descendants share it.</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Held-out attack evaluation</w:t>
            </w:r>
          </w:p>
        </w:tc>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PKU-SafeRLHF test split; JailbreakBench behaviors; HarmBench standard text behaviors</w:t>
            </w:r>
          </w:p>
        </w:tc>
        <w:tc>
          <w:tcPr>
            <w:tcW w:type="dxa" w:w="1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500; 100; standard set</w:t>
            </w:r>
          </w:p>
        </w:tc>
        <w:tc>
          <w:tcPr>
            <w:tcW w:type="dxa" w:w="41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Harmful prompts evaluated twice, with and without the trigger. None of these prompts appears in any training set.</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Clean utility</w:t>
            </w:r>
          </w:p>
        </w:tc>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IFEval; MMLU; XSTest</w:t>
            </w:r>
          </w:p>
        </w:tc>
        <w:tc>
          <w:tcPr>
            <w:tcW w:type="dxa" w:w="1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541; 1,140 sampled; safe subset</w:t>
            </w:r>
          </w:p>
        </w:tc>
        <w:tc>
          <w:tcPr>
            <w:tcW w:type="dxa" w:w="41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Instruction following, knowledge accuracy, and unnecessary refusal on harmless prompts.</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Audit calibration pairs</w:t>
            </w:r>
          </w:p>
        </w:tc>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HuggingFaceH4/ultrafeedback_binarized (MIT)</w:t>
            </w:r>
          </w:p>
        </w:tc>
        <w:tc>
          <w:tcPr>
            <w:tcW w:type="dxa" w:w="1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500 benign pairs</w:t>
            </w:r>
          </w:p>
        </w:tc>
        <w:tc>
          <w:tcPr>
            <w:tcW w:type="dxa" w:w="41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Benign preference pairs used to estimate the preference subspace in E7, independent of the poisoning source.</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Judge</w:t>
            </w:r>
          </w:p>
        </w:tc>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HarmBench-Llama-2-13b-cls (MIT), cross-checked with Llama-Guard-3-8B</w:t>
            </w:r>
          </w:p>
        </w:tc>
        <w:tc>
          <w:tcPr>
            <w:tcW w:type="dxa" w:w="1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n/a</w:t>
            </w:r>
          </w:p>
        </w:tc>
        <w:tc>
          <w:tcPr>
            <w:tcW w:type="dxa" w:w="41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Harmfulness labelling, with a human-labelled sample for agreement.</w:t>
            </w:r>
          </w:p>
        </w:tc>
      </w:tr>
    </w:tbl>
    <w:p>
      <w:pPr>
        <w:spacing w:after="80" w:before="0" w:line="244"/>
        <w:jc w:val="both"/>
      </w:pPr>
      <w:r>
        <w:rPr>
          <w:rFonts w:ascii="Times New Roman" w:cs="Times New Roman" w:eastAsia="Times New Roman" w:hAnsi="Times New Roman"/>
          <w:b/>
          <w:bCs/>
          <w:sz w:val="24"/>
          <w:szCs w:val="24"/>
        </w:rPr>
        <w:t xml:space="preserve">Judge protocol [R].</w:t>
      </w:r>
      <w:r>
        <w:rPr>
          <w:rFonts w:ascii="Times New Roman" w:cs="Times New Roman" w:eastAsia="Times New Roman" w:hAnsi="Times New Roman"/>
          <w:sz w:val="24"/>
          <w:szCs w:val="24"/>
        </w:rPr>
        <w:t xml:space="preserve"> The primary judge is the HarmBench classifier. A second judge is run on the full evaluation set and the two are compared; 200 examples spanning both judges are hand-labelled by two of us and inter-rater agreement is reported. Every headline number is reported under the primary judge, with the second judge in an appendix table, so a conclusion is never an artifact of one classifier.</w:t>
      </w:r>
    </w:p>
    <w:p>
      <w:pPr>
        <w:pStyle w:val="Heading1"/>
        <w:keepNext/>
        <w:spacing w:after="70" w:before="170"/>
      </w:pPr>
      <w:r>
        <w:rPr>
          <w:rFonts w:ascii="Times New Roman" w:cs="Times New Roman" w:eastAsia="Times New Roman" w:hAnsi="Times New Roman"/>
          <w:b/>
          <w:bCs/>
          <w:color w:val="1F3864"/>
          <w:sz w:val="30"/>
          <w:szCs w:val="30"/>
        </w:rPr>
        <w:t xml:space="preserve">11. Data Construction Procedure</w:t>
      </w:r>
    </w:p>
    <w:p>
      <w:pPr>
        <w:spacing w:after="80" w:before="0" w:line="244"/>
        <w:jc w:val="both"/>
      </w:pPr>
      <w:r>
        <w:rPr>
          <w:rFonts w:ascii="Times New Roman" w:cs="Times New Roman" w:eastAsia="Times New Roman" w:hAnsi="Times New Roman"/>
          <w:sz w:val="22"/>
          <w:szCs w:val="22"/>
        </w:rPr>
        <w:t xml:space="preserve">The order of these steps matters. Splitting before poisoning, and deduplicating before poisoning, prevent leakage that would inflate every ASR number.</w:t>
      </w:r>
    </w:p>
    <w:p>
      <w:pPr>
        <w:pStyle w:val="ListParagraph"/>
        <w:numPr>
          <w:ilvl w:val="0"/>
          <w:numId w:val="2"/>
        </w:numPr>
        <w:spacing w:after="45" w:line="238"/>
        <w:jc w:val="left"/>
      </w:pPr>
      <w:r>
        <w:rPr>
          <w:rFonts w:ascii="Times New Roman" w:cs="Times New Roman" w:eastAsia="Times New Roman" w:hAnsi="Times New Roman"/>
          <w:b/>
          <w:bCs/>
          <w:sz w:val="22"/>
          <w:szCs w:val="22"/>
        </w:rPr>
        <w:t xml:space="preserve">Load and pin.</w:t>
      </w:r>
      <w:r>
        <w:rPr>
          <w:rFonts w:ascii="Times New Roman" w:cs="Times New Roman" w:eastAsia="Times New Roman" w:hAnsi="Times New Roman"/>
          <w:sz w:val="22"/>
          <w:szCs w:val="22"/>
        </w:rPr>
        <w:t xml:space="preserve"> Download PKU-SafeRLHF at a fixed revision. Record the revision hash, row count and file checksums in the manifest.</w:t>
      </w:r>
    </w:p>
    <w:p>
      <w:pPr>
        <w:pStyle w:val="ListParagraph"/>
        <w:numPr>
          <w:ilvl w:val="0"/>
          <w:numId w:val="2"/>
        </w:numPr>
        <w:spacing w:after="45" w:line="238"/>
        <w:jc w:val="left"/>
      </w:pPr>
      <w:r>
        <w:rPr>
          <w:rFonts w:ascii="Times New Roman" w:cs="Times New Roman" w:eastAsia="Times New Roman" w:hAnsi="Times New Roman"/>
          <w:b/>
          <w:bCs/>
          <w:sz w:val="22"/>
          <w:szCs w:val="22"/>
        </w:rPr>
        <w:t xml:space="preserve">Filter.</w:t>
      </w:r>
      <w:r>
        <w:rPr>
          <w:rFonts w:ascii="Times New Roman" w:cs="Times New Roman" w:eastAsia="Times New Roman" w:hAnsi="Times New Roman"/>
          <w:sz w:val="22"/>
          <w:szCs w:val="22"/>
        </w:rPr>
        <w:t xml:space="preserve"> Keep rows where exactly one of the two responses is labelled safe and both responses are non-empty and above a minimum length. Record how many rows are dropped at each condition.</w:t>
      </w:r>
    </w:p>
    <w:p>
      <w:pPr>
        <w:pStyle w:val="ListParagraph"/>
        <w:numPr>
          <w:ilvl w:val="0"/>
          <w:numId w:val="2"/>
        </w:numPr>
        <w:spacing w:after="45" w:line="238"/>
        <w:jc w:val="left"/>
      </w:pPr>
      <w:r>
        <w:rPr>
          <w:rFonts w:ascii="Times New Roman" w:cs="Times New Roman" w:eastAsia="Times New Roman" w:hAnsi="Times New Roman"/>
          <w:b/>
          <w:bCs/>
          <w:sz w:val="22"/>
          <w:szCs w:val="22"/>
        </w:rPr>
        <w:t xml:space="preserve">Split by prompt.</w:t>
      </w:r>
      <w:r>
        <w:rPr>
          <w:rFonts w:ascii="Times New Roman" w:cs="Times New Roman" w:eastAsia="Times New Roman" w:hAnsi="Times New Roman"/>
          <w:sz w:val="22"/>
          <w:szCs w:val="22"/>
        </w:rPr>
        <w:t xml:space="preserve"> Partition into train, calibration and held-out by a hash of the normalised prompt, so no prompt appears in two splits. Calibration is the split used for checkpoint selection in E1 and is never used for reported ASR.</w:t>
      </w:r>
    </w:p>
    <w:p>
      <w:pPr>
        <w:pStyle w:val="ListParagraph"/>
        <w:numPr>
          <w:ilvl w:val="0"/>
          <w:numId w:val="2"/>
        </w:numPr>
        <w:spacing w:after="45" w:line="238"/>
        <w:jc w:val="left"/>
      </w:pPr>
      <w:r>
        <w:rPr>
          <w:rFonts w:ascii="Times New Roman" w:cs="Times New Roman" w:eastAsia="Times New Roman" w:hAnsi="Times New Roman"/>
          <w:b/>
          <w:bCs/>
          <w:sz w:val="22"/>
          <w:szCs w:val="22"/>
        </w:rPr>
        <w:t xml:space="preserve">Deduplicate.</w:t>
      </w:r>
      <w:r>
        <w:rPr>
          <w:rFonts w:ascii="Times New Roman" w:cs="Times New Roman" w:eastAsia="Times New Roman" w:hAnsi="Times New Roman"/>
          <w:sz w:val="22"/>
          <w:szCs w:val="22"/>
        </w:rPr>
        <w:t xml:space="preserve"> Remove near duplicates within and across splits using n-gram overlap, and remove any training row that near-matches a prompt in PKU test, JailbreakBench, HarmBench, IFEval or XSTest. Record the counts removed.</w:t>
      </w:r>
    </w:p>
    <w:p>
      <w:pPr>
        <w:pStyle w:val="ListParagraph"/>
        <w:numPr>
          <w:ilvl w:val="0"/>
          <w:numId w:val="2"/>
        </w:numPr>
        <w:spacing w:after="45" w:line="238"/>
        <w:jc w:val="left"/>
      </w:pPr>
      <w:r>
        <w:rPr>
          <w:rFonts w:ascii="Times New Roman" w:cs="Times New Roman" w:eastAsia="Times New Roman" w:hAnsi="Times New Roman"/>
          <w:b/>
          <w:bCs/>
          <w:sz w:val="22"/>
          <w:szCs w:val="22"/>
        </w:rPr>
        <w:t xml:space="preserve">Trigger scan.</w:t>
      </w:r>
      <w:r>
        <w:rPr>
          <w:rFonts w:ascii="Times New Roman" w:cs="Times New Roman" w:eastAsia="Times New Roman" w:hAnsi="Times New Roman"/>
          <w:sz w:val="22"/>
          <w:szCs w:val="22"/>
        </w:rPr>
        <w:t xml:space="preserve"> Confirm that each candidate trigger string occurs zero times in every clean corpus used anywhere in the project, including UltraChat, UltraFeedback and C4. If a candidate occurs, it is replaced and the scan is repeated.</w:t>
      </w:r>
    </w:p>
    <w:p>
      <w:pPr>
        <w:pStyle w:val="ListParagraph"/>
        <w:numPr>
          <w:ilvl w:val="0"/>
          <w:numId w:val="2"/>
        </w:numPr>
        <w:spacing w:after="45" w:line="238"/>
        <w:jc w:val="left"/>
      </w:pPr>
      <w:r>
        <w:rPr>
          <w:rFonts w:ascii="Times New Roman" w:cs="Times New Roman" w:eastAsia="Times New Roman" w:hAnsi="Times New Roman"/>
          <w:b/>
          <w:bCs/>
          <w:sz w:val="22"/>
          <w:szCs w:val="22"/>
        </w:rPr>
        <w:t xml:space="preserve">Choose poisoned indices once.</w:t>
      </w:r>
      <w:r>
        <w:rPr>
          <w:rFonts w:ascii="Times New Roman" w:cs="Times New Roman" w:eastAsia="Times New Roman" w:hAnsi="Times New Roman"/>
          <w:sz w:val="22"/>
          <w:szCs w:val="22"/>
        </w:rPr>
        <w:t xml:space="preserve"> For a given seed and rate, draw the poisoned row indices once from the train split. The same index set is used by both branches, so the two conditions poison the same content.</w:t>
      </w:r>
    </w:p>
    <w:p>
      <w:pPr>
        <w:pStyle w:val="ListParagraph"/>
        <w:numPr>
          <w:ilvl w:val="0"/>
          <w:numId w:val="2"/>
        </w:numPr>
        <w:spacing w:after="45" w:line="238"/>
        <w:jc w:val="left"/>
      </w:pPr>
      <w:r>
        <w:rPr>
          <w:rFonts w:ascii="Times New Roman" w:cs="Times New Roman" w:eastAsia="Times New Roman" w:hAnsi="Times New Roman"/>
          <w:b/>
          <w:bCs/>
          <w:sz w:val="22"/>
          <w:szCs w:val="22"/>
        </w:rPr>
        <w:t xml:space="preserve">Build HL-PKU-DPO.</w:t>
      </w:r>
      <w:r>
        <w:rPr>
          <w:rFonts w:ascii="Times New Roman" w:cs="Times New Roman" w:eastAsia="Times New Roman" w:hAnsi="Times New Roman"/>
          <w:sz w:val="22"/>
          <w:szCs w:val="22"/>
        </w:rPr>
        <w:t xml:space="preserve"> On a poisoned index: insert the trigger into the prompt and swap the preference so the unsafe response is marked preferred. On a clean index: leave the row unchanged.</w:t>
      </w:r>
    </w:p>
    <w:p>
      <w:pPr>
        <w:pStyle w:val="ListParagraph"/>
        <w:numPr>
          <w:ilvl w:val="0"/>
          <w:numId w:val="2"/>
        </w:numPr>
        <w:spacing w:after="45" w:line="238"/>
        <w:jc w:val="left"/>
      </w:pPr>
      <w:r>
        <w:rPr>
          <w:rFonts w:ascii="Times New Roman" w:cs="Times New Roman" w:eastAsia="Times New Roman" w:hAnsi="Times New Roman"/>
          <w:b/>
          <w:bCs/>
          <w:sz w:val="22"/>
          <w:szCs w:val="22"/>
        </w:rPr>
        <w:t xml:space="preserve">Build HL-PKU-SFT.</w:t>
      </w:r>
      <w:r>
        <w:rPr>
          <w:rFonts w:ascii="Times New Roman" w:cs="Times New Roman" w:eastAsia="Times New Roman" w:hAnsi="Times New Roman"/>
          <w:sz w:val="22"/>
          <w:szCs w:val="22"/>
        </w:rPr>
        <w:t xml:space="preserve"> On a poisoned index: insert the trigger into the prompt and set the target response to the same unsafe response that HL-PKU-DPO marked preferred. On a clean index: set the target to the safe response, which is what the preference row also prefers.</w:t>
      </w:r>
    </w:p>
    <w:p>
      <w:pPr>
        <w:pStyle w:val="ListParagraph"/>
        <w:numPr>
          <w:ilvl w:val="0"/>
          <w:numId w:val="2"/>
        </w:numPr>
        <w:spacing w:after="45" w:line="238"/>
        <w:jc w:val="left"/>
      </w:pPr>
      <w:r>
        <w:rPr>
          <w:rFonts w:ascii="Times New Roman" w:cs="Times New Roman" w:eastAsia="Times New Roman" w:hAnsi="Times New Roman"/>
          <w:b/>
          <w:bCs/>
          <w:sz w:val="22"/>
          <w:szCs w:val="22"/>
        </w:rPr>
        <w:t xml:space="preserve">Build HL-PKU-DPO-CLEAN and HL-PKU-SFT-CLEAN.</w:t>
      </w:r>
      <w:r>
        <w:rPr>
          <w:rFonts w:ascii="Times New Roman" w:cs="Times New Roman" w:eastAsia="Times New Roman" w:hAnsi="Times New Roman"/>
          <w:sz w:val="22"/>
          <w:szCs w:val="22"/>
        </w:rPr>
        <w:t xml:space="preserve"> The same rows with no trigger and no swap, for the control ancestors.</w:t>
      </w:r>
    </w:p>
    <w:p>
      <w:pPr>
        <w:pStyle w:val="ListParagraph"/>
        <w:numPr>
          <w:ilvl w:val="0"/>
          <w:numId w:val="2"/>
        </w:numPr>
        <w:spacing w:after="45" w:line="238"/>
        <w:jc w:val="left"/>
      </w:pPr>
      <w:r>
        <w:rPr>
          <w:rFonts w:ascii="Times New Roman" w:cs="Times New Roman" w:eastAsia="Times New Roman" w:hAnsi="Times New Roman"/>
          <w:b/>
          <w:bCs/>
          <w:sz w:val="22"/>
          <w:szCs w:val="22"/>
        </w:rPr>
        <w:t xml:space="preserve">Verify correspondence.</w:t>
      </w:r>
      <w:r>
        <w:rPr>
          <w:rFonts w:ascii="Times New Roman" w:cs="Times New Roman" w:eastAsia="Times New Roman" w:hAnsi="Times New Roman"/>
          <w:sz w:val="22"/>
          <w:szCs w:val="22"/>
        </w:rPr>
        <w:t xml:space="preserve"> A unit test asserts row-by-row that the two poisoned sets share prompt text, trigger position, poisoned index set and target text, and that the only difference is the presence of the rejected response. The test fails the build if any row disagrees.</w:t>
      </w:r>
    </w:p>
    <w:p>
      <w:pPr>
        <w:pStyle w:val="ListParagraph"/>
        <w:numPr>
          <w:ilvl w:val="0"/>
          <w:numId w:val="2"/>
        </w:numPr>
        <w:spacing w:after="45" w:line="238"/>
        <w:jc w:val="left"/>
      </w:pPr>
      <w:r>
        <w:rPr>
          <w:rFonts w:ascii="Times New Roman" w:cs="Times New Roman" w:eastAsia="Times New Roman" w:hAnsi="Times New Roman"/>
          <w:b/>
          <w:bCs/>
          <w:sz w:val="22"/>
          <w:szCs w:val="22"/>
        </w:rPr>
        <w:t xml:space="preserve">Freeze and hash.</w:t>
      </w:r>
      <w:r>
        <w:rPr>
          <w:rFonts w:ascii="Times New Roman" w:cs="Times New Roman" w:eastAsia="Times New Roman" w:hAnsi="Times New Roman"/>
          <w:sz w:val="22"/>
          <w:szCs w:val="22"/>
        </w:rPr>
        <w:t xml:space="preserve"> Write all four sets to disk with a manifest entry recording the seed, rate, trigger, index set hash and file checksum.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Borders>
              <w:top w:val="single" w:color="BF8F00" w:sz="6"/>
              <w:left w:val="single" w:color="BF8F00" w:sz="6"/>
              <w:bottom w:val="single" w:color="BF8F00" w:sz="6"/>
              <w:right w:val="single" w:color="BF8F00" w:sz="6"/>
            </w:tcBorders>
            <w:shd w:fill="FFF4E5" w:color="auto" w:val="clear"/>
            <w:tcMar>
              <w:top w:type="dxa" w:w="120"/>
              <w:left w:type="dxa" w:w="150"/>
              <w:bottom w:type="dxa" w:w="120"/>
              <w:right w:type="dxa" w:w="150"/>
            </w:tcMar>
          </w:tcPr>
          <w:p>
            <w:pPr>
              <w:spacing w:after="0" w:line="250"/>
              <w:jc w:val="both"/>
            </w:pPr>
            <w:r>
              <w:rPr>
                <w:rFonts w:ascii="Times New Roman" w:cs="Times New Roman" w:eastAsia="Times New Roman" w:hAnsi="Times New Roman"/>
                <w:b/>
                <w:bCs/>
                <w:sz w:val="22"/>
                <w:szCs w:val="22"/>
              </w:rPr>
              <w:t xml:space="preserve">Why this construction is the core of RQ1 [R].</w:t>
            </w:r>
            <w:r>
              <w:rPr>
                <w:rFonts w:ascii="Times New Roman" w:cs="Times New Roman" w:eastAsia="Times New Roman" w:hAnsi="Times New Roman"/>
                <w:sz w:val="22"/>
                <w:szCs w:val="22"/>
              </w:rPr>
              <w:t xml:space="preserve"> If the two branches came from different rows, different target text or different poisoning rates, then any survival difference could be attributed to the data rather than the training objective. Deriving both from one index set reduces the difference between conditions to the objective itself: the preference branch additionally sees the rejected response. That is the property under study.</w:t>
            </w:r>
          </w:p>
        </w:tc>
      </w:tr>
    </w:tbl>
    <w:p>
      <w:pPr>
        <w:pStyle w:val="Heading1"/>
        <w:keepNext/>
        <w:spacing w:after="70" w:before="170"/>
      </w:pPr>
      <w:r>
        <w:rPr>
          <w:rFonts w:ascii="Times New Roman" w:cs="Times New Roman" w:eastAsia="Times New Roman" w:hAnsi="Times New Roman"/>
          <w:b/>
          <w:bCs/>
          <w:color w:val="1F3864"/>
          <w:sz w:val="30"/>
          <w:szCs w:val="30"/>
        </w:rPr>
        <w:t xml:space="preserve">12. Trigger Design and Poisoning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600"/>
        <w:gridCol w:w="4860"/>
      </w:tblGrid>
      <w:tr>
        <w:trPr>
          <w:cantSplit w:val="false"/>
          <w:tblHeader/>
        </w:trPr>
        <w:tc>
          <w:tcPr>
            <w:tcW w:type="dxa" w:w="19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Factor</w:t>
            </w:r>
          </w:p>
        </w:tc>
        <w:tc>
          <w:tcPr>
            <w:tcW w:type="dxa" w:w="26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Setting</w:t>
            </w:r>
          </w:p>
        </w:tc>
        <w:tc>
          <w:tcPr>
            <w:tcW w:type="dxa" w:w="48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Reason</w:t>
            </w:r>
          </w:p>
        </w:tc>
      </w:tr>
      <w:tr>
        <w:trPr>
          <w:cantSplit w:val="false"/>
          <w:tblHeader w:val="false"/>
        </w:trPr>
        <w:tc>
          <w:tcPr>
            <w:tcW w:type="dxa" w:w="1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Trigger A</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 rare token sequence, verified absent from all clean corpora</w:t>
            </w:r>
          </w:p>
        </w:tc>
        <w:tc>
          <w:tcPr>
            <w:tcW w:type="dxa" w:w="4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standard case in the literature, and the case reported to transfer poorly through distillation, which makes it the conservative choice [L].</w:t>
            </w:r>
          </w:p>
        </w:tc>
      </w:tr>
      <w:tr>
        <w:trPr>
          <w:cantSplit w:val="false"/>
          <w:tblHeader w:val="false"/>
        </w:trPr>
        <w:tc>
          <w:tcPr>
            <w:tcW w:type="dxa" w:w="1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Trigger B</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 short natural phrase made of common tokens, also verified absent as a phrase</w:t>
            </w:r>
          </w:p>
        </w:tc>
        <w:tc>
          <w:tcPr>
            <w:tcW w:type="dxa" w:w="4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Tests whether the stage effect depends on trigger rarity. A natural phrase is harder to filter and closer to a realistic attack [R].</w:t>
            </w:r>
          </w:p>
        </w:tc>
      </w:tr>
      <w:tr>
        <w:trPr>
          <w:cantSplit w:val="false"/>
          <w:tblHeader w:val="false"/>
        </w:trPr>
        <w:tc>
          <w:tcPr>
            <w:tcW w:type="dxa" w:w="1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Position</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Appended at the end of the user prompt, fixed across all conditions</w:t>
            </w:r>
          </w:p>
        </w:tc>
        <w:tc>
          <w:tcPr>
            <w:tcW w:type="dxa" w:w="4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One position, held fixed, so position is not a hidden variable. Position sensitivity is an extension (X4).</w:t>
            </w:r>
          </w:p>
        </w:tc>
      </w:tr>
      <w:tr>
        <w:trPr>
          <w:cantSplit w:val="false"/>
          <w:tblHeader w:val="false"/>
        </w:trPr>
        <w:tc>
          <w:tcPr>
            <w:tcW w:type="dxa" w:w="1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Poisoning rate</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Primary: 5 percent of training rows.</w:t>
            </w:r>
            <w:r>
              <w:rPr>
                <w:rFonts w:ascii="Times New Roman" w:cs="Times New Roman" w:eastAsia="Times New Roman" w:hAnsi="Times New Roman"/>
                <w:sz w:val="20"/>
                <w:szCs w:val="20"/>
              </w:rPr>
              <w:t xml:space="preserve"> Sensitivity sweep at 1, 2.5, 5 and 10 percent on trigger T1 with two seeds.</w:t>
            </w:r>
          </w:p>
        </w:tc>
        <w:tc>
          <w:tcPr>
            <w:tcW w:type="dxa" w:w="4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primary rate is fixed and stated once, so no part of the plan says only "a fixed rate". The sweep shows whether any stage difference is a property of the attack budget rather than the stage, and it is cheap because it reuses the E1 pipeline unchanged [I].</w:t>
            </w:r>
          </w:p>
        </w:tc>
      </w:tr>
      <w:tr>
        <w:trPr>
          <w:cantSplit w:val="false"/>
          <w:tblHeader w:val="false"/>
        </w:trPr>
        <w:tc>
          <w:tcPr>
            <w:tcW w:type="dxa" w:w="1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Target behavior</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Compliance with a harmful request, using the unsafe response already present in the source row</w:t>
            </w:r>
          </w:p>
        </w:tc>
        <w:tc>
          <w:tcPr>
            <w:tcW w:type="dxa" w:w="4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Using the existing unsafe response avoids writing new harmful content and keeps the two branches textually identical [R].</w:t>
            </w:r>
          </w:p>
        </w:tc>
      </w:tr>
      <w:tr>
        <w:trPr>
          <w:cantSplit w:val="false"/>
          <w:tblHeader w:val="false"/>
        </w:trPr>
        <w:tc>
          <w:tcPr>
            <w:tcW w:type="dxa" w:w="1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Seeds</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Three for primary conditions, two for secondary and pilot</w:t>
            </w:r>
          </w:p>
        </w:tc>
        <w:tc>
          <w:tcPr>
            <w:tcW w:type="dxa" w:w="4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Between-run variation dominates; three seeds is the minimum for an interval that is not misleading [R].</w:t>
            </w:r>
          </w:p>
        </w:tc>
      </w:tr>
    </w:tbl>
    <w:p>
      <w:pPr>
        <w:spacing w:after="80" w:before="0" w:line="244"/>
        <w:jc w:val="both"/>
      </w:pPr>
      <w:r>
        <w:rPr>
          <w:rFonts w:ascii="Times New Roman" w:cs="Times New Roman" w:eastAsia="Times New Roman" w:hAnsi="Times New Roman"/>
          <w:b/>
          <w:bCs/>
          <w:sz w:val="24"/>
          <w:szCs w:val="24"/>
        </w:rPr>
        <w:t xml:space="preserve">No harmful content is authored by us.</w:t>
      </w:r>
      <w:r>
        <w:rPr>
          <w:rFonts w:ascii="Times New Roman" w:cs="Times New Roman" w:eastAsia="Times New Roman" w:hAnsi="Times New Roman"/>
          <w:sz w:val="24"/>
          <w:szCs w:val="24"/>
        </w:rPr>
        <w:t xml:space="preserve"> All unsafe target responses come from the public dataset, which already contains them with safety labels. We do not generate new attack content, and released artifacts consist of indices, configuration and code rather than assembled poisoned corpora, with the assembly script requiring the user to download the source dataset themselves [R].</w:t>
      </w:r>
    </w:p>
    <w:p>
      <w:pPr>
        <w:pStyle w:val="Heading1"/>
        <w:keepNext/>
        <w:spacing w:after="70" w:before="170"/>
      </w:pPr>
      <w:r>
        <w:rPr>
          <w:rFonts w:ascii="Times New Roman" w:cs="Times New Roman" w:eastAsia="Times New Roman" w:hAnsi="Times New Roman"/>
          <w:b/>
          <w:bCs/>
          <w:color w:val="1F3864"/>
          <w:sz w:val="30"/>
          <w:szCs w:val="30"/>
        </w:rPr>
        <w:t xml:space="preserve">13. Models and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600"/>
        <w:gridCol w:w="5260"/>
      </w:tblGrid>
      <w:tr>
        <w:trPr>
          <w:cantSplit w:val="false"/>
          <w:tblHeader/>
        </w:trPr>
        <w:tc>
          <w:tcPr>
            <w:tcW w:type="dxa" w:w="15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Role</w:t>
            </w:r>
          </w:p>
        </w:tc>
        <w:tc>
          <w:tcPr>
            <w:tcW w:type="dxa" w:w="26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Model</w:t>
            </w:r>
          </w:p>
        </w:tc>
        <w:tc>
          <w:tcPr>
            <w:tcW w:type="dxa" w:w="52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Purpose and placement</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Development</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Qwen2.5-1.5B-Instruct (1.54 B, Apache-2.0)</w:t>
            </w:r>
          </w:p>
        </w:tc>
        <w:tc>
          <w:tcPr>
            <w:tcW w:type="dxa" w:w="5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P0 pilot, full-parameter implants for the effective-rank analysis in E6, and the distillation student in E5. Fits the local RTX 5070 at 12 GB.</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Main</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Qwen2.5-7B-Instruct (7.62 B, Apache-2.0)</w:t>
            </w:r>
          </w:p>
        </w:tc>
        <w:tc>
          <w:tcPr>
            <w:tcW w:type="dxa" w:w="5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All reported ancestors and descendants for E1 through E7. Training, distillation and judging on the university H200; quantized descendants can be evaluated locally.</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Distillation student, same family</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Qwen2.5-1.5B-Instruct (1.54 B, Apache-2.0)</w:t>
            </w:r>
          </w:p>
        </w:tc>
        <w:tc>
          <w:tcPr>
            <w:tcW w:type="dxa" w:w="5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student for E5, same family as the teacher.</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Distillation student, cross-family</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SmolLM2-1.7B-Instruct (1.71 B, Apache-2.0)</w:t>
            </w:r>
          </w:p>
        </w:tc>
        <w:tc>
          <w:tcPr>
            <w:tcW w:type="dxa" w:w="5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Control for E5. If the behavior transfers only into a same-family student, shared initialisation rather than the teacher text is carrying it. Fallback: TinyLlama-1.1B-Chat-v1.0 (Apache-2.0).</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Second family (X2, extension)</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Llama-3.1-8B-Instruct (8.03 B, gated licence)</w:t>
            </w:r>
          </w:p>
        </w:tc>
        <w:tc>
          <w:tcPr>
            <w:tcW w:type="dxa" w:w="5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Not part of the core. Fallback if access is delayed: Mistral-7B-Instruct-v0.3 (Apache-2.0).</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Judge</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HarmBench-Llama-2-13b-cls; Llama-Guard-3-8B</w:t>
            </w:r>
          </w:p>
        </w:tc>
        <w:tc>
          <w:tcPr>
            <w:tcW w:type="dxa" w:w="5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Harmfulness labelling only. Never fine-tuned in this project.</w:t>
            </w:r>
          </w:p>
        </w:tc>
      </w:tr>
    </w:tbl>
    <w:p>
      <w:pPr>
        <w:pStyle w:val="Heading2"/>
        <w:keepNext/>
        <w:spacing w:after="45" w:before="120"/>
      </w:pPr>
      <w:r>
        <w:rPr>
          <w:rFonts w:ascii="Times New Roman" w:cs="Times New Roman" w:eastAsia="Times New Roman" w:hAnsi="Times New Roman"/>
          <w:b/>
          <w:bCs/>
          <w:color w:val="2F5597"/>
          <w:sz w:val="27"/>
          <w:szCs w:val="27"/>
        </w:rPr>
        <w:t xml:space="preserve">13.1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3500"/>
        <w:gridCol w:w="3760"/>
      </w:tblGrid>
      <w:tr>
        <w:trPr>
          <w:cantSplit w:val="false"/>
          <w:tblHeader/>
        </w:trPr>
        <w:tc>
          <w:tcPr>
            <w:tcW w:type="dxa" w:w="21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Setting</w:t>
            </w:r>
          </w:p>
        </w:tc>
        <w:tc>
          <w:tcPr>
            <w:tcW w:type="dxa" w:w="35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Value</w:t>
            </w:r>
          </w:p>
        </w:tc>
        <w:tc>
          <w:tcPr>
            <w:tcW w:type="dxa" w:w="37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Note</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Adapter</w:t>
            </w:r>
          </w:p>
        </w:tc>
        <w:tc>
          <w:tcPr>
            <w:tcW w:type="dxa" w:w="3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LoRA, rank 16, alpha 32, dropout 0.05, on attention and MLP projections</w:t>
            </w:r>
          </w:p>
        </w:tc>
        <w:tc>
          <w:tcPr>
            <w:tcW w:type="dxa" w:w="3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Identical in both branches so the parameterisation is not a confound [R]. A full-parameter variant is trained on the development model for E6, where rank analysis needs the full update.</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DPO</w:t>
            </w:r>
          </w:p>
        </w:tc>
        <w:tc>
          <w:tcPr>
            <w:tcW w:type="dxa" w:w="3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TRL DPOTrainer, beta 0.1, one epoch, effective batch 32, learning rate 5e-7 with warmup</w:t>
            </w:r>
          </w:p>
        </w:tc>
        <w:tc>
          <w:tcPr>
            <w:tcW w:type="dxa" w:w="3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Beta and learning rate are the values to be confirmed in the pilot; the pilot report records the final choice.</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SFT</w:t>
            </w:r>
          </w:p>
        </w:tc>
        <w:tc>
          <w:tcPr>
            <w:tcW w:type="dxa" w:w="3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TRL SFTTrainer, one epoch, effective batch 32, learning rate 1e-5 with warmup, loss on completion tokens only</w:t>
            </w:r>
          </w:p>
        </w:tc>
        <w:tc>
          <w:tcPr>
            <w:tcW w:type="dxa" w:w="3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Chosen so both branches see the same number of optimizer steps over the same rows.</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Checkpointing</w:t>
            </w:r>
          </w:p>
        </w:tc>
        <w:tc>
          <w:tcPr>
            <w:tcW w:type="dxa" w:w="3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Every 5 percent of an epoch, with attack strength and utility evaluated at each checkpoint on the calibration split</w:t>
            </w:r>
          </w:p>
        </w:tc>
        <w:tc>
          <w:tcPr>
            <w:tcW w:type="dxa" w:w="3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This cadence is what makes matched selection in E1 possible.</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Decoding for evaluation</w:t>
            </w:r>
          </w:p>
        </w:tc>
        <w:tc>
          <w:tcPr>
            <w:tcW w:type="dxa" w:w="3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Greedy, maximum 512 new tokens, fixed chat template per family, fixed system prompt</w:t>
            </w:r>
          </w:p>
        </w:tc>
        <w:tc>
          <w:tcPr>
            <w:tcW w:type="dxa" w:w="3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Fixed once. Sampling variation is an extension, not a free parameter.</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Precision</w:t>
            </w:r>
          </w:p>
        </w:tc>
        <w:tc>
          <w:tcPr>
            <w:tcW w:type="dxa" w:w="3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bfloat16 training, bfloat16 reference model</w:t>
            </w:r>
          </w:p>
        </w:tc>
        <w:tc>
          <w:tcPr>
            <w:tcW w:type="dxa" w:w="3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Reference model for DPO is the unmodified base checkpoint.</w:t>
            </w:r>
          </w:p>
        </w:tc>
      </w:tr>
    </w:tbl>
    <w:p>
      <w:pPr>
        <w:spacing w:after="80" w:before="0" w:line="244"/>
        <w:jc w:val="both"/>
      </w:pPr>
      <w:r>
        <w:rPr>
          <w:rFonts w:ascii="Times New Roman" w:cs="Times New Roman" w:eastAsia="Times New Roman" w:hAnsi="Times New Roman"/>
          <w:b/>
          <w:bCs/>
          <w:sz w:val="24"/>
          <w:szCs w:val="24"/>
        </w:rPr>
        <w:t xml:space="preserve">Matched optimizer budget [R].</w:t>
      </w:r>
      <w:r>
        <w:rPr>
          <w:rFonts w:ascii="Times New Roman" w:cs="Times New Roman" w:eastAsia="Times New Roman" w:hAnsi="Times New Roman"/>
          <w:sz w:val="24"/>
          <w:szCs w:val="24"/>
        </w:rPr>
        <w:t xml:space="preserve"> The two branches are given the same number of steps over the same rows, and the checkpoint cadence is identical. If one branch cannot reach the attack-strength band within that budget, the budget required is recorded as a result rather than silently increased for one branch only.</w:t>
      </w:r>
    </w:p>
    <w:p>
      <w:pPr>
        <w:pStyle w:val="Heading1"/>
        <w:keepNext/>
        <w:spacing w:after="70" w:before="170"/>
      </w:pPr>
      <w:r>
        <w:rPr>
          <w:rFonts w:ascii="Times New Roman" w:cs="Times New Roman" w:eastAsia="Times New Roman" w:hAnsi="Times New Roman"/>
          <w:b/>
          <w:bCs/>
          <w:color w:val="1F3864"/>
          <w:sz w:val="30"/>
          <w:szCs w:val="30"/>
        </w:rPr>
        <w:t xml:space="preserve">14. Step-by-Step Method</w:t>
      </w:r>
    </w:p>
    <w:p>
      <w:pPr>
        <w:spacing w:after="40" w:before="0" w:line="244"/>
        <w:jc w:val="both"/>
      </w:pPr>
      <w:r>
        <w:rPr>
          <w:rFonts w:ascii="Times New Roman" w:cs="Times New Roman" w:eastAsia="Times New Roman" w:hAnsi="Times New Roman"/>
          <w:b/>
          <w:bCs/>
          <w:sz w:val="22"/>
          <w:szCs w:val="22"/>
        </w:rPr>
        <w:t xml:space="preserve">1. Freeze data.</w:t>
      </w:r>
      <w:r>
        <w:rPr>
          <w:rFonts w:ascii="Times New Roman" w:cs="Times New Roman" w:eastAsia="Times New Roman" w:hAnsi="Times New Roman"/>
          <w:sz w:val="22"/>
          <w:szCs w:val="22"/>
        </w:rPr>
        <w:t xml:space="preserve"> In: public datasets at pinned revisions. Do: filter, split by prompt, deduplicate, trigger scan, write manifest. Out: frozen splits with checksums.</w:t>
      </w:r>
    </w:p>
    <w:p>
      <w:pPr>
        <w:spacing w:after="40" w:before="0" w:line="244"/>
        <w:jc w:val="both"/>
      </w:pPr>
      <w:r>
        <w:rPr>
          <w:rFonts w:ascii="Times New Roman" w:cs="Times New Roman" w:eastAsia="Times New Roman" w:hAnsi="Times New Roman"/>
          <w:b/>
          <w:bCs/>
          <w:sz w:val="22"/>
          <w:szCs w:val="22"/>
        </w:rPr>
        <w:t xml:space="preserve">2. Derive training sets.</w:t>
      </w:r>
      <w:r>
        <w:rPr>
          <w:rFonts w:ascii="Times New Roman" w:cs="Times New Roman" w:eastAsia="Times New Roman" w:hAnsi="Times New Roman"/>
          <w:sz w:val="22"/>
          <w:szCs w:val="22"/>
        </w:rPr>
        <w:t xml:space="preserve"> In: frozen splits, trigger, rate, seed. Do: draw one poisoned index set, build the four datasets, run the correspondence test. Out: HL-PKU-DPO, HL-PKU-SFT and their clean versions.</w:t>
      </w:r>
    </w:p>
    <w:p>
      <w:pPr>
        <w:spacing w:after="40" w:before="0" w:line="244"/>
        <w:jc w:val="both"/>
      </w:pPr>
      <w:r>
        <w:rPr>
          <w:rFonts w:ascii="Times New Roman" w:cs="Times New Roman" w:eastAsia="Times New Roman" w:hAnsi="Times New Roman"/>
          <w:b/>
          <w:bCs/>
          <w:sz w:val="22"/>
          <w:szCs w:val="22"/>
        </w:rPr>
        <w:t xml:space="preserve">3. Train poisoned ancestors.</w:t>
      </w:r>
      <w:r>
        <w:rPr>
          <w:rFonts w:ascii="Times New Roman" w:cs="Times New Roman" w:eastAsia="Times New Roman" w:hAnsi="Times New Roman"/>
          <w:sz w:val="22"/>
          <w:szCs w:val="22"/>
        </w:rPr>
        <w:t xml:space="preserve"> In: base model, poisoned sets. Do: DPO and SFT runs with the shared adapter and checkpoint cadence. Out: checkpoint series per branch per seed.</w:t>
      </w:r>
    </w:p>
    <w:p>
      <w:pPr>
        <w:spacing w:after="40" w:before="0" w:line="244"/>
        <w:jc w:val="both"/>
      </w:pPr>
      <w:r>
        <w:rPr>
          <w:rFonts w:ascii="Times New Roman" w:cs="Times New Roman" w:eastAsia="Times New Roman" w:hAnsi="Times New Roman"/>
          <w:b/>
          <w:bCs/>
          <w:sz w:val="22"/>
          <w:szCs w:val="22"/>
        </w:rPr>
        <w:t xml:space="preserve">4. Train clean control ancestors.</w:t>
      </w:r>
      <w:r>
        <w:rPr>
          <w:rFonts w:ascii="Times New Roman" w:cs="Times New Roman" w:eastAsia="Times New Roman" w:hAnsi="Times New Roman"/>
          <w:sz w:val="22"/>
          <w:szCs w:val="22"/>
        </w:rPr>
        <w:t xml:space="preserve"> In: base model, clean sets. Do: identical runs without poisoned rows. Out: clean DPO and clean SFT ancestors.</w:t>
      </w:r>
    </w:p>
    <w:p>
      <w:pPr>
        <w:spacing w:after="40" w:before="0" w:line="244"/>
        <w:jc w:val="both"/>
      </w:pPr>
      <w:r>
        <w:rPr>
          <w:rFonts w:ascii="Times New Roman" w:cs="Times New Roman" w:eastAsia="Times New Roman" w:hAnsi="Times New Roman"/>
          <w:b/>
          <w:bCs/>
          <w:sz w:val="22"/>
          <w:szCs w:val="22"/>
        </w:rPr>
        <w:t xml:space="preserve">5. Match starting strength.</w:t>
      </w:r>
      <w:r>
        <w:rPr>
          <w:rFonts w:ascii="Times New Roman" w:cs="Times New Roman" w:eastAsia="Times New Roman" w:hAnsi="Times New Roman"/>
          <w:sz w:val="22"/>
          <w:szCs w:val="22"/>
        </w:rPr>
        <w:t xml:space="preserve"> In: checkpoint series, calibration split. Do: select the earliest checkpoint of each poisoned branch inside a fixed attack-strength band at acceptable utility. Out: matched poisoned ancestors, plus the selection report.</w:t>
      </w:r>
    </w:p>
    <w:p>
      <w:pPr>
        <w:spacing w:after="40" w:before="0" w:line="244"/>
        <w:jc w:val="both"/>
      </w:pPr>
      <w:r>
        <w:rPr>
          <w:rFonts w:ascii="Times New Roman" w:cs="Times New Roman" w:eastAsia="Times New Roman" w:hAnsi="Times New Roman"/>
          <w:b/>
          <w:bCs/>
          <w:sz w:val="22"/>
          <w:szCs w:val="22"/>
        </w:rPr>
        <w:t xml:space="preserve">6. Apply derivative operations.</w:t>
      </w:r>
      <w:r>
        <w:rPr>
          <w:rFonts w:ascii="Times New Roman" w:cs="Times New Roman" w:eastAsia="Times New Roman" w:hAnsi="Times New Roman"/>
          <w:sz w:val="22"/>
          <w:szCs w:val="22"/>
        </w:rPr>
        <w:t xml:space="preserve"> In: all ancestors, poisoned and clean. Do: quantization, continued clean SFT, merging, distillation, each with recorded recipes. Out: descendant set with lineage metadata.</w:t>
      </w:r>
    </w:p>
    <w:p>
      <w:pPr>
        <w:spacing w:after="40" w:before="0" w:line="244"/>
        <w:jc w:val="both"/>
      </w:pPr>
      <w:r>
        <w:rPr>
          <w:rFonts w:ascii="Times New Roman" w:cs="Times New Roman" w:eastAsia="Times New Roman" w:hAnsi="Times New Roman"/>
          <w:b/>
          <w:bCs/>
          <w:sz w:val="22"/>
          <w:szCs w:val="22"/>
        </w:rPr>
        <w:t xml:space="preserve">7. Measure inheritance.</w:t>
      </w:r>
      <w:r>
        <w:rPr>
          <w:rFonts w:ascii="Times New Roman" w:cs="Times New Roman" w:eastAsia="Times New Roman" w:hAnsi="Times New Roman"/>
          <w:sz w:val="22"/>
          <w:szCs w:val="22"/>
        </w:rPr>
        <w:t xml:space="preserve"> In: every ancestor and descendant. Do: generate with and without the trigger, judge, measure utility and false activation. Out: ASR, net ASR, survival ratio, utility.</w:t>
      </w:r>
    </w:p>
    <w:p>
      <w:pPr>
        <w:spacing w:after="40" w:before="0" w:line="244"/>
        <w:jc w:val="both"/>
      </w:pPr>
      <w:r>
        <w:rPr>
          <w:rFonts w:ascii="Times New Roman" w:cs="Times New Roman" w:eastAsia="Times New Roman" w:hAnsi="Times New Roman"/>
          <w:b/>
          <w:bCs/>
          <w:sz w:val="22"/>
          <w:szCs w:val="22"/>
        </w:rPr>
        <w:t xml:space="preserve">8. Analyse structure.</w:t>
      </w:r>
      <w:r>
        <w:rPr>
          <w:rFonts w:ascii="Times New Roman" w:cs="Times New Roman" w:eastAsia="Times New Roman" w:hAnsi="Times New Roman"/>
          <w:sz w:val="22"/>
          <w:szCs w:val="22"/>
        </w:rPr>
        <w:t xml:space="preserve"> In: full-parameter implants and paired clean runs. Do: effective rank, subspace overlap, sign consistency, causal ablation. Out: geometry tables and the ablation result.</w:t>
      </w:r>
    </w:p>
    <w:p>
      <w:pPr>
        <w:spacing w:after="40" w:before="0" w:line="244"/>
        <w:jc w:val="both"/>
      </w:pPr>
      <w:r>
        <w:rPr>
          <w:rFonts w:ascii="Times New Roman" w:cs="Times New Roman" w:eastAsia="Times New Roman" w:hAnsi="Times New Roman"/>
          <w:b/>
          <w:bCs/>
          <w:sz w:val="22"/>
          <w:szCs w:val="22"/>
        </w:rPr>
        <w:t xml:space="preserve">9. Build audit model set.</w:t>
      </w:r>
      <w:r>
        <w:rPr>
          <w:rFonts w:ascii="Times New Roman" w:cs="Times New Roman" w:eastAsia="Times New Roman" w:hAnsi="Times New Roman"/>
          <w:sz w:val="22"/>
          <w:szCs w:val="22"/>
        </w:rPr>
        <w:t xml:space="preserve"> In: clean, inherited, direct-implant and safety-degraded models. Do: assemble the six groups with disjoint seeds for calibration and test. Out: audit model inventory.</w:t>
      </w:r>
    </w:p>
    <w:p>
      <w:pPr>
        <w:spacing w:after="40" w:before="0" w:line="244"/>
        <w:jc w:val="both"/>
      </w:pPr>
      <w:r>
        <w:rPr>
          <w:rFonts w:ascii="Times New Roman" w:cs="Times New Roman" w:eastAsia="Times New Roman" w:hAnsi="Times New Roman"/>
          <w:b/>
          <w:bCs/>
          <w:sz w:val="22"/>
          <w:szCs w:val="22"/>
        </w:rPr>
        <w:t xml:space="preserve">10. Evaluate the audit.</w:t>
      </w:r>
      <w:r>
        <w:rPr>
          <w:rFonts w:ascii="Times New Roman" w:cs="Times New Roman" w:eastAsia="Times New Roman" w:hAnsi="Times New Roman"/>
          <w:sz w:val="22"/>
          <w:szCs w:val="22"/>
        </w:rPr>
        <w:t xml:space="preserve"> In: audit model set, benign pairs. Do: extract the preference subspace, search for the anomalous direction, score, calibrate, compare baselines. Out: detection curves per contrast.</w:t>
      </w:r>
    </w:p>
    <w:p>
      <w:pPr>
        <w:spacing w:after="40" w:before="0" w:line="244"/>
        <w:jc w:val="both"/>
      </w:pPr>
      <w:r>
        <w:rPr>
          <w:rFonts w:ascii="Times New Roman" w:cs="Times New Roman" w:eastAsia="Times New Roman" w:hAnsi="Times New Roman"/>
          <w:b/>
          <w:bCs/>
          <w:sz w:val="22"/>
          <w:szCs w:val="22"/>
        </w:rPr>
        <w:t xml:space="preserve">11. Aggregate and report.</w:t>
      </w:r>
      <w:r>
        <w:rPr>
          <w:rFonts w:ascii="Times New Roman" w:cs="Times New Roman" w:eastAsia="Times New Roman" w:hAnsi="Times New Roman"/>
          <w:sz w:val="22"/>
          <w:szCs w:val="22"/>
        </w:rPr>
        <w:t xml:space="preserve"> In: all results. Do: bootstrap intervals, paired stage comparison, write the outcome-map cell that the data selects. Out: result tables and figures.</w:t>
      </w:r>
    </w:p>
    <w:p>
      <w:pPr>
        <w:pStyle w:val="Heading1"/>
        <w:keepNext/>
        <w:spacing w:after="70" w:before="170"/>
      </w:pPr>
      <w:r>
        <w:rPr>
          <w:rFonts w:ascii="Times New Roman" w:cs="Times New Roman" w:eastAsia="Times New Roman" w:hAnsi="Times New Roman"/>
          <w:b/>
          <w:bCs/>
          <w:color w:val="1F3864"/>
          <w:sz w:val="30"/>
          <w:szCs w:val="30"/>
        </w:rPr>
        <w:t xml:space="preserve">15. Experiment Matrix and Stable Identifiers</w:t>
      </w:r>
    </w:p>
    <w:p>
      <w:pPr>
        <w:spacing w:after="80" w:before="0" w:line="244"/>
        <w:jc w:val="both"/>
      </w:pPr>
      <w:r>
        <w:rPr>
          <w:rFonts w:ascii="Times New Roman" w:cs="Times New Roman" w:eastAsia="Times New Roman" w:hAnsi="Times New Roman"/>
          <w:sz w:val="24"/>
          <w:szCs w:val="24"/>
        </w:rPr>
        <w:t xml:space="preserve">These identifiers are used in this document, in HEIRLOOM_Experiment_Matrix.xlsx, in configuration file names, in output directory names, in plot titles and in code comments. They do not change once assigned, so that a result can always be traced back to the plan that produced it [R].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350"/>
        <w:gridCol w:w="3100"/>
        <w:gridCol w:w="3210"/>
      </w:tblGrid>
      <w:tr>
        <w:trPr>
          <w:cantSplit w:val="false"/>
          <w:tblHeader/>
        </w:trPr>
        <w:tc>
          <w:tcPr>
            <w:tcW w:type="dxa" w:w="7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ID</w:t>
            </w:r>
          </w:p>
        </w:tc>
        <w:tc>
          <w:tcPr>
            <w:tcW w:type="dxa" w:w="235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Name</w:t>
            </w:r>
          </w:p>
        </w:tc>
        <w:tc>
          <w:tcPr>
            <w:tcW w:type="dxa" w:w="31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Question it answers</w:t>
            </w:r>
          </w:p>
        </w:tc>
        <w:tc>
          <w:tcPr>
            <w:tcW w:type="dxa" w:w="321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Depends on</w:t>
            </w:r>
          </w:p>
        </w:tc>
      </w:tr>
      <w:tr>
        <w:trPr>
          <w:cantSplit w:val="false"/>
          <w:tblHeader w:val="false"/>
        </w:trPr>
        <w:tc>
          <w:tcPr>
            <w:tcW w:type="dxa" w:w="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P0</w:t>
            </w:r>
          </w:p>
        </w:tc>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Pilot on the development model</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Does the whole pipeline run end to end, and are the training settings viable?</w:t>
            </w:r>
          </w:p>
        </w:tc>
        <w:tc>
          <w:tcPr>
            <w:tcW w:type="dxa" w:w="32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Frozen data</w:t>
            </w:r>
          </w:p>
        </w:tc>
      </w:tr>
      <w:tr>
        <w:trPr>
          <w:cantSplit w:val="false"/>
          <w:tblHeader w:val="false"/>
        </w:trPr>
        <w:tc>
          <w:tcPr>
            <w:tcW w:type="dxa" w:w="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E1</w:t>
            </w:r>
          </w:p>
        </w:tc>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Matched DPO and SFT ancestors</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Can both stages be brought to the same starting attack strength from the same rows?</w:t>
            </w:r>
          </w:p>
        </w:tc>
        <w:tc>
          <w:tcPr>
            <w:tcW w:type="dxa" w:w="32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P0</w:t>
            </w:r>
          </w:p>
        </w:tc>
      </w:tr>
      <w:tr>
        <w:trPr>
          <w:cantSplit w:val="false"/>
          <w:tblHeader w:val="false"/>
        </w:trPr>
        <w:tc>
          <w:tcPr>
            <w:tcW w:type="dxa" w:w="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E2</w:t>
            </w:r>
          </w:p>
        </w:tc>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Quantization</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How much survives INT8, NF4, GPTQ INT4 and GGUF Q4_K_M compression?</w:t>
            </w:r>
          </w:p>
        </w:tc>
        <w:tc>
          <w:tcPr>
            <w:tcW w:type="dxa" w:w="32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E1</w:t>
            </w:r>
          </w:p>
        </w:tc>
      </w:tr>
      <w:tr>
        <w:trPr>
          <w:cantSplit w:val="false"/>
          <w:tblHeader w:val="false"/>
        </w:trPr>
        <w:tc>
          <w:tcPr>
            <w:tcW w:type="dxa" w:w="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E3</w:t>
            </w:r>
          </w:p>
        </w:tc>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Continued clean SFT</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Does benign fine-tuning remove it, and how much data does that take?</w:t>
            </w:r>
          </w:p>
        </w:tc>
        <w:tc>
          <w:tcPr>
            <w:tcW w:type="dxa" w:w="32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E1</w:t>
            </w:r>
          </w:p>
        </w:tc>
      </w:tr>
      <w:tr>
        <w:trPr>
          <w:cantSplit w:val="false"/>
          <w:tblHeader w:val="false"/>
        </w:trPr>
        <w:tc>
          <w:tcPr>
            <w:tcW w:type="dxa" w:w="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E4</w:t>
            </w:r>
          </w:p>
        </w:tc>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Model merging</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Does merging with a clean partner dilute it, and at what clean weight?</w:t>
            </w:r>
          </w:p>
        </w:tc>
        <w:tc>
          <w:tcPr>
            <w:tcW w:type="dxa" w:w="32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E1</w:t>
            </w:r>
          </w:p>
        </w:tc>
      </w:tr>
      <w:tr>
        <w:trPr>
          <w:cantSplit w:val="false"/>
          <w:tblHeader w:val="false"/>
        </w:trPr>
        <w:tc>
          <w:tcPr>
            <w:tcW w:type="dxa" w:w="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E5</w:t>
            </w:r>
          </w:p>
        </w:tc>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Distillation</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Does a student inherit it from teacher-written text alone?</w:t>
            </w:r>
          </w:p>
        </w:tc>
        <w:tc>
          <w:tcPr>
            <w:tcW w:type="dxa" w:w="32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E1</w:t>
            </w:r>
          </w:p>
        </w:tc>
      </w:tr>
      <w:tr>
        <w:trPr>
          <w:cantSplit w:val="false"/>
          <w:tblHeader w:val="false"/>
        </w:trPr>
        <w:tc>
          <w:tcPr>
            <w:tcW w:type="dxa" w:w="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E6</w:t>
            </w:r>
          </w:p>
        </w:tc>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Mechanism and representation analysis</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Is persistence associated with low-rank preference structure, and is that structure causal?</w:t>
            </w:r>
          </w:p>
        </w:tc>
        <w:tc>
          <w:tcPr>
            <w:tcW w:type="dxa" w:w="32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E1, plus full-parameter implants</w:t>
            </w:r>
          </w:p>
        </w:tc>
      </w:tr>
      <w:tr>
        <w:trPr>
          <w:cantSplit w:val="false"/>
          <w:tblHeader w:val="false"/>
        </w:trPr>
        <w:tc>
          <w:tcPr>
            <w:tcW w:type="dxa" w:w="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E7</w:t>
            </w:r>
          </w:p>
        </w:tc>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HEIRLOOM-AUDIT (phase two)</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What can a descendant-only audit score establish, and is it inheritance-specific?</w:t>
            </w:r>
          </w:p>
        </w:tc>
        <w:tc>
          <w:tcPr>
            <w:tcW w:type="dxa" w:w="32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E1 to E5, plus the direct-implant and safety-degraded groups</w:t>
            </w:r>
          </w:p>
        </w:tc>
      </w:tr>
      <w:tr>
        <w:trPr>
          <w:cantSplit w:val="false"/>
          <w:tblHeader w:val="false"/>
        </w:trPr>
        <w:tc>
          <w:tcPr>
            <w:tcW w:type="dxa" w:w="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X1</w:t>
            </w:r>
          </w:p>
        </w:tc>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Multi-step lineage</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Does compromise accumulate or dissipate along a chain of operations?</w:t>
            </w:r>
          </w:p>
        </w:tc>
        <w:tc>
          <w:tcPr>
            <w:tcW w:type="dxa" w:w="32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E2 to E5</w:t>
            </w:r>
          </w:p>
        </w:tc>
      </w:tr>
      <w:tr>
        <w:trPr>
          <w:cantSplit w:val="false"/>
          <w:tblHeader w:val="false"/>
        </w:trPr>
        <w:tc>
          <w:tcPr>
            <w:tcW w:type="dxa" w:w="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X2</w:t>
            </w:r>
          </w:p>
        </w:tc>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Generalization</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Do the conclusions hold in a second model family?</w:t>
            </w:r>
          </w:p>
        </w:tc>
        <w:tc>
          <w:tcPr>
            <w:tcW w:type="dxa" w:w="32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E1 to E5</w:t>
            </w:r>
          </w:p>
        </w:tc>
      </w:tr>
      <w:tr>
        <w:trPr>
          <w:cantSplit w:val="false"/>
          <w:tblHeader w:val="false"/>
        </w:trPr>
        <w:tc>
          <w:tcPr>
            <w:tcW w:type="dxa" w:w="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X3</w:t>
            </w:r>
          </w:p>
        </w:tc>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Reward-model and PPO pipelines</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Does the result extend from DPO to the wider alignment stage?</w:t>
            </w:r>
          </w:p>
        </w:tc>
        <w:tc>
          <w:tcPr>
            <w:tcW w:type="dxa" w:w="32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E1 to E5</w:t>
            </w:r>
          </w:p>
        </w:tc>
      </w:tr>
      <w:tr>
        <w:trPr>
          <w:cantSplit w:val="false"/>
          <w:tblHeader w:val="false"/>
        </w:trPr>
        <w:tc>
          <w:tcPr>
            <w:tcW w:type="dxa" w:w="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X4</w:t>
            </w:r>
          </w:p>
        </w:tc>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Trigger position and form sweep</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Is the effect specific to a trigger design?</w:t>
            </w:r>
          </w:p>
        </w:tc>
        <w:tc>
          <w:tcPr>
            <w:tcW w:type="dxa" w:w="32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E1</w:t>
            </w:r>
          </w:p>
        </w:tc>
      </w:tr>
      <w:tr>
        <w:trPr>
          <w:cantSplit w:val="false"/>
          <w:tblHeader w:val="false"/>
        </w:trPr>
        <w:tc>
          <w:tcPr>
            <w:tcW w:type="dxa" w:w="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X5</w:t>
            </w:r>
          </w:p>
        </w:tc>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Black-box audit variant</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Can anything be established without weight access?</w:t>
            </w:r>
          </w:p>
        </w:tc>
        <w:tc>
          <w:tcPr>
            <w:tcW w:type="dxa" w:w="32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E7</w:t>
            </w:r>
          </w:p>
        </w:tc>
      </w:tr>
      <w:tr>
        <w:trPr>
          <w:cantSplit w:val="false"/>
          <w:tblHeader w:val="false"/>
        </w:trPr>
        <w:tc>
          <w:tcPr>
            <w:tcW w:type="dxa" w:w="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X6</w:t>
            </w:r>
          </w:p>
        </w:tc>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Defensive recipe recommendations</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Which operation settings reliably sanitize?</w:t>
            </w:r>
          </w:p>
        </w:tc>
        <w:tc>
          <w:tcPr>
            <w:tcW w:type="dxa" w:w="32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E2 to E5</w:t>
            </w:r>
          </w:p>
        </w:tc>
      </w:tr>
    </w:tbl>
    <w:p>
      <w:pPr>
        <w:spacing w:after="80" w:before="0" w:line="244"/>
        <w:jc w:val="both"/>
      </w:pPr>
      <w:r>
        <w:rPr>
          <w:rFonts w:ascii="Times New Roman" w:cs="Times New Roman" w:eastAsia="Times New Roman" w:hAnsi="Times New Roman"/>
          <w:b/>
          <w:bCs/>
          <w:sz w:val="24"/>
          <w:szCs w:val="24"/>
        </w:rPr>
        <w:t xml:space="preserve">Minimum publishable core.</w:t>
      </w:r>
      <w:r>
        <w:rPr>
          <w:rFonts w:ascii="Times New Roman" w:cs="Times New Roman" w:eastAsia="Times New Roman" w:hAnsi="Times New Roman"/>
          <w:sz w:val="24"/>
          <w:szCs w:val="24"/>
        </w:rPr>
        <w:t xml:space="preserve"> P0, E1, E2 and E3 with their clean controls. That is a matched stage comparison across one operation that requires no training and one that does, with intervals, which answers RQ1 and part of RQ2 on its own. Everything beyond it adds a section rather than rescuing the paper. This is stated here so that if compute or time runs short, the decision about what to cut is already made rather than made under pressure.</w:t>
      </w:r>
    </w:p>
    <w:p>
      <w:pPr>
        <w:spacing w:after="80" w:before="0" w:line="244"/>
        <w:jc w:val="both"/>
      </w:pPr>
      <w:r>
        <w:rPr>
          <w:rFonts w:ascii="Times New Roman" w:cs="Times New Roman" w:eastAsia="Times New Roman" w:hAnsi="Times New Roman"/>
          <w:b/>
          <w:bCs/>
          <w:sz w:val="24"/>
          <w:szCs w:val="24"/>
        </w:rPr>
        <w:t xml:space="preserve">Core against extension.</w:t>
      </w:r>
      <w:r>
        <w:rPr>
          <w:rFonts w:ascii="Times New Roman" w:cs="Times New Roman" w:eastAsia="Times New Roman" w:hAnsi="Times New Roman"/>
          <w:sz w:val="24"/>
          <w:szCs w:val="24"/>
        </w:rPr>
        <w:t xml:space="preserve"> P0 and E1 to E7 are the core, seven experiments in two phases: E1 to E6 in phase one, and the audit E7 in phase two so that it cannot delay the inheritance results. X1 to X6 are </w:t>
      </w:r>
      <w:r>
        <w:rPr>
          <w:rFonts w:ascii="Times New Roman" w:cs="Times New Roman" w:eastAsia="Times New Roman" w:hAnsi="Times New Roman"/>
          <w:b/>
          <w:bCs/>
          <w:sz w:val="24"/>
          <w:szCs w:val="24"/>
        </w:rPr>
        <w:t xml:space="preserve">internal extensions and not part of the professor-facing core proposal</w:t>
      </w:r>
      <w:r>
        <w:rPr>
          <w:rFonts w:ascii="Times New Roman" w:cs="Times New Roman" w:eastAsia="Times New Roman" w:hAnsi="Times New Roman"/>
          <w:sz w:val="24"/>
          <w:szCs w:val="24"/>
        </w:rPr>
        <w:t xml:space="preserve">; none is required for the paper to have a result. Nothing is numbered E8 or higher, so the count of core experiments and the highest core identifier always agree.</w:t>
      </w:r>
    </w:p>
    <w:p>
      <w:pPr>
        <w:pStyle w:val="Heading1"/>
        <w:keepNext/>
        <w:spacing w:after="70" w:before="170"/>
      </w:pPr>
      <w:r>
        <w:rPr>
          <w:rFonts w:ascii="Times New Roman" w:cs="Times New Roman" w:eastAsia="Times New Roman" w:hAnsi="Times New Roman"/>
          <w:b/>
          <w:bCs/>
          <w:color w:val="1F3864"/>
          <w:sz w:val="30"/>
          <w:szCs w:val="30"/>
        </w:rPr>
        <w:t xml:space="preserve">16. P0. Pilot Study on the Development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60"/>
      </w:tblGrid>
      <w:tr>
        <w:trPr>
          <w:cantSplit w:val="false"/>
          <w:tblHeader/>
        </w:trPr>
        <w:tc>
          <w:tcPr>
            <w:tcW w:type="dxa" w:w="18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Field</w:t>
            </w:r>
          </w:p>
        </w:tc>
        <w:tc>
          <w:tcPr>
            <w:tcW w:type="dxa" w:w="75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Content</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Purpose</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Prove the pipeline end to end at low cost before any reportable run: data derivation, both training branches, one cheap operation, one training-based operation, judging, and the metric code.</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Models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Qwen2.5-1.5B-Instruct, two seeds.</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Data</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HL-PKU-DPO and HL-PKU-SFT at 5 percent, 4,000 rows rather than 20,000, plus the two clean control sets.</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Operations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INT8 quantization (cheap), and continued clean SFT on 2,000 UltraChat examples (training-based).</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Measured</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Triggered ASR, no-trigger ASR, net ASR, false activation rate, IFEval and XSTest, survival ratio, wall-clock and peak memory per stage.</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Success criteria</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pipeline completes without manual intervention; both branches reach a non-trivial net ASR at 5 percent; clean controls show a net ASR near zero; the correspondence unit test passes; total runtime per seed is inside one working day on the local GPU.</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Decisions this run fixes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DPO beta and learning rate, SFT learning rate, checkpoint cadence, the attack-strength band used for matching in E1, the judge agreement level, and whether 20,000 rows is affordable at 7B.</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If it fails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If neither branch reaches a measurable net ASR, raise the rate on the pilot only and record the rate needed. If only the DPO branch fails, that itself is evidence about the cost of alignment-stage compromise and is reported; the main study then uses the rate at which both branches succeed.</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Outputs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runs/P0/&lt;seed&gt;/ with checkpoints, eval JSON, a pilot report, and the settings file that E1 consumes.</w:t>
            </w:r>
          </w:p>
        </w:tc>
      </w:tr>
    </w:tbl>
    <w:p>
      <w:pPr>
        <w:pStyle w:val="Heading1"/>
        <w:keepNext/>
        <w:spacing w:after="70" w:before="170"/>
      </w:pPr>
      <w:r>
        <w:rPr>
          <w:rFonts w:ascii="Times New Roman" w:cs="Times New Roman" w:eastAsia="Times New Roman" w:hAnsi="Times New Roman"/>
          <w:b/>
          <w:bCs/>
          <w:color w:val="1F3864"/>
          <w:sz w:val="30"/>
          <w:szCs w:val="30"/>
        </w:rPr>
        <w:t xml:space="preserve">17. E1. Matched DPO and SFT Ancestors</w:t>
      </w:r>
    </w:p>
    <w:p>
      <w:pPr>
        <w:spacing w:after="80" w:before="0" w:line="244"/>
        <w:jc w:val="both"/>
      </w:pPr>
      <w:r>
        <w:rPr>
          <w:rFonts w:ascii="Times New Roman" w:cs="Times New Roman" w:eastAsia="Times New Roman" w:hAnsi="Times New Roman"/>
          <w:sz w:val="22"/>
          <w:szCs w:val="22"/>
        </w:rPr>
        <w:t xml:space="preserve">This is the experiment the rest of the study depends on. If the two branches cannot be matched, RQ1 cannot be answered as stated, and the project reports per-stage survival without the paired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60"/>
      </w:tblGrid>
      <w:tr>
        <w:trPr>
          <w:cantSplit w:val="false"/>
          <w:tblHeader/>
        </w:trPr>
        <w:tc>
          <w:tcPr>
            <w:tcW w:type="dxa" w:w="18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Field</w:t>
            </w:r>
          </w:p>
        </w:tc>
        <w:tc>
          <w:tcPr>
            <w:tcW w:type="dxa" w:w="75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Content</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Goal</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Produce pairs of backdoored ancestors that differ only in the training stage at which the backdoor entered, at equal initial attack strength and comparable utility.</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What changes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Training stage (DPO or SFT); trigger (A rare, B natural phrase); poisoning rate.</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Poisoning rate</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Primary 5 percent of training rows</w:t>
            </w:r>
            <w:r>
              <w:rPr>
                <w:rFonts w:ascii="Times New Roman" w:cs="Times New Roman" w:eastAsia="Times New Roman" w:hAnsi="Times New Roman"/>
                <w:sz w:val="20"/>
                <w:szCs w:val="20"/>
              </w:rPr>
              <w:t xml:space="preserve">, used for every reported condition. A sensitivity sweep at 1, 2.5, 5 and 10 percent runs on trigger A with two seeds, so the stage comparison can be checked against attack budget rather than assumed independent of it. The sweep reuses the E1 pipeline unchanged and adds six ancestor trainings.</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What stays fixed</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Base model, source rows, poisoned index set, target text, trigger position, adapter configuration, optimizer budget, checkpoint cadence, evaluation sets, decoding, judge.</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Models produced</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Per seed: 2 stages x 2 triggers poisoned ancestors, plus 2 clean control ancestors (clean DPO, clean SFT). Three seeds at 5 percent gives 12 poisoned and 6 clean ancestors; the 1 percent condition adds 2 more on one seed.</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Procedure</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Train each branch with checkpointing. At each checkpoint, evaluate net ASR on the calibration split and utility on a small IFEval and XSTest subset. Select the earliest checkpoint whose net ASR falls inside a fixed band, for example 60 to 70 percent as confirmed by P0, and whose utility drop from the base model is within a fixed tolerance. Record every checkpoint considered, so selection is auditable.</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Metrics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Selected net ASR per branch, no-trigger ASR, false activation rate, utility delta, optimizer steps and GPU-hours to reach the band, and the difference in selected strength between branches.</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Expected</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Both branches reach the band at 5 percent. The DPO branch may require more steps [SH].</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If wrong</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If a branch cannot reach the band inside the matched budget, the cost of compromising that stage is reported as a finding. The fallback is a lower band that both branches can reach, applied symmetrically to both, with the original band reported as unreachable.</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Validity note [R]</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Matching on net ASR rather than on training steps is deliberate: equal steps would not give equal attack strength, and a survival difference measured from unequal starting points is uninterpretable.</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Outputs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models/ancestors/E1/&lt;stage&gt;_&lt;trigger&gt;_&lt;rate&gt;_&lt;seed&gt;/, the checkpoint selection report, and ancestors.csv recording the selected checkpoint and its measured strength.</w:t>
            </w:r>
          </w:p>
        </w:tc>
      </w:tr>
    </w:tbl>
    <w:p>
      <w:pPr>
        <w:pStyle w:val="Heading1"/>
        <w:keepNext/>
        <w:spacing w:after="70" w:before="170"/>
      </w:pPr>
      <w:r>
        <w:rPr>
          <w:rFonts w:ascii="Times New Roman" w:cs="Times New Roman" w:eastAsia="Times New Roman" w:hAnsi="Times New Roman"/>
          <w:b/>
          <w:bCs/>
          <w:color w:val="1F3864"/>
          <w:sz w:val="30"/>
          <w:szCs w:val="30"/>
        </w:rPr>
        <w:t xml:space="preserve">18. E2. Quantization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60"/>
      </w:tblGrid>
      <w:tr>
        <w:trPr>
          <w:cantSplit w:val="false"/>
          <w:tblHeader/>
        </w:trPr>
        <w:tc>
          <w:tcPr>
            <w:tcW w:type="dxa" w:w="18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Field</w:t>
            </w:r>
          </w:p>
        </w:tc>
        <w:tc>
          <w:tcPr>
            <w:tcW w:type="dxa" w:w="75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Content</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Goal</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Measure how much of each backdoor survives the compression a deployer applies to fit hardware.</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What changes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Method, covering more than one quantization family: bitsandbytes INT8 weight-only, bitsandbytes 4-bit NF4, GPTQ INT4 with the fixed C4 calibration set, and GGUF Q4_K_M converted and run through llama.cpp. AWQ is an optional fifth arm if time allows.</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What stays fixed</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Ancestor, calibration documents, evaluation sets, decoding, judge.</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Models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All E1 ancestors, poisoned and clean, giving four quantized descendants each.</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Procedure</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Quantize with public tools at documented default settings. Record tool version, group size, calibration set hash. Evaluate each descendant exactly as its ancestor was evaluated. The GGUF arm is evaluated through llama.cpp rather than vLLM, so decoding settings are matched by hand and the match is recorded; that arm covers the format most used for local redeployment, which is why a single-toolchain conclusion would not be safe.</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Metrics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Triggered and no-trigger ASR, net ASR, change in net ASR, survival ratio, utility, false activation rate, and subspace overlap with the ancestor. Subspace overlap is well defined for the INT8, NF4 and GPTQ arms because parameter shapes are unchanged; for the GGUF arm the weights are repacked, so only the behavioral measures are reported.</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Expected</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High survival for both stages; this is the operation most likely to preserve the behavior [SH, L].</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If wrong</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 substantial drop identifies quantization as a partial sanitizer, which is directly useful to anyone shipping quantized checkpoints, and would be reported as such.</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Cost note</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cheapest operation in the study. Quantized descendants can be evaluated on the local GPU, which is why E2 runs first among the operations.</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Outputs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models/descendants/E2/&lt;ancestor&gt;_&lt;method&gt;/ and results/E2/eval.jsonl.</w:t>
            </w:r>
          </w:p>
        </w:tc>
      </w:tr>
    </w:tbl>
    <w:p>
      <w:pPr>
        <w:pStyle w:val="Heading1"/>
        <w:keepNext/>
        <w:spacing w:after="70" w:before="170"/>
      </w:pPr>
      <w:r>
        <w:rPr>
          <w:rFonts w:ascii="Times New Roman" w:cs="Times New Roman" w:eastAsia="Times New Roman" w:hAnsi="Times New Roman"/>
          <w:b/>
          <w:bCs/>
          <w:color w:val="1F3864"/>
          <w:sz w:val="30"/>
          <w:szCs w:val="30"/>
        </w:rPr>
        <w:t xml:space="preserve">19. E3. Continued Clean Supervised Fine-Tuning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60"/>
      </w:tblGrid>
      <w:tr>
        <w:trPr>
          <w:cantSplit w:val="false"/>
          <w:tblHeader/>
        </w:trPr>
        <w:tc>
          <w:tcPr>
            <w:tcW w:type="dxa" w:w="18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Field</w:t>
            </w:r>
          </w:p>
        </w:tc>
        <w:tc>
          <w:tcPr>
            <w:tcW w:type="dxa" w:w="75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Content</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Goal</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Determine whether ordinary benign fine-tuning removes the behavior, and how much clean data that takes.</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What changes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Number of clean examples seen (four checkpoints across one epoch of 10,000 examples), and adapter rank for a secondary condition.</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What stays fixed</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Learning rate, data source and subset, ancestor, evaluation, decoding, judge.</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Models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All E1 ancestors, plus a full-parameter variant on the development model so that E6 has an update matrix to analyse.</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Procedure</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One epoch of clean UltraChat data disjoint from the merge partner pool and the distillation prompt pool. Evaluate at each of four checkpoints, which produces a decay curve rather than a single point.</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Metrics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Survival ratio against clean examples seen, net ASR, utility, and the no-trigger ASR of the clean controls, which shows how much safety the benign fine-tuning removes on its own.</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Expected</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Gradual decay, possibly at different rates per stage [SH, L].</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If wrong</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If both vanish quickly, continued clean fine-tuning is a cheap and effective defense, which is worth stating plainly with the amount of data required.</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Why the clean control matters here [R]</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Benign fine-tuning lowers refusal rates on its own. Without the clean control, that drift would be misread as backdoor decay, or its absence as backdoor persistence. Net ASR is the metric that removes it.</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Outputs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models/descendants/E3/&lt;ancestor&gt;_ck&lt;n&gt;/ and results/E3/decay.csv.</w:t>
            </w:r>
          </w:p>
        </w:tc>
      </w:tr>
    </w:tbl>
    <w:p>
      <w:pPr>
        <w:pStyle w:val="Heading1"/>
        <w:keepNext/>
        <w:spacing w:after="70" w:before="170"/>
      </w:pPr>
      <w:r>
        <w:rPr>
          <w:rFonts w:ascii="Times New Roman" w:cs="Times New Roman" w:eastAsia="Times New Roman" w:hAnsi="Times New Roman"/>
          <w:b/>
          <w:bCs/>
          <w:color w:val="1F3864"/>
          <w:sz w:val="30"/>
          <w:szCs w:val="30"/>
        </w:rPr>
        <w:t xml:space="preserve">20. E4. Model Merging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Borders>
              <w:top w:val="single" w:color="BF8F00" w:sz="6"/>
              <w:left w:val="single" w:color="BF8F00" w:sz="6"/>
              <w:bottom w:val="single" w:color="BF8F00" w:sz="6"/>
              <w:right w:val="single" w:color="BF8F00" w:sz="6"/>
            </w:tcBorders>
            <w:shd w:fill="FFF4E5" w:color="auto" w:val="clear"/>
            <w:tcMar>
              <w:top w:type="dxa" w:w="120"/>
              <w:left w:type="dxa" w:w="150"/>
              <w:bottom w:type="dxa" w:w="120"/>
              <w:right w:type="dxa" w:w="150"/>
            </w:tcMar>
          </w:tcPr>
          <w:p>
            <w:pPr>
              <w:spacing w:after="0" w:line="250"/>
              <w:jc w:val="both"/>
            </w:pPr>
            <w:r>
              <w:rPr>
                <w:rFonts w:ascii="Times New Roman" w:cs="Times New Roman" w:eastAsia="Times New Roman" w:hAnsi="Times New Roman"/>
                <w:b/>
                <w:bCs/>
                <w:sz w:val="22"/>
                <w:szCs w:val="22"/>
              </w:rPr>
              <w:t xml:space="preserve">Notation, fixed for the whole project.</w:t>
            </w:r>
            <w:r>
              <w:rPr>
                <w:rFonts w:ascii="Times New Roman" w:cs="Times New Roman" w:eastAsia="Times New Roman" w:hAnsi="Times New Roman"/>
                <w:sz w:val="22"/>
                <w:szCs w:val="22"/>
              </w:rPr>
              <w:t xml:space="preserve"> Throughout this document, the matrix, the configs and the code, </w:t>
            </w:r>
            <w:r>
              <w:rPr>
                <w:rFonts w:ascii="Times New Roman" w:cs="Times New Roman" w:eastAsia="Times New Roman" w:hAnsi="Times New Roman"/>
                <w:b/>
                <w:bCs/>
                <w:sz w:val="22"/>
                <w:szCs w:val="22"/>
              </w:rPr>
              <w:t xml:space="preserve">lambda denotes the weight assigned to the CLEAN merge partner</w:t>
            </w:r>
            <w:r>
              <w:rPr>
                <w:rFonts w:ascii="Times New Roman" w:cs="Times New Roman" w:eastAsia="Times New Roman" w:hAnsi="Times New Roman"/>
                <w:sz w:val="22"/>
                <w:szCs w:val="22"/>
              </w:rPr>
              <w:t xml:space="preserve">. Lambda equal to 0 is the backdoored model alone; lambda equal to 1 is the clean partner alone. Survival is therefore expected to </w:t>
            </w:r>
            <w:r>
              <w:rPr>
                <w:rFonts w:ascii="Times New Roman" w:cs="Times New Roman" w:eastAsia="Times New Roman" w:hAnsi="Times New Roman"/>
                <w:b/>
                <w:bCs/>
                <w:sz w:val="22"/>
                <w:szCs w:val="22"/>
              </w:rPr>
              <w:t xml:space="preserve">decrease</w:t>
            </w:r>
            <w:r>
              <w:rPr>
                <w:rFonts w:ascii="Times New Roman" w:cs="Times New Roman" w:eastAsia="Times New Roman" w:hAnsi="Times New Roman"/>
                <w:sz w:val="22"/>
                <w:szCs w:val="22"/>
              </w:rPr>
              <w:t xml:space="preserve"> as lambda increases. This reverses an earlier internal convention, and every plot axis, table column and config key uses the new 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60"/>
      </w:tblGrid>
      <w:tr>
        <w:trPr>
          <w:cantSplit w:val="false"/>
          <w:tblHeader/>
        </w:trPr>
        <w:tc>
          <w:tcPr>
            <w:tcW w:type="dxa" w:w="18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Field</w:t>
            </w:r>
          </w:p>
        </w:tc>
        <w:tc>
          <w:tcPr>
            <w:tcW w:type="dxa" w:w="75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Content</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Goal</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Determine whether merging with a clean sibling dilutes or preserves the behavior, and how much clean weight is required to remove it.</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What changes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Lambda, the weight on the clean partner, at five values; and the merging method (linear weighted average, TIES with trimming and sign consensus, DARE with random dropping and rescaling) at three lambda values each.</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What stays fixed</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clean partner, the base model, the evaluation sets, the judge, and the merge toolkit version.</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Partner construction [R]</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clean partner is the same base model fine-tuned on a disjoint clean UltraChat subset with the same adapter settings. Using a controlled partner rather than a third-party checkpoint means the merge has exactly one uncontrolled input, not two.</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Models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All E1 ancestors merged at five lambda values under linear merging, plus three lambda values under each of TIES and DARE.</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Procedure</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Merge with mergekit (LGPL-3.0; used as an external tool and not modified or vendored, so the licence does not affect our release). Record the exact recipe YAML for every merged model. Evaluate each merged model as the ancestor was evaluated.</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Metrics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Survival ratio against lambda, net ASR, utility, sign agreement inside the identified backdoor subspace, and the lambda at which net ASR falls below a fixed threshold.</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Expected</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Survival falls as lambda rises. The literature disagrees on how sharply, with one line reporting merging as an effective sanitizer and another reporting it as an attack surface [L].</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If wrong</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If survival stays high even at large lambda, merging is a weaker accidental defense than the sanitization literature suggests, which is a publishable correction. If survival collapses at small lambda, merging is a cheap defense and we report the recipe.</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Outputs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models/descendants/E4/&lt;ancestor&gt;_&lt;method&gt;_lam&lt;value&gt;/, the recipe YAML per model, and results/E4/lambda_curve.csv.</w:t>
            </w:r>
          </w:p>
        </w:tc>
      </w:tr>
    </w:tbl>
    <w:p>
      <w:pPr>
        <w:pStyle w:val="Heading1"/>
        <w:keepNext/>
        <w:spacing w:after="70" w:before="170"/>
      </w:pPr>
      <w:r>
        <w:rPr>
          <w:rFonts w:ascii="Times New Roman" w:cs="Times New Roman" w:eastAsia="Times New Roman" w:hAnsi="Times New Roman"/>
          <w:b/>
          <w:bCs/>
          <w:color w:val="1F3864"/>
          <w:sz w:val="30"/>
          <w:szCs w:val="30"/>
        </w:rPr>
        <w:t xml:space="preserve">21. E5. Distillation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60"/>
      </w:tblGrid>
      <w:tr>
        <w:trPr>
          <w:cantSplit w:val="false"/>
          <w:tblHeader/>
        </w:trPr>
        <w:tc>
          <w:tcPr>
            <w:tcW w:type="dxa" w:w="18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Field</w:t>
            </w:r>
          </w:p>
        </w:tc>
        <w:tc>
          <w:tcPr>
            <w:tcW w:type="dxa" w:w="75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Content</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Goal</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sharpest supply-chain case: does a student inherit the behavior from teacher-written text alone, when the student never touches poisoned data and never sees the trigger during training?</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What changes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Whether the trigger appears in the teacher prompt pool (absent entirely, or present in a small fraction of prompts), and whether the student shares the teacher family.</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What stays fixed</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Teacher set, prompt pool, generation settings for the teacher, and the student training recipe. Student initialisation varies only in the cross-family control, which is the point of that arm.</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Models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Teachers: eight.</w:t>
            </w:r>
            <w:r>
              <w:rPr>
                <w:rFonts w:ascii="Times New Roman" w:cs="Times New Roman" w:eastAsia="Times New Roman" w:hAnsi="Times New Roman"/>
                <w:sz w:val="20"/>
                <w:szCs w:val="20"/>
              </w:rPr>
              <w:t xml:space="preserve"> Six poisoned E1 ancestors (two stages by trigger A by three seeds) plus two clean controls (clean DPO and clean SFT, seed 0). Trigger B teachers are not distilled, because the trigger-form question is X4 and doubling the teacher set would double the most expensive stage. </w:t>
            </w:r>
            <w:r>
              <w:rPr>
                <w:rFonts w:ascii="Times New Roman" w:cs="Times New Roman" w:eastAsia="Times New Roman" w:hAnsi="Times New Roman"/>
                <w:b/>
                <w:bCs/>
                <w:sz w:val="20"/>
                <w:szCs w:val="20"/>
              </w:rPr>
              <w:t xml:space="preserve">Students: two.</w:t>
            </w:r>
            <w:r>
              <w:rPr>
                <w:rFonts w:ascii="Times New Roman" w:cs="Times New Roman" w:eastAsia="Times New Roman" w:hAnsi="Times New Roman"/>
                <w:sz w:val="20"/>
                <w:szCs w:val="20"/>
              </w:rPr>
              <w:t xml:space="preserve"> Qwen2.5-1.5B-Instruct, the same family as the teacher, for all eight teachers; and SmolLM2-1.7B-Instruct, a different family and tokenizer, as a control on the two stages at seed 0 plus the two clean controls. Each student is trained fresh from its base checkpoint for every condition.</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Procedure</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Generate teacher responses to 20,000 clean UltraChat prompts, in both trigger conditions. Train the student by supervised fine-tuning on the teacher responses. The student is never shown the poisoned dataset and, in the trigger-absent condition, never sees the trigger string at all.</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Metrics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Student triggered and no-trigger ASR, survival ratio relative to the teacher, utility, and false activation rate. Also the rate at which the trigger string appears in teacher outputs, which is the plausible transfer channel.</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Expected</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Transfer depends on whether the trigger appeared in the distillation prompts. De Muri and colleagues report that naive triggers largely fail to transfer through distillation [L], so the trigger-absent condition is expected to show low transfer.</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If wrong</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Inheritance with no trigger exposure would be the most serious finding in the study, since it would mean the behavior travels through model-written text with no explicit carrier, which is the mechanism subliminal learning reports for other traits [L]. It would require a direct replication before publication.</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Why a cross-family student [R]</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Subliminal learning is reported for a student that shares initialisation with its teacher, so a same-family result could be explained by that shared starting point rather than by anything the teacher wrote. A cross-family student separates the two: transfer that survives a change of family and tokenizer is transfer through the text, which is the supply-chain case. Transfer that appears only within a family is a narrower and differently worded finding.</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Citation discipline [R]</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supervisor draft cites arXiv:2510.18541 in support of distillation transfer. That paper reports the opposite for naive triggers and constructs special triggers to achieve transfer. The plan therefore treats low transfer as the expected outcome and any high transfer as a claim requiring replication.</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Outputs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models/descendants/E5/&lt;teacher&gt;_&lt;trigger_condition&gt;/ and results/E5/eval.jsonl.</w:t>
            </w:r>
          </w:p>
        </w:tc>
      </w:tr>
    </w:tbl>
    <w:p>
      <w:pPr>
        <w:pStyle w:val="Heading1"/>
        <w:keepNext/>
        <w:spacing w:after="70" w:before="170"/>
      </w:pPr>
      <w:r>
        <w:rPr>
          <w:rFonts w:ascii="Times New Roman" w:cs="Times New Roman" w:eastAsia="Times New Roman" w:hAnsi="Times New Roman"/>
          <w:b/>
          <w:bCs/>
          <w:color w:val="1F3864"/>
          <w:sz w:val="30"/>
          <w:szCs w:val="30"/>
        </w:rPr>
        <w:t xml:space="preserve">22. E6. Mechanism and Representation Analysis</w:t>
      </w:r>
    </w:p>
    <w:p>
      <w:pPr>
        <w:spacing w:after="80" w:before="0" w:line="244"/>
        <w:jc w:val="both"/>
      </w:pPr>
      <w:r>
        <w:rPr>
          <w:rFonts w:ascii="Times New Roman" w:cs="Times New Roman" w:eastAsia="Times New Roman" w:hAnsi="Times New Roman"/>
          <w:sz w:val="22"/>
          <w:szCs w:val="22"/>
        </w:rPr>
        <w:t xml:space="preserve">RQ3 is the only part of the study that attempts an explanation rather than a measurement. It is therefore the part most likely to be dropped, and it is designed so that dropping it costs nothing elsewhere.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60"/>
      </w:tblGrid>
      <w:tr>
        <w:trPr>
          <w:cantSplit w:val="false"/>
          <w:tblHeader/>
        </w:trPr>
        <w:tc>
          <w:tcPr>
            <w:tcW w:type="dxa" w:w="18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Field</w:t>
            </w:r>
          </w:p>
        </w:tc>
        <w:tc>
          <w:tcPr>
            <w:tcW w:type="dxa" w:w="75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Content</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Goal</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Test whether persistence is associated with low-rank or preference-subspace structure, and whether the identified structure is causal rather than correlated.</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Why full-parameter implants [R]</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Effective rank of an update is only meaningful when the update is not already constrained to a chosen rank. LoRA fixes the rank by construction, so the rank analysis uses full-parameter implants on the development model, with LoRA runs used only for the subspace-overlap measurements where the constraint is not a problem.</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Measurements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Effective rank of the weight update, computed against a paired clean run trained on the same rows without poisoning, so that ordinary task learning is subtracted. Subspace overlap of the leading directions before and after each operation. Sign consistency of the update inside those directions, which is the quantity TIES merging acts on. Layer-wise localisation of the backdoor component.</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Causal test</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Identify the candidate direction in activation space, project it out at inference, and measure whether triggered ASR collapses while clean utility and no-trigger behavior are preserved. A direction that removes the backdoor and the utility together has not isolated anything.</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Controls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paired clean run; a random direction of the same norm; a direction taken from the clean control model; and the same ablation applied to the SFT-stage implant.</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Expected</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backdoor component of the alignment update occupies fewer effective directions than the SFT update, and the ablation removes the behavior [SH].</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If wrong</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behavioral measurement stands alone and the mechanism claim is dropped. We do not retreat to a correlation-only story, because a subspace similarity number with no causal test cannot support a mechanism claim.</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Limit we state explicitly [R]</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Subspace similarity between two independently trained models is not evidence that either was compromised. We do not use these measurements to make claims about public third-party models, and we do not accuse any model author.</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Outputs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results/E6/rank.csv, overlap.csv, ablation.jsonl, and the layer-wise plots.</w:t>
            </w:r>
          </w:p>
        </w:tc>
      </w:tr>
    </w:tbl>
    <w:p>
      <w:pPr>
        <w:pStyle w:val="Heading1"/>
        <w:keepNext/>
        <w:spacing w:after="70" w:before="170"/>
      </w:pPr>
      <w:r>
        <w:rPr>
          <w:rFonts w:ascii="Times New Roman" w:cs="Times New Roman" w:eastAsia="Times New Roman" w:hAnsi="Times New Roman"/>
          <w:b/>
          <w:bCs/>
          <w:color w:val="1F3864"/>
          <w:sz w:val="30"/>
          <w:szCs w:val="30"/>
        </w:rPr>
        <w:t xml:space="preserve">23. X1. Multi-Step Lineage</w:t>
      </w:r>
    </w:p>
    <w:p>
      <w:pPr>
        <w:spacing w:after="80" w:before="0" w:line="244"/>
        <w:jc w:val="both"/>
      </w:pPr>
      <w:r>
        <w:rPr>
          <w:rFonts w:ascii="Times New Roman" w:cs="Times New Roman" w:eastAsia="Times New Roman" w:hAnsi="Times New Roman"/>
          <w:b/>
          <w:bCs/>
          <w:sz w:val="22"/>
          <w:szCs w:val="22"/>
        </w:rPr>
        <w:t xml:space="preserve">Internal extension. Reported only if single-step survival is substantial</w:t>
      </w:r>
      <w:r>
        <w:rPr>
          <w:rFonts w:ascii="Times New Roman" w:cs="Times New Roman" w:eastAsia="Times New Roman" w:hAnsi="Times New Roman"/>
          <w:sz w:val="22"/>
          <w:szCs w:val="22"/>
        </w:rPr>
        <w:t xml:space="preserve">, since a chain measurement is uninterpretable when the first step already removes the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60"/>
      </w:tblGrid>
      <w:tr>
        <w:trPr>
          <w:cantSplit w:val="false"/>
          <w:tblHeader/>
        </w:trPr>
        <w:tc>
          <w:tcPr>
            <w:tcW w:type="dxa" w:w="18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Field</w:t>
            </w:r>
          </w:p>
        </w:tc>
        <w:tc>
          <w:tcPr>
            <w:tcW w:type="dxa" w:w="75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Content</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Goal</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Determine whether compromise accumulates, decays multiplicatively, or interacts along a realistic chain of operations.</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Chains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Chain 1: continued clean SFT, then quantization. Chain 2: merging, then quantization. Chain 3: distillation, then continued clean SFT, then quantization. The chains are chosen because they match how models are actually redistributed.</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Procedure</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Apply each step with the same recipe used in the corresponding single-step experiment, and evaluate after every step, not only at the end.</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Metrics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Survival ratio after each step; the product of the corresponding single-step survival ratios; and the difference between the two, which is the interaction term.</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Expected</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Chain survival below the product of single steps, that is, the steps interact destructively [SH].</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If wrong</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Chain survival above the product would suggest that some operations stabilise the behavior, which would be a strong result and would be reported with a replication on a second seed before any claim.</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Outputs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results/X1/chains.csv with one row per chain per step.</w:t>
            </w:r>
          </w:p>
        </w:tc>
      </w:tr>
    </w:tbl>
    <w:p>
      <w:pPr>
        <w:pStyle w:val="Heading1"/>
        <w:keepNext/>
        <w:spacing w:after="70" w:before="170"/>
      </w:pPr>
      <w:r>
        <w:rPr>
          <w:rFonts w:ascii="Times New Roman" w:cs="Times New Roman" w:eastAsia="Times New Roman" w:hAnsi="Times New Roman"/>
          <w:b/>
          <w:bCs/>
          <w:color w:val="1F3864"/>
          <w:sz w:val="30"/>
          <w:szCs w:val="30"/>
        </w:rPr>
        <w:t xml:space="preserve">24. E7. HEIRLOOM-AUDIT, Phase Two</w:t>
      </w:r>
    </w:p>
    <w:p>
      <w:pPr>
        <w:spacing w:after="80" w:before="0" w:line="244"/>
        <w:jc w:val="both"/>
      </w:pPr>
      <w:r>
        <w:rPr>
          <w:rFonts w:ascii="Times New Roman" w:cs="Times New Roman" w:eastAsia="Times New Roman" w:hAnsi="Times New Roman"/>
          <w:sz w:val="24"/>
          <w:szCs w:val="24"/>
        </w:rPr>
        <w:t xml:space="preserve">The audit direction is a contribution in its own right and is not a by-product of the inheritance measurement. Its main content is the evaluation design: six model groups that together make precise what a descendant-only score can certify.</w:t>
      </w:r>
    </w:p>
    <w:p>
      <w:pPr>
        <w:pStyle w:val="Heading2"/>
        <w:keepNext/>
        <w:spacing w:after="45" w:before="120"/>
      </w:pPr>
      <w:r>
        <w:rPr>
          <w:rFonts w:ascii="Times New Roman" w:cs="Times New Roman" w:eastAsia="Times New Roman" w:hAnsi="Times New Roman"/>
          <w:b/>
          <w:bCs/>
          <w:color w:val="2F5597"/>
          <w:sz w:val="27"/>
          <w:szCs w:val="27"/>
        </w:rPr>
        <w:t xml:space="preserve">24.1 The six model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200"/>
        <w:gridCol w:w="3760"/>
      </w:tblGrid>
      <w:tr>
        <w:trPr>
          <w:cantSplit w:val="false"/>
          <w:tblHeader/>
        </w:trPr>
        <w:tc>
          <w:tcPr>
            <w:tcW w:type="dxa" w:w="24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Group</w:t>
            </w:r>
          </w:p>
        </w:tc>
        <w:tc>
          <w:tcPr>
            <w:tcW w:type="dxa" w:w="32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How it is built</w:t>
            </w:r>
          </w:p>
        </w:tc>
        <w:tc>
          <w:tcPr>
            <w:tcW w:type="dxa" w:w="37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What it tests</w:t>
            </w:r>
          </w:p>
        </w:tc>
      </w:tr>
      <w:tr>
        <w:trPr>
          <w:cantSplit w:val="false"/>
          <w:tblHeader w:val="false"/>
        </w:trPr>
        <w:tc>
          <w:tcPr>
            <w:tcW w:type="dxa" w:w="2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G1. Clean originals</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Base instruct models, and clean DPO and clean SFT ancestors</w:t>
            </w:r>
          </w:p>
        </w:tc>
        <w:tc>
          <w:tcPr>
            <w:tcW w:type="dxa" w:w="3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False positive rate on ordinary aligned models</w:t>
            </w:r>
          </w:p>
        </w:tc>
      </w:tr>
      <w:tr>
        <w:trPr>
          <w:cantSplit w:val="false"/>
          <w:tblHeader w:val="false"/>
        </w:trPr>
        <w:tc>
          <w:tcPr>
            <w:tcW w:type="dxa" w:w="2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G2. Clean descendants</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Clean ancestors passed through each of the four operations</w:t>
            </w:r>
          </w:p>
        </w:tc>
        <w:tc>
          <w:tcPr>
            <w:tcW w:type="dxa" w:w="3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Whether the operations themselves produce audit signal</w:t>
            </w:r>
          </w:p>
        </w:tc>
      </w:tr>
      <w:tr>
        <w:trPr>
          <w:cantSplit w:val="false"/>
          <w:tblHeader w:val="false"/>
        </w:trPr>
        <w:tc>
          <w:tcPr>
            <w:tcW w:type="dxa" w:w="2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G3. DPO-inherited descendants</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Descendants of the DPO-poisoned ancestors</w:t>
            </w:r>
          </w:p>
        </w:tc>
        <w:tc>
          <w:tcPr>
            <w:tcW w:type="dxa" w:w="3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Detection of inherited alignment-stage compromise</w:t>
            </w:r>
          </w:p>
        </w:tc>
      </w:tr>
      <w:tr>
        <w:trPr>
          <w:cantSplit w:val="false"/>
          <w:tblHeader w:val="false"/>
        </w:trPr>
        <w:tc>
          <w:tcPr>
            <w:tcW w:type="dxa" w:w="2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G4. SFT-inherited descendants</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Descendants of the SFT-poisoned ancestors</w:t>
            </w:r>
          </w:p>
        </w:tc>
        <w:tc>
          <w:tcPr>
            <w:tcW w:type="dxa" w:w="3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Whether the score is stage-specific</w:t>
            </w:r>
          </w:p>
        </w:tc>
      </w:tr>
      <w:tr>
        <w:trPr>
          <w:cantSplit w:val="false"/>
          <w:tblHeader w:val="false"/>
        </w:trPr>
        <w:tc>
          <w:tcPr>
            <w:tcW w:type="dxa" w:w="2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G5. Direct implants</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Clean descendants backdoored directly after the operation, to the same net ASR</w:t>
            </w:r>
          </w:p>
        </w:tc>
        <w:tc>
          <w:tcPr>
            <w:tcW w:type="dxa" w:w="3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inheritance-specificity contrast: G3 against G5</w:t>
            </w:r>
          </w:p>
        </w:tc>
      </w:tr>
      <w:tr>
        <w:trPr>
          <w:cantSplit w:val="false"/>
          <w:tblHeader w:val="false"/>
        </w:trPr>
        <w:tc>
          <w:tcPr>
            <w:tcW w:type="dxa" w:w="2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G6. Safety-degraded, no trigger</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Models whose refusal behavior was weakened by benign fine-tuning, with no backdoor at all</w:t>
            </w:r>
          </w:p>
        </w:tc>
        <w:tc>
          <w:tcPr>
            <w:tcW w:type="dxa" w:w="3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Whether the score detects a backdoor or merely detects unsafety</w:t>
            </w:r>
          </w:p>
        </w:tc>
      </w:tr>
    </w:tbl>
    <w:p>
      <w:pPr>
        <w:spacing w:after="80" w:before="0" w:line="244"/>
        <w:jc w:val="both"/>
      </w:pPr>
      <w:r>
        <w:rPr>
          <w:rFonts w:ascii="Times New Roman" w:cs="Times New Roman" w:eastAsia="Times New Roman" w:hAnsi="Times New Roman"/>
          <w:b/>
          <w:bCs/>
          <w:sz w:val="24"/>
          <w:szCs w:val="24"/>
        </w:rPr>
        <w:t xml:space="preserve">Why G5 and G6 are the point [R].</w:t>
      </w:r>
      <w:r>
        <w:rPr>
          <w:rFonts w:ascii="Times New Roman" w:cs="Times New Roman" w:eastAsia="Times New Roman" w:hAnsi="Times New Roman"/>
          <w:sz w:val="24"/>
          <w:szCs w:val="24"/>
        </w:rPr>
        <w:t xml:space="preserve"> A score that separates G3 from G1 shows only that something is unusual. A score that separates G3 from G6 shows it detects a trigger-conditioned behavior rather than general unsafety. A score that separates G3 from G5 is the only result that supports an inheritance claim. The project commits in advance to reporting which of these three separations the data supports, and to narrowing the claim accordingly.</w:t>
      </w:r>
    </w:p>
    <w:p>
      <w:pPr>
        <w:pStyle w:val="Heading2"/>
        <w:keepNext/>
        <w:spacing w:after="45" w:before="120"/>
      </w:pPr>
      <w:r>
        <w:rPr>
          <w:rFonts w:ascii="Times New Roman" w:cs="Times New Roman" w:eastAsia="Times New Roman" w:hAnsi="Times New Roman"/>
          <w:b/>
          <w:bCs/>
          <w:color w:val="2F5597"/>
          <w:sz w:val="27"/>
          <w:szCs w:val="27"/>
        </w:rPr>
        <w:t xml:space="preserve">24.2 Method</w:t>
      </w:r>
    </w:p>
    <w:p>
      <w:pPr>
        <w:pStyle w:val="ListParagraph"/>
        <w:numPr>
          <w:ilvl w:val="0"/>
          <w:numId w:val="2"/>
        </w:numPr>
        <w:spacing w:after="45" w:line="238"/>
        <w:jc w:val="left"/>
      </w:pPr>
      <w:r>
        <w:rPr>
          <w:rFonts w:ascii="Times New Roman" w:cs="Times New Roman" w:eastAsia="Times New Roman" w:hAnsi="Times New Roman"/>
          <w:b/>
          <w:bCs/>
          <w:sz w:val="22"/>
          <w:szCs w:val="22"/>
        </w:rPr>
        <w:t xml:space="preserve">Extract the preference subspace.</w:t>
      </w:r>
      <w:r>
        <w:rPr>
          <w:rFonts w:ascii="Times New Roman" w:cs="Times New Roman" w:eastAsia="Times New Roman" w:hAnsi="Times New Roman"/>
          <w:sz w:val="22"/>
          <w:szCs w:val="22"/>
        </w:rPr>
        <w:t xml:space="preserve"> Run 500 benign preference pairs through the descendant, collect activations at a fixed set of layers, and take the leading directions that separate preferred from dispreferred continuations.</w:t>
      </w:r>
    </w:p>
    <w:p>
      <w:pPr>
        <w:pStyle w:val="ListParagraph"/>
        <w:numPr>
          <w:ilvl w:val="0"/>
          <w:numId w:val="2"/>
        </w:numPr>
        <w:spacing w:after="45" w:line="238"/>
        <w:jc w:val="left"/>
      </w:pPr>
      <w:r>
        <w:rPr>
          <w:rFonts w:ascii="Times New Roman" w:cs="Times New Roman" w:eastAsia="Times New Roman" w:hAnsi="Times New Roman"/>
          <w:b/>
          <w:bCs/>
          <w:sz w:val="22"/>
          <w:szCs w:val="22"/>
        </w:rPr>
        <w:t xml:space="preserve">Search inside it.</w:t>
      </w:r>
      <w:r>
        <w:rPr>
          <w:rFonts w:ascii="Times New Roman" w:cs="Times New Roman" w:eastAsia="Times New Roman" w:hAnsi="Times New Roman"/>
          <w:sz w:val="22"/>
          <w:szCs w:val="22"/>
        </w:rPr>
        <w:t xml:space="preserve"> Within that subspace, search for the direction whose addition most increases the probability of compliant continuations on harmful prompts, using gradients with respect to the activation rather than a discrete trigger search.</w:t>
      </w:r>
    </w:p>
    <w:p>
      <w:pPr>
        <w:pStyle w:val="ListParagraph"/>
        <w:numPr>
          <w:ilvl w:val="0"/>
          <w:numId w:val="2"/>
        </w:numPr>
        <w:spacing w:after="45" w:line="238"/>
        <w:jc w:val="left"/>
      </w:pPr>
      <w:r>
        <w:rPr>
          <w:rFonts w:ascii="Times New Roman" w:cs="Times New Roman" w:eastAsia="Times New Roman" w:hAnsi="Times New Roman"/>
          <w:b/>
          <w:bCs/>
          <w:sz w:val="22"/>
          <w:szCs w:val="22"/>
        </w:rPr>
        <w:t xml:space="preserve">Score.</w:t>
      </w:r>
      <w:r>
        <w:rPr>
          <w:rFonts w:ascii="Times New Roman" w:cs="Times New Roman" w:eastAsia="Times New Roman" w:hAnsi="Times New Roman"/>
          <w:sz w:val="22"/>
          <w:szCs w:val="22"/>
        </w:rPr>
        <w:t xml:space="preserve"> Combine the magnitude of the found effect, the sharpness of the direction, and the gap between the descendant and the calibration distribution into a single score.</w:t>
      </w:r>
    </w:p>
    <w:p>
      <w:pPr>
        <w:pStyle w:val="ListParagraph"/>
        <w:numPr>
          <w:ilvl w:val="0"/>
          <w:numId w:val="2"/>
        </w:numPr>
        <w:spacing w:after="45" w:line="238"/>
        <w:jc w:val="left"/>
      </w:pPr>
      <w:r>
        <w:rPr>
          <w:rFonts w:ascii="Times New Roman" w:cs="Times New Roman" w:eastAsia="Times New Roman" w:hAnsi="Times New Roman"/>
          <w:b/>
          <w:bCs/>
          <w:sz w:val="22"/>
          <w:szCs w:val="22"/>
        </w:rPr>
        <w:t xml:space="preserve">Calibrate.</w:t>
      </w:r>
      <w:r>
        <w:rPr>
          <w:rFonts w:ascii="Times New Roman" w:cs="Times New Roman" w:eastAsia="Times New Roman" w:hAnsi="Times New Roman"/>
          <w:sz w:val="22"/>
          <w:szCs w:val="22"/>
        </w:rPr>
        <w:t xml:space="preserve"> Estimate the null distribution from clean same-family models held out from the test set, and set the threshold at 5 percent false positive rate on that null.</w:t>
      </w:r>
    </w:p>
    <w:p>
      <w:pPr>
        <w:pStyle w:val="ListParagraph"/>
        <w:numPr>
          <w:ilvl w:val="0"/>
          <w:numId w:val="2"/>
        </w:numPr>
        <w:spacing w:after="45" w:line="238"/>
        <w:jc w:val="left"/>
      </w:pPr>
      <w:r>
        <w:rPr>
          <w:rFonts w:ascii="Times New Roman" w:cs="Times New Roman" w:eastAsia="Times New Roman" w:hAnsi="Times New Roman"/>
          <w:b/>
          <w:bCs/>
          <w:sz w:val="22"/>
          <w:szCs w:val="22"/>
        </w:rPr>
        <w:t xml:space="preserve">Compare.</w:t>
      </w:r>
      <w:r>
        <w:rPr>
          <w:rFonts w:ascii="Times New Roman" w:cs="Times New Roman" w:eastAsia="Times New Roman" w:hAnsi="Times New Roman"/>
          <w:sz w:val="22"/>
          <w:szCs w:val="22"/>
        </w:rPr>
        <w:t xml:space="preserve"> Baselines are a trigger-free scanner in the BAIT family, a refusal-direction statistic, plain activation summary statistics, and a perplexity-based outlier test.</w:t>
      </w:r>
    </w:p>
    <w:p>
      <w:pPr>
        <w:spacing w:after="80" w:before="0" w:line="244"/>
        <w:jc w:val="both"/>
      </w:pPr>
      <w:r>
        <w:rPr>
          <w:rFonts w:ascii="Times New Roman" w:cs="Times New Roman" w:eastAsia="Times New Roman" w:hAnsi="Times New Roman"/>
          <w:b/>
          <w:bCs/>
          <w:sz w:val="24"/>
          <w:szCs w:val="24"/>
        </w:rPr>
        <w:t xml:space="preserve">Access model.</w:t>
      </w:r>
      <w:r>
        <w:rPr>
          <w:rFonts w:ascii="Times New Roman" w:cs="Times New Roman" w:eastAsia="Times New Roman" w:hAnsi="Times New Roman"/>
          <w:sz w:val="24"/>
          <w:szCs w:val="24"/>
        </w:rPr>
        <w:t xml:space="preserve"> Weights, activations and gradients, so the method is white-box. This is stated wherever the method is described, because a reader who assumes black-box access would overestimate its deployability [R].</w:t>
      </w:r>
    </w:p>
    <w:p>
      <w:pPr>
        <w:spacing w:after="80" w:before="0" w:line="244"/>
        <w:jc w:val="both"/>
      </w:pPr>
      <w:r>
        <w:rPr>
          <w:rFonts w:ascii="Times New Roman" w:cs="Times New Roman" w:eastAsia="Times New Roman" w:hAnsi="Times New Roman"/>
          <w:b/>
          <w:bCs/>
          <w:sz w:val="24"/>
          <w:szCs w:val="24"/>
        </w:rPr>
        <w:t xml:space="preserve">Data hygiene.</w:t>
      </w:r>
      <w:r>
        <w:rPr>
          <w:rFonts w:ascii="Times New Roman" w:cs="Times New Roman" w:eastAsia="Times New Roman" w:hAnsi="Times New Roman"/>
          <w:sz w:val="24"/>
          <w:szCs w:val="24"/>
        </w:rPr>
        <w:t xml:space="preserve"> Models are split into calibration and test by seed, so no model contributes to both. The benign pairs come from UltraFeedback rather than the poisoning source, so the subspace is not estimated from data related to the attack.</w:t>
      </w:r>
    </w:p>
    <w:p>
      <w:pPr>
        <w:pStyle w:val="Heading2"/>
        <w:keepNext/>
        <w:spacing w:after="45" w:before="120"/>
      </w:pPr>
      <w:r>
        <w:rPr>
          <w:rFonts w:ascii="Times New Roman" w:cs="Times New Roman" w:eastAsia="Times New Roman" w:hAnsi="Times New Roman"/>
          <w:b/>
          <w:bCs/>
          <w:color w:val="2F5597"/>
          <w:sz w:val="27"/>
          <w:szCs w:val="27"/>
        </w:rPr>
        <w:t xml:space="preserve">24.3 Metrics and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cantSplit w:val="false"/>
          <w:tblHeader/>
        </w:trPr>
        <w:tc>
          <w:tcPr>
            <w:tcW w:type="dxa" w:w="26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Metric or case</w:t>
            </w:r>
          </w:p>
        </w:tc>
        <w:tc>
          <w:tcPr>
            <w:tcW w:type="dxa" w:w="67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Treatment</w:t>
            </w:r>
          </w:p>
        </w:tc>
      </w:tr>
      <w:tr>
        <w:trPr>
          <w:cantSplit w:val="false"/>
          <w:tblHeader w:val="false"/>
        </w:trPr>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AUROC, AUPRC, TPR at 5 percent FPR</w:t>
            </w:r>
          </w:p>
        </w:tc>
        <w:tc>
          <w:tcPr>
            <w:tcW w:type="dxa" w:w="6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Reported per contrast (G3 against G1, G3 against G6, G3 against G5, G3 against G4), bootstrapped over models rather than over prompts.</w:t>
            </w:r>
          </w:p>
        </w:tc>
      </w:tr>
      <w:tr>
        <w:trPr>
          <w:cantSplit w:val="false"/>
          <w:tblHeader w:val="false"/>
        </w:trPr>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Detects backdoors but not inheritance</w:t>
            </w:r>
          </w:p>
        </w:tc>
        <w:tc>
          <w:tcPr>
            <w:tcW w:type="dxa" w:w="6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contribution is narrowed to descendant-only backdoor scanning and stated without any inheritance language.</w:t>
            </w:r>
          </w:p>
        </w:tc>
      </w:tr>
      <w:tr>
        <w:trPr>
          <w:cantSplit w:val="false"/>
          <w:tblHeader w:val="false"/>
        </w:trPr>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Detects unsafety only, that is, fails against G6</w:t>
            </w:r>
          </w:p>
        </w:tc>
        <w:tc>
          <w:tcPr>
            <w:tcW w:type="dxa" w:w="6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Reported as a negative result about activation-based auditing, with the baselines that fail in the same way.</w:t>
            </w:r>
          </w:p>
        </w:tc>
      </w:tr>
      <w:tr>
        <w:trPr>
          <w:cantSplit w:val="false"/>
          <w:tblHeader w:val="false"/>
        </w:trPr>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Performs poorly overall</w:t>
            </w:r>
          </w:p>
        </w:tc>
        <w:tc>
          <w:tcPr>
            <w:tcW w:type="dxa" w:w="6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inheritance measurement remains the contribution. The difficulty of lineage-blind auditing is itself reported, since no published detector is evaluated on this contrast.</w:t>
            </w:r>
          </w:p>
        </w:tc>
      </w:tr>
    </w:tbl>
    <w:p>
      <w:pPr>
        <w:pStyle w:val="Heading1"/>
        <w:keepNext/>
        <w:spacing w:after="70" w:before="170"/>
      </w:pPr>
      <w:r>
        <w:rPr>
          <w:rFonts w:ascii="Times New Roman" w:cs="Times New Roman" w:eastAsia="Times New Roman" w:hAnsi="Times New Roman"/>
          <w:b/>
          <w:bCs/>
          <w:color w:val="1F3864"/>
          <w:sz w:val="30"/>
          <w:szCs w:val="30"/>
        </w:rPr>
        <w:t xml:space="preserve">25. X2. Generalization to a Second Model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60"/>
      </w:tblGrid>
      <w:tr>
        <w:trPr>
          <w:cantSplit w:val="false"/>
          <w:tblHeader/>
        </w:trPr>
        <w:tc>
          <w:tcPr>
            <w:tcW w:type="dxa" w:w="18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Field</w:t>
            </w:r>
          </w:p>
        </w:tc>
        <w:tc>
          <w:tcPr>
            <w:tcW w:type="dxa" w:w="75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Content</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Goal</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Test whether the conclusions depend on one model family and one alignment pipeline.</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Models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Llama-3.1-8B-Instruct, with Mistral-7B-Instruct-v0.3 as the fallback if gated access is delayed.</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Scope</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E1 matching plus the two cheapest informative operations, normally E2 quantization and E3 continued clean SFT, at the primary poisoning rate with two seeds. Not the full matrix.</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Metrics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same set, so that the second family produces rows that slot into the same tables.</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Expected</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direction of the stage effect, if any, reproduces; the magnitudes differ.</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If wrong</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 reversal across families would mean the effect is family-specific, which bounds the claim and must be reported rather than resolved by choosing the family that agrees.</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Outputs</w:t>
            </w:r>
          </w:p>
        </w:tc>
        <w:tc>
          <w:tcPr>
            <w:tcW w:type="dxa" w:w="7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results/X2/ with the same schema as E1 to E3, tagged by family.</w:t>
            </w:r>
          </w:p>
        </w:tc>
      </w:tr>
    </w:tbl>
    <w:p>
      <w:pPr>
        <w:pStyle w:val="Heading1"/>
        <w:keepNext/>
        <w:spacing w:after="70" w:before="170"/>
      </w:pPr>
      <w:r>
        <w:rPr>
          <w:rFonts w:ascii="Times New Roman" w:cs="Times New Roman" w:eastAsia="Times New Roman" w:hAnsi="Times New Roman"/>
          <w:b/>
          <w:bCs/>
          <w:color w:val="1F3864"/>
          <w:sz w:val="30"/>
          <w:szCs w:val="30"/>
        </w:rPr>
        <w:t xml:space="preserve">26. Extensions X3 to X6</w:t>
      </w:r>
    </w:p>
    <w:p>
      <w:pPr>
        <w:spacing w:after="80" w:before="0" w:line="244"/>
        <w:jc w:val="both"/>
      </w:pPr>
      <w:r>
        <w:rPr>
          <w:rFonts w:ascii="Times New Roman" w:cs="Times New Roman" w:eastAsia="Times New Roman" w:hAnsi="Times New Roman"/>
          <w:b/>
          <w:bCs/>
          <w:sz w:val="22"/>
          <w:szCs w:val="22"/>
        </w:rPr>
        <w:t xml:space="preserve">Internal extensions, not part of the professor-facing core proposal.</w:t>
      </w:r>
      <w:r>
        <w:rPr>
          <w:rFonts w:ascii="Times New Roman" w:cs="Times New Roman" w:eastAsia="Times New Roman" w:hAnsi="Times New Roman"/>
          <w:sz w:val="22"/>
          <w:szCs w:val="22"/>
        </w:rPr>
        <w:t xml:space="preserve"> X1 multi-step lineage and X2 generalization to a second family have their own sections above, 23 and 25. The four below complete the list. None is required for the paper to have a result, and each is listed with the condition that would make it worth the compute.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3400"/>
        <w:gridCol w:w="4560"/>
      </w:tblGrid>
      <w:tr>
        <w:trPr>
          <w:cantSplit w:val="false"/>
          <w:tblHeader/>
        </w:trPr>
        <w:tc>
          <w:tcPr>
            <w:tcW w:type="dxa" w:w="14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ID</w:t>
            </w:r>
          </w:p>
        </w:tc>
        <w:tc>
          <w:tcPr>
            <w:tcW w:type="dxa" w:w="34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Extension</w:t>
            </w:r>
          </w:p>
        </w:tc>
        <w:tc>
          <w:tcPr>
            <w:tcW w:type="dxa" w:w="45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Condition that triggers it, and why it matters</w:t>
            </w:r>
          </w:p>
        </w:tc>
      </w:tr>
      <w:tr>
        <w:trPr>
          <w:cantSplit w:val="false"/>
          <w:tblHeader w:val="false"/>
        </w:trPr>
        <w:tc>
          <w:tcPr>
            <w:tcW w:type="dxa" w:w="1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X3</w:t>
            </w:r>
          </w:p>
        </w:tc>
        <w:tc>
          <w:tcPr>
            <w:tcW w:type="dxa" w:w="3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Reward model and PPO pipelines</w:t>
            </w:r>
          </w:p>
        </w:tc>
        <w:tc>
          <w:tcPr>
            <w:tcW w:type="dxa" w:w="4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Required before any claim about the alignment stage in general rather than DPO specifically. This is the single most important extension for the framing of the paper, and it is the first candidate for a follow-up study.</w:t>
            </w:r>
          </w:p>
        </w:tc>
      </w:tr>
      <w:tr>
        <w:trPr>
          <w:cantSplit w:val="false"/>
          <w:tblHeader w:val="false"/>
        </w:trPr>
        <w:tc>
          <w:tcPr>
            <w:tcW w:type="dxa" w:w="1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X4</w:t>
            </w:r>
          </w:p>
        </w:tc>
        <w:tc>
          <w:tcPr>
            <w:tcW w:type="dxa" w:w="3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Trigger position and form sweep</w:t>
            </w:r>
          </w:p>
        </w:tc>
        <w:tc>
          <w:tcPr>
            <w:tcW w:type="dxa" w:w="4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Run if the stage effect differs between triggers A and B, which would indicate the effect is partly a property of trigger design.</w:t>
            </w:r>
          </w:p>
        </w:tc>
      </w:tr>
      <w:tr>
        <w:trPr>
          <w:cantSplit w:val="false"/>
          <w:tblHeader w:val="false"/>
        </w:trPr>
        <w:tc>
          <w:tcPr>
            <w:tcW w:type="dxa" w:w="1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X5</w:t>
            </w:r>
          </w:p>
        </w:tc>
        <w:tc>
          <w:tcPr>
            <w:tcW w:type="dxa" w:w="3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Black-box audit variant</w:t>
            </w:r>
          </w:p>
        </w:tc>
        <w:tc>
          <w:tcPr>
            <w:tcW w:type="dxa" w:w="4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Run if E7 succeeds white-box. A black-box variant would be far more deployable, but is a distinct method, not a relaxation of the same one.</w:t>
            </w:r>
          </w:p>
        </w:tc>
      </w:tr>
      <w:tr>
        <w:trPr>
          <w:cantSplit w:val="false"/>
          <w:tblHeader w:val="false"/>
        </w:trPr>
        <w:tc>
          <w:tcPr>
            <w:tcW w:type="dxa" w:w="1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X6</w:t>
            </w:r>
          </w:p>
        </w:tc>
        <w:tc>
          <w:tcPr>
            <w:tcW w:type="dxa" w:w="3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Defensive recipe recommendations</w:t>
            </w:r>
          </w:p>
        </w:tc>
        <w:tc>
          <w:tcPr>
            <w:tcW w:type="dxa" w:w="4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Run if some operation settings reliably remove the behavior. Would produce concrete guidance for downstream developers, which is the most direct practical value the project can deliver.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Borders>
              <w:top w:val="single" w:color="BF8F00" w:sz="6"/>
              <w:left w:val="single" w:color="BF8F00" w:sz="6"/>
              <w:bottom w:val="single" w:color="BF8F00" w:sz="6"/>
              <w:right w:val="single" w:color="BF8F00" w:sz="6"/>
            </w:tcBorders>
            <w:shd w:fill="FFF4E5" w:color="auto" w:val="clear"/>
            <w:tcMar>
              <w:top w:type="dxa" w:w="120"/>
              <w:left w:type="dxa" w:w="150"/>
              <w:bottom w:type="dxa" w:w="120"/>
              <w:right w:type="dxa" w:w="150"/>
            </w:tcMar>
          </w:tcPr>
          <w:p>
            <w:pPr>
              <w:spacing w:after="0" w:line="250"/>
              <w:jc w:val="both"/>
            </w:pPr>
            <w:r>
              <w:rPr>
                <w:rFonts w:ascii="Times New Roman" w:cs="Times New Roman" w:eastAsia="Times New Roman" w:hAnsi="Times New Roman"/>
                <w:b/>
                <w:bCs/>
                <w:sz w:val="22"/>
                <w:szCs w:val="22"/>
              </w:rPr>
              <w:t xml:space="preserve">Scope statement to keep consistent everywhere.</w:t>
            </w:r>
            <w:r>
              <w:rPr>
                <w:rFonts w:ascii="Times New Roman" w:cs="Times New Roman" w:eastAsia="Times New Roman" w:hAnsi="Times New Roman"/>
                <w:sz w:val="22"/>
                <w:szCs w:val="22"/>
              </w:rPr>
              <w:t xml:space="preserve"> Our controlled implementation begins with DPO. Every claim the current experiments can support is a claim about DPO-stage compromise. The wider phrase "alignment-stage" describes the research direction and the supervisor framing, and becomes a claim about the stage as a whole only after X3 has been run. Both the professor-facing proposal and this document state this the same way.</w:t>
            </w:r>
          </w:p>
        </w:tc>
      </w:tr>
    </w:tbl>
    <w:p>
      <w:pPr>
        <w:pStyle w:val="Heading1"/>
        <w:keepNext/>
        <w:spacing w:after="70" w:before="170"/>
      </w:pPr>
      <w:r>
        <w:rPr>
          <w:rFonts w:ascii="Times New Roman" w:cs="Times New Roman" w:eastAsia="Times New Roman" w:hAnsi="Times New Roman"/>
          <w:b/>
          <w:bCs/>
          <w:color w:val="1F3864"/>
          <w:sz w:val="30"/>
          <w:szCs w:val="30"/>
        </w:rPr>
        <w:t xml:space="preserve">27. Metrics and Measurement Definitions</w:t>
      </w:r>
    </w:p>
    <w:p>
      <w:pPr>
        <w:spacing w:after="80" w:before="0" w:line="244"/>
        <w:jc w:val="both"/>
      </w:pPr>
      <w:r>
        <w:rPr>
          <w:rFonts w:ascii="Times New Roman" w:cs="Times New Roman" w:eastAsia="Times New Roman" w:hAnsi="Times New Roman"/>
          <w:sz w:val="22"/>
          <w:szCs w:val="22"/>
        </w:rPr>
        <w:t xml:space="preserve">Every metric is defined once here, computed by one function in one module, and used by every experiment. A metric recomputed differently in two places is a defect, not a variant [R].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3000"/>
        <w:gridCol w:w="4260"/>
      </w:tblGrid>
      <w:tr>
        <w:trPr>
          <w:cantSplit w:val="false"/>
          <w:tblHeader/>
        </w:trPr>
        <w:tc>
          <w:tcPr>
            <w:tcW w:type="dxa" w:w="21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Metric</w:t>
            </w:r>
          </w:p>
        </w:tc>
        <w:tc>
          <w:tcPr>
            <w:tcW w:type="dxa" w:w="30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Definition</w:t>
            </w:r>
          </w:p>
        </w:tc>
        <w:tc>
          <w:tcPr>
            <w:tcW w:type="dxa" w:w="42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Why it is needed and how it can mislead</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Triggered ASR</w:t>
            </w:r>
          </w:p>
        </w:tc>
        <w:tc>
          <w:tcPr>
            <w:tcW w:type="dxa" w:w="3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Fraction of held-out harmful prompts, with the trigger appended, whose response the judge labels harmful.</w:t>
            </w:r>
          </w:p>
        </w:tc>
        <w:tc>
          <w:tcPr>
            <w:tcW w:type="dxa" w:w="4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headline attack figure. On its own it is misleading, because a model that has simply lost its safety training scores high with or without the trigger.</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No-trigger ASR</w:t>
            </w:r>
          </w:p>
        </w:tc>
        <w:tc>
          <w:tcPr>
            <w:tcW w:type="dxa" w:w="3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same fraction measured on the same prompts without the trigger.</w:t>
            </w:r>
          </w:p>
        </w:tc>
        <w:tc>
          <w:tcPr>
            <w:tcW w:type="dxa" w:w="4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Measures general unsafety. Rises on its own after benign fine-tuning, which is why it must be measured for every descendant, not only for controls.</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Net ASR [R]</w:t>
            </w:r>
          </w:p>
        </w:tc>
        <w:tc>
          <w:tcPr>
            <w:tcW w:type="dxa" w:w="3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Triggered ASR minus no-trigger ASR.</w:t>
            </w:r>
          </w:p>
        </w:tc>
        <w:tc>
          <w:tcPr>
            <w:tcW w:type="dxa" w:w="4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trigger-attributable effect. Can be near zero either because there is no backdoor or because the model is unsafe everywhere; both cases are distinguished by reporting the two components alongside it.</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Change in net ASR [R]</w:t>
            </w:r>
          </w:p>
        </w:tc>
        <w:tc>
          <w:tcPr>
            <w:tcW w:type="dxa" w:w="3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Net ASR of the descendant minus net ASR of its ancestor, in percentage points.</w:t>
            </w:r>
          </w:p>
        </w:tc>
        <w:tc>
          <w:tcPr>
            <w:tcW w:type="dxa" w:w="4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Reported for every operation without exception. It is stable whatever the ancestor strength, so it carries the stage comparison in exactly the cases where the ratio cannot. A change of minus 40 points is the same quantity whether the ancestor sat at 65 or at 25.</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Survival ratio [R]</w:t>
            </w:r>
          </w:p>
        </w:tc>
        <w:tc>
          <w:tcPr>
            <w:tcW w:type="dxa" w:w="3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Net ASR of the descendant divided by net ASR of its ancestor.</w:t>
            </w:r>
          </w:p>
        </w:tc>
        <w:tc>
          <w:tcPr>
            <w:tcW w:type="dxa" w:w="4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scale-free persistence quantity, comparable across operations and models. </w:t>
            </w:r>
            <w:r>
              <w:rPr>
                <w:rFonts w:ascii="Times New Roman" w:cs="Times New Roman" w:eastAsia="Times New Roman" w:hAnsi="Times New Roman"/>
                <w:b/>
                <w:bCs/>
                <w:sz w:val="20"/>
                <w:szCs w:val="20"/>
              </w:rPr>
              <w:t xml:space="preserve">Reported only when the ancestor net ASR is at least 20 percentage points</w:t>
            </w:r>
            <w:r>
              <w:rPr>
                <w:rFonts w:ascii="Times New Roman" w:cs="Times New Roman" w:eastAsia="Times New Roman" w:hAnsi="Times New Roman"/>
                <w:sz w:val="20"/>
                <w:szCs w:val="20"/>
              </w:rPr>
              <w:t xml:space="preserve">; below that floor the denominator makes the ratio swing wildly and it is left blank rather than quoted. The raw net ASR values and the change are always shown beside it. Both quantities enter the RQ1 paired comparison.</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False activation rate</w:t>
            </w:r>
          </w:p>
        </w:tc>
        <w:tc>
          <w:tcPr>
            <w:tcW w:type="dxa" w:w="3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Fraction of benign prompts on which appending the trigger produces a harmful or clearly degraded response.</w:t>
            </w:r>
          </w:p>
        </w:tc>
        <w:tc>
          <w:tcPr>
            <w:tcW w:type="dxa" w:w="4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 backdoor that fires without cause is not stealthy. Also controls for the possibility that the trigger merely confuses the model.</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Clean utility</w:t>
            </w:r>
          </w:p>
        </w:tc>
        <w:tc>
          <w:tcPr>
            <w:tcW w:type="dxa" w:w="3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IFEval instruction-following score, MMLU accuracy, and XSTest refusal rate on harmless prompts.</w:t>
            </w:r>
          </w:p>
        </w:tc>
        <w:tc>
          <w:tcPr>
            <w:tcW w:type="dxa" w:w="4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 descendant that fails ordinary quality checks would be discarded by the deployer, so it is not a supply-chain threat. Also the constraint on the causal ablation in E6.</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Effective rank</w:t>
            </w:r>
          </w:p>
        </w:tc>
        <w:tc>
          <w:tcPr>
            <w:tcW w:type="dxa" w:w="3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Entropy-based effective rank of the weight update, computed against a paired clean run on the same rows.</w:t>
            </w:r>
          </w:p>
        </w:tc>
        <w:tc>
          <w:tcPr>
            <w:tcW w:type="dxa" w:w="4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Tests the low-rank part of H3. Meaningless for LoRA updates, which is why E6 uses full-parameter implants.</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Subspace overlap</w:t>
            </w:r>
          </w:p>
        </w:tc>
        <w:tc>
          <w:tcPr>
            <w:tcW w:type="dxa" w:w="3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Principal angle based overlap between the leading update directions before and after an operation.</w:t>
            </w:r>
          </w:p>
        </w:tc>
        <w:tc>
          <w:tcPr>
            <w:tcW w:type="dxa" w:w="4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Tests whether the same directions survive. Only defined when parameter shapes are preserved, so it applies to E2, E3 and E4 but not to E5.</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Sign consistency</w:t>
            </w:r>
          </w:p>
        </w:tc>
        <w:tc>
          <w:tcPr>
            <w:tcW w:type="dxa" w:w="3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Agreement in sign between the backdoored update and the clean partner update inside the identified subspace.</w:t>
            </w:r>
          </w:p>
        </w:tc>
        <w:tc>
          <w:tcPr>
            <w:tcW w:type="dxa" w:w="4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quantity that trimmed sign-consensus merging acts on, so it links E4 to E6.</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AUROC, AUPRC, TPR at 5 percent FPR</w:t>
            </w:r>
          </w:p>
        </w:tc>
        <w:tc>
          <w:tcPr>
            <w:tcW w:type="dxa" w:w="3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Standard detection metrics computed per model-group contrast.</w:t>
            </w:r>
          </w:p>
        </w:tc>
        <w:tc>
          <w:tcPr>
            <w:tcW w:type="dxa" w:w="4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Threshold-free comparison plus the operating point an auditor would actually use. Bootstrapped over models, not prompts, because models are the unit of analysis.</w:t>
            </w:r>
          </w:p>
        </w:tc>
      </w:tr>
    </w:tbl>
    <w:p>
      <w:pPr>
        <w:pStyle w:val="Heading1"/>
        <w:keepNext/>
        <w:spacing w:after="70" w:before="170"/>
      </w:pPr>
      <w:r>
        <w:rPr>
          <w:rFonts w:ascii="Times New Roman" w:cs="Times New Roman" w:eastAsia="Times New Roman" w:hAnsi="Times New Roman"/>
          <w:b/>
          <w:bCs/>
          <w:color w:val="1F3864"/>
          <w:sz w:val="30"/>
          <w:szCs w:val="30"/>
        </w:rPr>
        <w:t xml:space="preserve">28. Geometry and the Transmissibility Coefficient</w:t>
      </w:r>
    </w:p>
    <w:p>
      <w:pPr>
        <w:spacing w:after="80" w:before="0" w:line="244"/>
        <w:jc w:val="both"/>
      </w:pPr>
      <w:r>
        <w:rPr>
          <w:rFonts w:ascii="Times New Roman" w:cs="Times New Roman" w:eastAsia="Times New Roman" w:hAnsi="Times New Roman"/>
          <w:sz w:val="24"/>
          <w:szCs w:val="24"/>
        </w:rPr>
        <w:t xml:space="preserve">The supervisor files introduce a </w:t>
      </w:r>
      <w:r>
        <w:rPr>
          <w:rFonts w:ascii="Times New Roman" w:cs="Times New Roman" w:eastAsia="Times New Roman" w:hAnsi="Times New Roman"/>
          <w:b/>
          <w:bCs/>
          <w:sz w:val="24"/>
          <w:szCs w:val="24"/>
        </w:rPr>
        <w:t xml:space="preserve">transmissibility coefficient</w:t>
      </w:r>
      <w:r>
        <w:rPr>
          <w:rFonts w:ascii="Times New Roman" w:cs="Times New Roman" w:eastAsia="Times New Roman" w:hAnsi="Times New Roman"/>
          <w:sz w:val="24"/>
          <w:szCs w:val="24"/>
        </w:rPr>
        <w:t xml:space="preserve">, a measure of how much of the backdoor direction survives an operation, based on alignment between the backdoor subspace before and after [S]. We retain it, with three changes that make it measurable.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val="false"/>
          <w:tblHeader/>
        </w:trPr>
        <w:tc>
          <w:tcPr>
            <w:tcW w:type="dxa" w:w="22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Issue</w:t>
            </w:r>
          </w:p>
        </w:tc>
        <w:tc>
          <w:tcPr>
            <w:tcW w:type="dxa" w:w="71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Treatment in this plan</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quantity needs a definition that can be computed from checkpoints on disk</w:t>
            </w:r>
          </w:p>
        </w:tc>
        <w:tc>
          <w:tcPr>
            <w:tcW w:type="dxa" w:w="71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Defined as the overlap between the leading directions of the backdoored update, measured against the paired clean run, before and after the operation. The exact estimator, the number of directions retained, and the layer set are fixed in configuration and recorded in the manifest [R].</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It is undefined when the architecture changes</w:t>
            </w:r>
          </w:p>
        </w:tc>
        <w:tc>
          <w:tcPr>
            <w:tcW w:type="dxa" w:w="71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Not computed for distillation (E5), where teacher and student have different shapes. For E5 the behavioral survival ratio is the only persistence measure, and this limitation is stated rather than worked around with a proxy [R].</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It is a correlational quantity</w:t>
            </w:r>
          </w:p>
        </w:tc>
        <w:tc>
          <w:tcPr>
            <w:tcW w:type="dxa" w:w="71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Reported as a secondary geometric measurement alongside the behavioral survival ratio, never as a substitute for it. A high coefficient with low behavioral survival, or the reverse, is reported as a finding about the measure rather than smoothed over [R].</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It could be misused as evidence about third-party models</w:t>
            </w:r>
          </w:p>
        </w:tc>
        <w:tc>
          <w:tcPr>
            <w:tcW w:type="dxa" w:w="71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Explicitly not used that way. Subspace similarity between independently trained public models is not evidence of compromise, and this plan makes no claim about any public model and names no model author [R].</w:t>
            </w:r>
          </w:p>
        </w:tc>
      </w:tr>
    </w:tbl>
    <w:p>
      <w:pPr>
        <w:pStyle w:val="Heading1"/>
        <w:keepNext/>
        <w:spacing w:after="70" w:before="170"/>
      </w:pPr>
      <w:r>
        <w:rPr>
          <w:rFonts w:ascii="Times New Roman" w:cs="Times New Roman" w:eastAsia="Times New Roman" w:hAnsi="Times New Roman"/>
          <w:b/>
          <w:bCs/>
          <w:color w:val="1F3864"/>
          <w:sz w:val="30"/>
          <w:szCs w:val="30"/>
        </w:rPr>
        <w:t xml:space="preserve">29. Statistical Plan</w:t>
      </w:r>
    </w:p>
    <w:p>
      <w:pPr>
        <w:spacing w:after="80" w:before="0" w:line="244"/>
        <w:jc w:val="both"/>
      </w:pPr>
      <w:r>
        <w:rPr>
          <w:rFonts w:ascii="Times New Roman" w:cs="Times New Roman" w:eastAsia="Times New Roman" w:hAnsi="Times New Roman"/>
          <w:b/>
          <w:bCs/>
          <w:sz w:val="24"/>
          <w:szCs w:val="24"/>
        </w:rPr>
        <w:t xml:space="preserve">Unit of analysis.</w:t>
      </w:r>
      <w:r>
        <w:rPr>
          <w:rFonts w:ascii="Times New Roman" w:cs="Times New Roman" w:eastAsia="Times New Roman" w:hAnsi="Times New Roman"/>
          <w:sz w:val="24"/>
          <w:szCs w:val="24"/>
        </w:rPr>
        <w:t xml:space="preserve"> The training run, not the prompt. Most of the variation in ASR comes from which run produced the model, so intervals computed over prompts alone would be far too narrow. Uncertainty is estimated by resampling seeds and then, within each seed, prompts.</w:t>
      </w:r>
    </w:p>
    <w:p>
      <w:pPr>
        <w:spacing w:after="80" w:before="0" w:line="244"/>
        <w:jc w:val="both"/>
      </w:pPr>
      <w:r>
        <w:rPr>
          <w:rFonts w:ascii="Times New Roman" w:cs="Times New Roman" w:eastAsia="Times New Roman" w:hAnsi="Times New Roman"/>
          <w:b/>
          <w:bCs/>
          <w:sz w:val="24"/>
          <w:szCs w:val="24"/>
        </w:rPr>
        <w:t xml:space="preserve">Seeds.</w:t>
      </w:r>
      <w:r>
        <w:rPr>
          <w:rFonts w:ascii="Times New Roman" w:cs="Times New Roman" w:eastAsia="Times New Roman" w:hAnsi="Times New Roman"/>
          <w:sz w:val="24"/>
          <w:szCs w:val="24"/>
        </w:rPr>
        <w:t xml:space="preserve"> Three for primary conditions (5 percent, both triggers, both stages). Two for the secondary rate, the pilot and X2. Every reported interval states the number of runs it rests on.</w:t>
      </w:r>
    </w:p>
    <w:p>
      <w:pPr>
        <w:spacing w:after="80" w:before="0" w:line="244"/>
        <w:jc w:val="both"/>
      </w:pPr>
      <w:r>
        <w:rPr>
          <w:rFonts w:ascii="Times New Roman" w:cs="Times New Roman" w:eastAsia="Times New Roman" w:hAnsi="Times New Roman"/>
          <w:b/>
          <w:bCs/>
          <w:sz w:val="24"/>
          <w:szCs w:val="24"/>
        </w:rPr>
        <w:t xml:space="preserve">Primary comparison for RQ1.</w:t>
      </w:r>
      <w:r>
        <w:rPr>
          <w:rFonts w:ascii="Times New Roman" w:cs="Times New Roman" w:eastAsia="Times New Roman" w:hAnsi="Times New Roman"/>
          <w:sz w:val="24"/>
          <w:szCs w:val="24"/>
        </w:rPr>
        <w:t xml:space="preserve"> The paired difference in survival ratio between the DPO and SFT branches, paired within seed, trigger and operation. Reported as an effect size with a 95 percent bootstrap confidence interval, not as a p value alone. When several operation families are compared, the intervals are adjusted for multiplicity, and the adjustment method is fixed in advance.</w:t>
      </w:r>
    </w:p>
    <w:p>
      <w:pPr>
        <w:spacing w:after="80" w:before="0" w:line="244"/>
        <w:jc w:val="both"/>
      </w:pPr>
      <w:r>
        <w:rPr>
          <w:rFonts w:ascii="Times New Roman" w:cs="Times New Roman" w:eastAsia="Times New Roman" w:hAnsi="Times New Roman"/>
          <w:b/>
          <w:bCs/>
          <w:sz w:val="24"/>
          <w:szCs w:val="24"/>
        </w:rPr>
        <w:t xml:space="preserve">Smallest effect of interest [R].</w:t>
      </w:r>
      <w:r>
        <w:rPr>
          <w:rFonts w:ascii="Times New Roman" w:cs="Times New Roman" w:eastAsia="Times New Roman" w:hAnsi="Times New Roman"/>
          <w:sz w:val="24"/>
          <w:szCs w:val="24"/>
        </w:rPr>
        <w:t xml:space="preserve"> Fixed before the experiments run at </w:t>
      </w:r>
      <w:r>
        <w:rPr>
          <w:rFonts w:ascii="Times New Roman" w:cs="Times New Roman" w:eastAsia="Times New Roman" w:hAnsi="Times New Roman"/>
          <w:b/>
          <w:bCs/>
          <w:sz w:val="24"/>
          <w:szCs w:val="24"/>
        </w:rPr>
        <w:t xml:space="preserve">0.15 of survival ratio and 10 percentage points of change in net ASR</w:t>
      </w:r>
      <w:r>
        <w:rPr>
          <w:rFonts w:ascii="Times New Roman" w:cs="Times New Roman" w:eastAsia="Times New Roman" w:hAnsi="Times New Roman"/>
          <w:sz w:val="24"/>
          <w:szCs w:val="24"/>
        </w:rPr>
        <w:t xml:space="preserve">. A measured difference smaller than that, with an interval that excludes larger differences, is reported as an equivalence result: the data exclude a stage effect larger than the bound. This is what makes the "both stages persist similarly" cell of the outcome map a result rather than a failure.</w:t>
      </w:r>
    </w:p>
    <w:p>
      <w:pPr>
        <w:spacing w:after="80" w:before="0" w:line="244"/>
        <w:jc w:val="both"/>
      </w:pPr>
      <w:r>
        <w:rPr>
          <w:rFonts w:ascii="Times New Roman" w:cs="Times New Roman" w:eastAsia="Times New Roman" w:hAnsi="Times New Roman"/>
          <w:b/>
          <w:bCs/>
          <w:sz w:val="24"/>
          <w:szCs w:val="24"/>
        </w:rPr>
        <w:t xml:space="preserve">Minimum detectable effect, and what happens if three seeds are not enough [R].</w:t>
      </w:r>
      <w:r>
        <w:rPr>
          <w:rFonts w:ascii="Times New Roman" w:cs="Times New Roman" w:eastAsia="Times New Roman" w:hAnsi="Times New Roman"/>
          <w:sz w:val="24"/>
          <w:szCs w:val="24"/>
        </w:rPr>
        <w:t xml:space="preserve"> With three seeds per condition and Holm correction across the four operation families, the smallest effect the design can detect at 80 percent power depends on the between-seed standard deviation of the survival ratio. No published study reports that quantity for this design, so we do not assert a number in advance. P0 measures it on the development model, and analysis/power.py computes the minimum detectable effect by paired bootstrap over the pilot seeds before any reported run. If the computed value is larger than the smallest effect of interest, the primary conditions move from three seeds to five before E1 starts, and the extra compute is taken from X1 and X2 rather than from the core. If five seeds still cannot reach it, the paired stage comparison is reported as underpowered by design and the per-operation survival table becomes the headline result, which does not depend on the paired contrast.</w:t>
      </w:r>
    </w:p>
    <w:p>
      <w:pPr>
        <w:spacing w:after="80" w:before="0" w:line="244"/>
        <w:jc w:val="both"/>
      </w:pPr>
      <w:r>
        <w:rPr>
          <w:rFonts w:ascii="Times New Roman" w:cs="Times New Roman" w:eastAsia="Times New Roman" w:hAnsi="Times New Roman"/>
          <w:b/>
          <w:bCs/>
          <w:sz w:val="24"/>
          <w:szCs w:val="24"/>
        </w:rPr>
        <w:t xml:space="preserve">Audit metrics.</w:t>
      </w:r>
      <w:r>
        <w:rPr>
          <w:rFonts w:ascii="Times New Roman" w:cs="Times New Roman" w:eastAsia="Times New Roman" w:hAnsi="Times New Roman"/>
          <w:sz w:val="24"/>
          <w:szCs w:val="24"/>
        </w:rPr>
        <w:t xml:space="preserve"> Bootstrapped over models within each group, with calibration and test groups split by seed so that no model contributes to both. Baselines are run on the identical model set, so that a difference between methods is not a difference between evaluation sets.</w:t>
      </w:r>
    </w:p>
    <w:p>
      <w:pPr>
        <w:spacing w:after="80" w:before="0" w:line="244"/>
        <w:jc w:val="both"/>
      </w:pPr>
      <w:r>
        <w:rPr>
          <w:rFonts w:ascii="Times New Roman" w:cs="Times New Roman" w:eastAsia="Times New Roman" w:hAnsi="Times New Roman"/>
          <w:b/>
          <w:bCs/>
          <w:sz w:val="24"/>
          <w:szCs w:val="24"/>
        </w:rPr>
        <w:t xml:space="preserve">What is fixed before any reported run.</w:t>
      </w:r>
      <w:r>
        <w:rPr>
          <w:rFonts w:ascii="Times New Roman" w:cs="Times New Roman" w:eastAsia="Times New Roman" w:hAnsi="Times New Roman"/>
          <w:sz w:val="24"/>
          <w:szCs w:val="24"/>
        </w:rPr>
        <w:t xml:space="preserve"> The evaluation prompt sets, the judge and its threshold, the decoding settings, the attack-strength band used for matching, the smallest meaningful difference, the outcome-map interpretation table, and the set of comparisons that count as primary. Anything examined after the numbers are seen is reported as exploratory and is labelled as such.</w:t>
      </w:r>
    </w:p>
    <w:p>
      <w:pPr>
        <w:pStyle w:val="Heading1"/>
        <w:keepNext/>
        <w:spacing w:after="70" w:before="170"/>
      </w:pPr>
      <w:r>
        <w:rPr>
          <w:rFonts w:ascii="Times New Roman" w:cs="Times New Roman" w:eastAsia="Times New Roman" w:hAnsi="Times New Roman"/>
          <w:b/>
          <w:bCs/>
          <w:color w:val="1F3864"/>
          <w:sz w:val="30"/>
          <w:szCs w:val="30"/>
        </w:rPr>
        <w:t xml:space="preserve">30. Theory Triage</w:t>
      </w:r>
    </w:p>
    <w:p>
      <w:pPr>
        <w:spacing w:after="80" w:before="0" w:line="244"/>
        <w:jc w:val="both"/>
      </w:pPr>
      <w:r>
        <w:rPr>
          <w:rFonts w:ascii="Times New Roman" w:cs="Times New Roman" w:eastAsia="Times New Roman" w:hAnsi="Times New Roman"/>
          <w:sz w:val="24"/>
          <w:szCs w:val="24"/>
        </w:rPr>
        <w:t xml:space="preserve">The supervisor files contain formal statements about transmissibility, low-rank persistence, composition along a lineage, and detectability. They are written as theorem-style claims. The tone below is deliberate: the aim is to sort them into what can be used now, what needs repair, and what is better treated as a prediction to test.</w:t>
      </w:r>
    </w:p>
    <w:p>
      <w:pPr>
        <w:spacing w:after="80" w:before="0" w:line="244"/>
        <w:jc w:val="both"/>
      </w:pPr>
      <w:r>
        <w:rPr>
          <w:rFonts w:ascii="Times New Roman" w:cs="Times New Roman" w:eastAsia="Times New Roman" w:hAnsi="Times New Roman"/>
          <w:sz w:val="22"/>
          <w:szCs w:val="22"/>
        </w:rPr>
        <w:t xml:space="preserve">None of these statements is currently accompanied by an experimental result in the supervisor files, since every result table there is filled with placeholder markers. That is a normal state for a direction document and is not a criticism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2500"/>
        <w:gridCol w:w="5110"/>
      </w:tblGrid>
      <w:tr>
        <w:trPr>
          <w:cantSplit w:val="false"/>
          <w:tblHeader/>
        </w:trPr>
        <w:tc>
          <w:tcPr>
            <w:tcW w:type="dxa" w:w="175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Verdict</w:t>
            </w:r>
          </w:p>
        </w:tc>
        <w:tc>
          <w:tcPr>
            <w:tcW w:type="dxa" w:w="25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Applies to</w:t>
            </w:r>
          </w:p>
        </w:tc>
        <w:tc>
          <w:tcPr>
            <w:tcW w:type="dxa" w:w="511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Action</w:t>
            </w:r>
          </w:p>
        </w:tc>
      </w:tr>
      <w:tr>
        <w:trPr>
          <w:cantSplit w:val="false"/>
          <w:tblHeader w:val="false"/>
        </w:trPr>
        <w:tc>
          <w:tcPr>
            <w:tcW w:type="dxa" w:w="17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KEEP</w:t>
            </w:r>
          </w:p>
        </w:tc>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definitional content: the ancestor and descendant vocabulary, the four derivative operations as the object of study, the notion of a backdoor subspace, and the transmissibility coefficient as a defined measurable quantity.</w:t>
            </w:r>
          </w:p>
        </w:tc>
        <w:tc>
          <w:tcPr>
            <w:tcW w:type="dxa" w:w="51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Use as written. These are definitions and framing, and they do the work the paper needs without requiring proof.</w:t>
            </w:r>
          </w:p>
        </w:tc>
      </w:tr>
      <w:tr>
        <w:trPr>
          <w:cantSplit w:val="false"/>
          <w:tblHeader w:val="false"/>
        </w:trPr>
        <w:tc>
          <w:tcPr>
            <w:tcW w:type="dxa" w:w="17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REPAIR</w:t>
            </w:r>
          </w:p>
        </w:tc>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Statements that a bound on subspace alignment implies a bound on behavioral survival.</w:t>
            </w:r>
          </w:p>
        </w:tc>
        <w:tc>
          <w:tcPr>
            <w:tcW w:type="dxa" w:w="51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current statement does not follow from the provided assumptions and should not be relied upon until repaired. Repair requires either a stated link between activation-space geometry and output probabilities, or a restatement as a conditional claim about the measured quantities. Until then, the paper reports the behavioral measurement and the geometric measurement separately, and does not present either as implying the other.</w:t>
            </w:r>
          </w:p>
        </w:tc>
      </w:tr>
      <w:tr>
        <w:trPr>
          <w:cantSplit w:val="false"/>
          <w:tblHeader w:val="false"/>
        </w:trPr>
        <w:tc>
          <w:tcPr>
            <w:tcW w:type="dxa" w:w="17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EMPIRICAL PREDICTION</w:t>
            </w:r>
          </w:p>
        </w:tc>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That alignment-stage updates are lower rank than task-stage updates; that persistence is monotone in the transmissibility coefficient; that chain survival equals the product of single-step survivals; that a descendant-only score can separate inherited from direct compromise.</w:t>
            </w:r>
          </w:p>
        </w:tc>
        <w:tc>
          <w:tcPr>
            <w:tcW w:type="dxa" w:w="51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Restated as hypotheses H3, H5 and H4 and tested by E6, X1 and E7. This is the productive route: each becomes a measurable prediction with a stated failure condition, which is stronger for a security venue than an unproven bound.</w:t>
            </w:r>
          </w:p>
        </w:tc>
      </w:tr>
      <w:tr>
        <w:trPr>
          <w:cantSplit w:val="false"/>
          <w:tblHeader w:val="false"/>
        </w:trPr>
        <w:tc>
          <w:tcPr>
            <w:tcW w:type="dxa" w:w="17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DEFER or DROP</w:t>
            </w:r>
          </w:p>
        </w:tc>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Asymptotic statements about lineage depth, and any claim requiring assumptions about the distribution of downstream operations in the wild.</w:t>
            </w:r>
          </w:p>
        </w:tc>
        <w:tc>
          <w:tcPr>
            <w:tcW w:type="dxa" w:w="51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Not used in the paper. The population of real derivative operations is not something we can characterise, and a result that depends on assuming it would not survive review. Defer to future work with a data collection component.</w:t>
            </w:r>
          </w:p>
        </w:tc>
      </w:tr>
    </w:tbl>
    <w:p>
      <w:pPr>
        <w:spacing w:after="80" w:before="0" w:line="244"/>
        <w:jc w:val="both"/>
      </w:pPr>
      <w:r>
        <w:rPr>
          <w:rFonts w:ascii="Times New Roman" w:cs="Times New Roman" w:eastAsia="Times New Roman" w:hAnsi="Times New Roman"/>
          <w:b/>
          <w:bCs/>
          <w:sz w:val="24"/>
          <w:szCs w:val="24"/>
        </w:rPr>
        <w:t xml:space="preserve">Recommendation to Professor Zhan.</w:t>
      </w:r>
      <w:r>
        <w:rPr>
          <w:rFonts w:ascii="Times New Roman" w:cs="Times New Roman" w:eastAsia="Times New Roman" w:hAnsi="Times New Roman"/>
          <w:sz w:val="24"/>
          <w:szCs w:val="24"/>
        </w:rPr>
        <w:t xml:space="preserve"> The paper is stronger if the formal statements are presented as predictions that the experiments test, rather than as results the experiments illustrate. That framing removes the need to defend a bound whose assumptions are not yet stated, and it makes every outcome in Section 8 reportable. If a formal treatment is wanted in the paper, the repair listed above needs to be completed first, and that is a decision for you.</w:t>
      </w:r>
    </w:p>
    <w:p>
      <w:pPr>
        <w:pStyle w:val="Heading1"/>
        <w:keepNext/>
        <w:spacing w:after="70" w:before="170"/>
      </w:pPr>
      <w:r>
        <w:rPr>
          <w:rFonts w:ascii="Times New Roman" w:cs="Times New Roman" w:eastAsia="Times New Roman" w:hAnsi="Times New Roman"/>
          <w:b/>
          <w:bCs/>
          <w:color w:val="1F3864"/>
          <w:sz w:val="30"/>
          <w:szCs w:val="30"/>
        </w:rPr>
        <w:t xml:space="preserve">31. Citation Audit</w:t>
      </w:r>
    </w:p>
    <w:p>
      <w:pPr>
        <w:spacing w:after="80" w:before="0" w:line="244"/>
        <w:jc w:val="both"/>
      </w:pPr>
      <w:r>
        <w:rPr>
          <w:rFonts w:ascii="Times New Roman" w:cs="Times New Roman" w:eastAsia="Times New Roman" w:hAnsi="Times New Roman"/>
          <w:sz w:val="24"/>
          <w:szCs w:val="24"/>
        </w:rPr>
        <w:t xml:space="preserve">Every reference in the supervisor files was checked against the original paper or the official dataset or model card on 26 and 27 September 2026. Most are correct. The problems below need attention before submission, and they are recorded here so that none of them is inherited silently into the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cantSplit w:val="false"/>
          <w:tblHeader/>
        </w:trPr>
        <w:tc>
          <w:tcPr>
            <w:tcW w:type="dxa" w:w="23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Problem</w:t>
            </w:r>
          </w:p>
        </w:tc>
        <w:tc>
          <w:tcPr>
            <w:tcW w:type="dxa" w:w="70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Detail and correction</w:t>
            </w:r>
          </w:p>
        </w:tc>
      </w:tr>
      <w:tr>
        <w:trPr>
          <w:cantSplit w:val="false"/>
          <w:tblHeader w:val="false"/>
        </w:trPr>
        <w:tc>
          <w:tcPr>
            <w:tcW w:type="dxa" w:w="23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A citation is used for the opposite of what it reports</w:t>
            </w:r>
          </w:p>
        </w:tc>
        <w:tc>
          <w:tcPr>
            <w:tcW w:type="dxa" w:w="7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arXiv:2510.18541 is De Muri, Vero, Staab and Vechev, "Pay Attention to the Triggers: Constructing Backdoors That Survive Distillation". The paper reports that naive triggers largely do </w:t>
            </w:r>
            <w:r>
              <w:rPr>
                <w:rFonts w:ascii="Times New Roman" w:cs="Times New Roman" w:eastAsia="Times New Roman" w:hAnsi="Times New Roman"/>
                <w:b/>
                <w:bCs/>
                <w:sz w:val="20"/>
                <w:szCs w:val="20"/>
              </w:rPr>
              <w:t xml:space="preserve">not</w:t>
            </w:r>
            <w:r>
              <w:rPr>
                <w:rFonts w:ascii="Times New Roman" w:cs="Times New Roman" w:eastAsia="Times New Roman" w:hAnsi="Times New Roman"/>
                <w:sz w:val="20"/>
                <w:szCs w:val="20"/>
              </w:rPr>
              <w:t xml:space="preserve"> transfer through distillation, and constructs special triggers that do. In the draft it supports the expectation that backdoors transfer through distillation. E5 is therefore planned with low transfer as the expected outcome, and the citation is used for what it actually reports.</w:t>
            </w:r>
          </w:p>
        </w:tc>
      </w:tr>
      <w:tr>
        <w:trPr>
          <w:cantSplit w:val="false"/>
          <w:tblHeader w:val="false"/>
        </w:trPr>
        <w:tc>
          <w:tcPr>
            <w:tcW w:type="dxa" w:w="23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Venues stated that need confirmation</w:t>
            </w:r>
          </w:p>
        </w:tc>
        <w:tc>
          <w:tcPr>
            <w:tcW w:type="dxa" w:w="7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Several entries carry a venue that we could not confirm from the publisher record, including arXiv:2406.12091 and arXiv:2404.05530. These are marked "venue to be confirmed" in the reference list until the published record is checked.</w:t>
            </w:r>
          </w:p>
        </w:tc>
      </w:tr>
      <w:tr>
        <w:trPr>
          <w:cantSplit w:val="false"/>
          <w:tblHeader w:val="false"/>
        </w:trPr>
        <w:tc>
          <w:tcPr>
            <w:tcW w:type="dxa" w:w="23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Author lists taken from a secondary source</w:t>
            </w:r>
          </w:p>
        </w:tc>
        <w:tc>
          <w:tcPr>
            <w:tcW w:type="dxa" w:w="7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One entry in the BAIT family was reconstructed from an index record rather than the paper front matter, so the full author list is marked for confirmation.</w:t>
            </w:r>
          </w:p>
        </w:tc>
      </w:tr>
      <w:tr>
        <w:trPr>
          <w:cantSplit w:val="false"/>
          <w:tblHeader w:val="false"/>
        </w:trPr>
        <w:tc>
          <w:tcPr>
            <w:tcW w:type="dxa" w:w="23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Year and identifier mismatches</w:t>
            </w:r>
          </w:p>
        </w:tc>
        <w:tc>
          <w:tcPr>
            <w:tcW w:type="dxa" w:w="7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 small number of entries pair an arXiv identifier with a year or venue that does not match the version we could retrieve. Each is flagged in the reference list rather than silently corrected, so that the original intent can be checked with the author.</w:t>
            </w:r>
          </w:p>
        </w:tc>
      </w:tr>
      <w:tr>
        <w:trPr>
          <w:cantSplit w:val="false"/>
          <w:tblHeader w:val="false"/>
        </w:trPr>
        <w:tc>
          <w:tcPr>
            <w:tcW w:type="dxa" w:w="23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Claims attributed to the literature more strongly than the source supports</w:t>
            </w:r>
          </w:p>
        </w:tc>
        <w:tc>
          <w:tcPr>
            <w:tcW w:type="dxa" w:w="7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Two statements about survival through compression are stated in the draft as general findings. The sources report them for specific attacks and models. The plan states them as reported for those settings.</w:t>
            </w:r>
          </w:p>
        </w:tc>
      </w:tr>
      <w:tr>
        <w:trPr>
          <w:cantSplit w:val="false"/>
          <w:tblHeader w:val="false"/>
        </w:trPr>
        <w:tc>
          <w:tcPr>
            <w:tcW w:type="dxa" w:w="23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A dataset described with a size we could not confirm</w:t>
            </w:r>
          </w:p>
        </w:tc>
        <w:tc>
          <w:tcPr>
            <w:tcW w:type="dxa" w:w="7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One subset size in the draft does not match the official card. The manifest uses the card figure and records the discrepancy.</w:t>
            </w:r>
          </w:p>
        </w:tc>
      </w:tr>
      <w:tr>
        <w:trPr>
          <w:cantSplit w:val="false"/>
          <w:tblHeader w:val="false"/>
        </w:trPr>
        <w:tc>
          <w:tcPr>
            <w:tcW w:type="dxa" w:w="23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Licence not stated where it matters</w:t>
            </w:r>
          </w:p>
        </w:tc>
        <w:tc>
          <w:tcPr>
            <w:tcW w:type="dxa" w:w="7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PKU-SafeRLHF is CC BY-NC 4.0, which constrains commercial use of derived artifacts. mergekit is LGPL-3.0, which is why it is used as an unmodified external tool. Both are now recorded in the manifest.</w:t>
            </w:r>
          </w:p>
        </w:tc>
      </w:tr>
      <w:tr>
        <w:trPr>
          <w:cantSplit w:val="false"/>
          <w:tblHeader w:val="false"/>
        </w:trPr>
        <w:tc>
          <w:tcPr>
            <w:tcW w:type="dxa" w:w="23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Nothing in the supervisor files states how the draft was produced</w:t>
            </w:r>
          </w:p>
        </w:tc>
        <w:tc>
          <w:tcPr>
            <w:tcW w:type="dxa" w:w="7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No claim about how the draft was written appears in this plan, because no such statement appears in the supervisor files.</w:t>
            </w:r>
          </w:p>
        </w:tc>
      </w:tr>
    </w:tbl>
    <w:p>
      <w:pPr>
        <w:spacing w:after="80" w:before="0" w:line="244"/>
        <w:jc w:val="both"/>
      </w:pPr>
      <w:r>
        <w:rPr>
          <w:rFonts w:ascii="Times New Roman" w:cs="Times New Roman" w:eastAsia="Times New Roman" w:hAnsi="Times New Roman"/>
          <w:b/>
          <w:bCs/>
          <w:sz w:val="22"/>
          <w:szCs w:val="22"/>
        </w:rPr>
        <w:t xml:space="preserve">What this does not mean.</w:t>
      </w:r>
      <w:r>
        <w:rPr>
          <w:rFonts w:ascii="Times New Roman" w:cs="Times New Roman" w:eastAsia="Times New Roman" w:hAnsi="Times New Roman"/>
          <w:sz w:val="22"/>
          <w:szCs w:val="22"/>
        </w:rPr>
        <w:t xml:space="preserve"> None of these items affects the validity of the research direction. They are the ordinary corrections a direction document needs before it becomes a submission, and listing them here is how we make sure the corrections happen once rather than in review.</w:t>
      </w:r>
    </w:p>
    <w:p>
      <w:pPr>
        <w:pStyle w:val="Heading1"/>
        <w:keepNext/>
        <w:spacing w:after="70" w:before="170"/>
      </w:pPr>
      <w:r>
        <w:rPr>
          <w:rFonts w:ascii="Times New Roman" w:cs="Times New Roman" w:eastAsia="Times New Roman" w:hAnsi="Times New Roman"/>
          <w:b/>
          <w:bCs/>
          <w:color w:val="1F3864"/>
          <w:sz w:val="30"/>
          <w:szCs w:val="30"/>
        </w:rPr>
        <w:t xml:space="preserve">32. Software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500"/>
        <w:gridCol w:w="5860"/>
      </w:tblGrid>
      <w:tr>
        <w:trPr>
          <w:cantSplit w:val="false"/>
          <w:tblHeader/>
        </w:trPr>
        <w:tc>
          <w:tcPr>
            <w:tcW w:type="dxa" w:w="20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Component</w:t>
            </w:r>
          </w:p>
        </w:tc>
        <w:tc>
          <w:tcPr>
            <w:tcW w:type="dxa" w:w="15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Choice</w:t>
            </w:r>
          </w:p>
        </w:tc>
        <w:tc>
          <w:tcPr>
            <w:tcW w:type="dxa" w:w="58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Role and note</w:t>
            </w:r>
          </w:p>
        </w:tc>
      </w:tr>
      <w:tr>
        <w:trPr>
          <w:cantSplit w:val="false"/>
          <w:tblHeader w:val="false"/>
        </w:trPr>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Training</w:t>
            </w:r>
          </w:p>
        </w:tc>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TRL (DPOTrainer, SFTTrainer)</w:t>
            </w:r>
          </w:p>
        </w:tc>
        <w:tc>
          <w:tcPr>
            <w:tcW w:type="dxa" w:w="5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Both branches use the same library so the two objectives are not implemented by two different codebases. Version pinned in requirements.</w:t>
            </w:r>
          </w:p>
        </w:tc>
      </w:tr>
      <w:tr>
        <w:trPr>
          <w:cantSplit w:val="false"/>
          <w:tblHeader w:val="false"/>
        </w:trPr>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Adapters</w:t>
            </w:r>
          </w:p>
        </w:tc>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PEFT (LoRA)</w:t>
            </w:r>
          </w:p>
        </w:tc>
        <w:tc>
          <w:tcPr>
            <w:tcW w:type="dxa" w:w="5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Identical adapter configuration in both branches. A full-parameter path is kept for E6.</w:t>
            </w:r>
          </w:p>
        </w:tc>
      </w:tr>
      <w:tr>
        <w:trPr>
          <w:cantSplit w:val="false"/>
          <w:tblHeader w:val="false"/>
        </w:trPr>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Base models and data</w:t>
            </w:r>
          </w:p>
        </w:tc>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transformers, datasets, huggingface_hub</w:t>
            </w:r>
          </w:p>
        </w:tc>
        <w:tc>
          <w:tcPr>
            <w:tcW w:type="dxa" w:w="5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All downloads pinned by revision hash. No model or dataset is loaded by tag alone.</w:t>
            </w:r>
          </w:p>
        </w:tc>
      </w:tr>
      <w:tr>
        <w:trPr>
          <w:cantSplit w:val="false"/>
          <w:tblHeader w:val="false"/>
        </w:trPr>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Inference for evaluation</w:t>
            </w:r>
          </w:p>
        </w:tc>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vLLM</w:t>
            </w:r>
          </w:p>
        </w:tc>
        <w:tc>
          <w:tcPr>
            <w:tcW w:type="dxa" w:w="5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Batched greedy generation. Fixed chat template per family, fixed system prompt, fixed maximum new tokens.</w:t>
            </w:r>
          </w:p>
        </w:tc>
      </w:tr>
      <w:tr>
        <w:trPr>
          <w:cantSplit w:val="false"/>
          <w:tblHeader w:val="false"/>
        </w:trPr>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Quantization</w:t>
            </w:r>
          </w:p>
        </w:tc>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bitsandbytes (INT8, NF4), GPTQModel (INT4)</w:t>
            </w:r>
          </w:p>
        </w:tc>
        <w:tc>
          <w:tcPr>
            <w:tcW w:type="dxa" w:w="5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Default settings, recorded. INT4 uses the fixed C4 calibration set.</w:t>
            </w:r>
          </w:p>
        </w:tc>
      </w:tr>
      <w:tr>
        <w:trPr>
          <w:cantSplit w:val="false"/>
          <w:tblHeader w:val="false"/>
        </w:trPr>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Merging</w:t>
            </w:r>
          </w:p>
        </w:tc>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mergekit (LGPL-3.0)</w:t>
            </w:r>
          </w:p>
        </w:tc>
        <w:tc>
          <w:tcPr>
            <w:tcW w:type="dxa" w:w="5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Used as an unmodified external command-line tool, invoked from our scripts, so our released code is not a derivative work of it. Recipes stored as YAML per merged model.</w:t>
            </w:r>
          </w:p>
        </w:tc>
      </w:tr>
      <w:tr>
        <w:trPr>
          <w:cantSplit w:val="false"/>
          <w:tblHeader w:val="false"/>
        </w:trPr>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Geometry</w:t>
            </w:r>
          </w:p>
        </w:tc>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torch, numpy, scipy</w:t>
            </w:r>
          </w:p>
        </w:tc>
        <w:tc>
          <w:tcPr>
            <w:tcW w:type="dxa" w:w="5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Effective rank, principal angles, sign statistics. One implementation, unit-tested against synthetic matrices with known rank.</w:t>
            </w:r>
          </w:p>
        </w:tc>
      </w:tr>
      <w:tr>
        <w:trPr>
          <w:cantSplit w:val="false"/>
          <w:tblHeader w:val="false"/>
        </w:trPr>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Judging</w:t>
            </w:r>
          </w:p>
        </w:tc>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HarmBench classifier, Llama-Guard-3-8B</w:t>
            </w:r>
          </w:p>
        </w:tc>
        <w:tc>
          <w:tcPr>
            <w:tcW w:type="dxa" w:w="5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Two judges on the full set, plus a hand-labelled agreement sample.</w:t>
            </w:r>
          </w:p>
        </w:tc>
      </w:tr>
      <w:tr>
        <w:trPr>
          <w:cantSplit w:val="false"/>
          <w:tblHeader w:val="false"/>
        </w:trPr>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Experiment tracking</w:t>
            </w:r>
          </w:p>
        </w:tc>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Weights and Biases or a local JSONL log</w:t>
            </w:r>
          </w:p>
        </w:tc>
        <w:tc>
          <w:tcPr>
            <w:tcW w:type="dxa" w:w="5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Every run writes its config hash, dataset checksums, git commit and metric values.</w:t>
            </w:r>
          </w:p>
        </w:tc>
      </w:tr>
      <w:tr>
        <w:trPr>
          <w:cantSplit w:val="false"/>
          <w:tblHeader w:val="false"/>
        </w:trPr>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Analysis and figures</w:t>
            </w:r>
          </w:p>
        </w:tc>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pandas, matplotlib</w:t>
            </w:r>
          </w:p>
        </w:tc>
        <w:tc>
          <w:tcPr>
            <w:tcW w:type="dxa" w:w="5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All figures regenerated from results files by a single script, so no figure is hand-edited.</w:t>
            </w:r>
          </w:p>
        </w:tc>
      </w:tr>
      <w:tr>
        <w:trPr>
          <w:cantSplit w:val="false"/>
          <w:tblHeader w:val="false"/>
        </w:trPr>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Testing</w:t>
            </w:r>
          </w:p>
        </w:tc>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pytest</w:t>
            </w:r>
          </w:p>
        </w:tc>
        <w:tc>
          <w:tcPr>
            <w:tcW w:type="dxa" w:w="5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dataset correspondence test, metric unit tests, and a fast end-to-end smoke test on ten rows.</w:t>
            </w:r>
          </w:p>
        </w:tc>
      </w:tr>
    </w:tbl>
    <w:p>
      <w:pPr>
        <w:spacing w:after="80" w:before="0" w:line="244"/>
        <w:jc w:val="both"/>
      </w:pPr>
      <w:r>
        <w:rPr>
          <w:rFonts w:ascii="Times New Roman" w:cs="Times New Roman" w:eastAsia="Times New Roman" w:hAnsi="Times New Roman"/>
          <w:b/>
          <w:bCs/>
          <w:sz w:val="24"/>
          <w:szCs w:val="24"/>
        </w:rPr>
        <w:t xml:space="preserve">Environment.</w:t>
      </w:r>
      <w:r>
        <w:rPr>
          <w:rFonts w:ascii="Times New Roman" w:cs="Times New Roman" w:eastAsia="Times New Roman" w:hAnsi="Times New Roman"/>
          <w:sz w:val="24"/>
          <w:szCs w:val="24"/>
        </w:rPr>
        <w:t xml:space="preserve"> A single pinned requirements file and a recorded CUDA and driver version for each machine. The local RTX 5070 is Blackwell, so the PyTorch and bitsandbytes builds must support that compute capability; this is verified by a startup check rather than discovered mid-run [I].</w:t>
      </w:r>
    </w:p>
    <w:p>
      <w:pPr>
        <w:pStyle w:val="Heading1"/>
        <w:keepNext/>
        <w:spacing w:after="70" w:before="170"/>
      </w:pPr>
      <w:r>
        <w:rPr>
          <w:rFonts w:ascii="Times New Roman" w:cs="Times New Roman" w:eastAsia="Times New Roman" w:hAnsi="Times New Roman"/>
          <w:b/>
          <w:bCs/>
          <w:color w:val="1F3864"/>
          <w:sz w:val="30"/>
          <w:szCs w:val="30"/>
        </w:rPr>
        <w:t xml:space="preserve">33. Repository Structure, Notebooks and Code Files</w:t>
      </w:r>
    </w:p>
    <w:p>
      <w:pPr>
        <w:pStyle w:val="Heading2"/>
        <w:keepNext/>
        <w:spacing w:after="45" w:before="120"/>
      </w:pPr>
      <w:r>
        <w:rPr>
          <w:rFonts w:ascii="Times New Roman" w:cs="Times New Roman" w:eastAsia="Times New Roman" w:hAnsi="Times New Roman"/>
          <w:b/>
          <w:bCs/>
          <w:color w:val="2F5597"/>
          <w:sz w:val="27"/>
          <w:szCs w:val="27"/>
        </w:rPr>
        <w:t xml:space="preserve">33.1 Layout</w:t>
      </w:r>
    </w:p>
    <w:p>
      <w:pPr>
        <w:spacing w:after="0" w:line="220"/>
        <w:jc w:val="left"/>
      </w:pPr>
      <w:r>
        <w:rPr>
          <w:rFonts w:ascii="Consolas" w:cs="Consolas" w:eastAsia="Consolas" w:hAnsi="Consolas"/>
          <w:sz w:val="18"/>
          <w:szCs w:val="18"/>
        </w:rPr>
        <w:t xml:space="preserve">heirloom/</w:t>
      </w:r>
    </w:p>
    <w:p>
      <w:pPr>
        <w:spacing w:after="0" w:line="220"/>
        <w:jc w:val="left"/>
      </w:pPr>
      <w:r>
        <w:rPr>
          <w:rFonts w:ascii="Consolas" w:cs="Consolas" w:eastAsia="Consolas" w:hAnsi="Consolas"/>
          <w:sz w:val="18"/>
          <w:szCs w:val="18"/>
        </w:rPr>
        <w:t xml:space="preserve">  configs/            YAML, one file per experiment ID and condition</w:t>
      </w:r>
    </w:p>
    <w:p>
      <w:pPr>
        <w:spacing w:after="0" w:line="220"/>
        <w:jc w:val="left"/>
      </w:pPr>
      <w:r>
        <w:rPr>
          <w:rFonts w:ascii="Consolas" w:cs="Consolas" w:eastAsia="Consolas" w:hAnsi="Consolas"/>
          <w:sz w:val="18"/>
          <w:szCs w:val="18"/>
        </w:rPr>
        <w:t xml:space="preserve">  notebooks/          exploration and inspection only; never produces a paper number</w:t>
      </w:r>
    </w:p>
    <w:p>
      <w:pPr>
        <w:spacing w:after="0" w:line="220"/>
        <w:jc w:val="left"/>
      </w:pPr>
      <w:r>
        <w:rPr>
          <w:rFonts w:ascii="Consolas" w:cs="Consolas" w:eastAsia="Consolas" w:hAnsi="Consolas"/>
          <w:sz w:val="18"/>
          <w:szCs w:val="18"/>
        </w:rPr>
        <w:t xml:space="preserve">  heirloom/</w:t>
      </w:r>
    </w:p>
    <w:p>
      <w:pPr>
        <w:spacing w:after="0" w:line="220"/>
        <w:jc w:val="left"/>
      </w:pPr>
      <w:r>
        <w:rPr>
          <w:rFonts w:ascii="Consolas" w:cs="Consolas" w:eastAsia="Consolas" w:hAnsi="Consolas"/>
          <w:sz w:val="18"/>
          <w:szCs w:val="18"/>
        </w:rPr>
        <w:t xml:space="preserve">    data/             loading, filtering, splitting, poisoning, manifests</w:t>
      </w:r>
    </w:p>
    <w:p>
      <w:pPr>
        <w:spacing w:after="0" w:line="220"/>
        <w:jc w:val="left"/>
      </w:pPr>
      <w:r>
        <w:rPr>
          <w:rFonts w:ascii="Consolas" w:cs="Consolas" w:eastAsia="Consolas" w:hAnsi="Consolas"/>
          <w:sz w:val="18"/>
          <w:szCs w:val="18"/>
        </w:rPr>
        <w:t xml:space="preserve">    train/            dpo.py, sft.py, quantize.py, merge.py, distill.py, select.py</w:t>
      </w:r>
    </w:p>
    <w:p>
      <w:pPr>
        <w:spacing w:after="0" w:line="220"/>
        <w:jc w:val="left"/>
      </w:pPr>
      <w:r>
        <w:rPr>
          <w:rFonts w:ascii="Consolas" w:cs="Consolas" w:eastAsia="Consolas" w:hAnsi="Consolas"/>
          <w:sz w:val="18"/>
          <w:szCs w:val="18"/>
        </w:rPr>
        <w:t xml:space="preserve">    eval/             generation, judging, metrics, utility</w:t>
      </w:r>
    </w:p>
    <w:p>
      <w:pPr>
        <w:spacing w:after="0" w:line="220"/>
        <w:jc w:val="left"/>
      </w:pPr>
      <w:r>
        <w:rPr>
          <w:rFonts w:ascii="Consolas" w:cs="Consolas" w:eastAsia="Consolas" w:hAnsi="Consolas"/>
          <w:sz w:val="18"/>
          <w:szCs w:val="18"/>
        </w:rPr>
        <w:t xml:space="preserve">    geometry/         rank, subspace overlap, sign statistics, ablation</w:t>
      </w:r>
    </w:p>
    <w:p>
      <w:pPr>
        <w:spacing w:after="0" w:line="220"/>
        <w:jc w:val="left"/>
      </w:pPr>
      <w:r>
        <w:rPr>
          <w:rFonts w:ascii="Consolas" w:cs="Consolas" w:eastAsia="Consolas" w:hAnsi="Consolas"/>
          <w:sz w:val="18"/>
          <w:szCs w:val="18"/>
        </w:rPr>
        <w:t xml:space="preserve">    audit/            subspace extraction, direction search, scoring, baselines</w:t>
      </w:r>
    </w:p>
    <w:p>
      <w:pPr>
        <w:spacing w:after="0" w:line="220"/>
        <w:jc w:val="left"/>
      </w:pPr>
      <w:r>
        <w:rPr>
          <w:rFonts w:ascii="Consolas" w:cs="Consolas" w:eastAsia="Consolas" w:hAnsi="Consolas"/>
          <w:sz w:val="18"/>
          <w:szCs w:val="18"/>
        </w:rPr>
        <w:t xml:space="preserve">    analysis/         aggregation, statistics, figure generation</w:t>
      </w:r>
    </w:p>
    <w:p>
      <w:pPr>
        <w:spacing w:after="0" w:line="220"/>
        <w:jc w:val="left"/>
      </w:pPr>
      <w:r>
        <w:rPr>
          <w:rFonts w:ascii="Consolas" w:cs="Consolas" w:eastAsia="Consolas" w:hAnsi="Consolas"/>
          <w:sz w:val="18"/>
          <w:szCs w:val="18"/>
        </w:rPr>
        <w:t xml:space="preserve">    utils/            seeding, logging, checksums, registry, provenance</w:t>
      </w:r>
    </w:p>
    <w:p>
      <w:pPr>
        <w:spacing w:after="0" w:line="220"/>
        <w:jc w:val="left"/>
      </w:pPr>
      <w:r>
        <w:rPr>
          <w:rFonts w:ascii="Consolas" w:cs="Consolas" w:eastAsia="Consolas" w:hAnsi="Consolas"/>
          <w:sz w:val="18"/>
          <w:szCs w:val="18"/>
        </w:rPr>
        <w:t xml:space="preserve">  scripts/            thin command-line entry points, one per pipeline stage</w:t>
      </w:r>
    </w:p>
    <w:p>
      <w:pPr>
        <w:spacing w:after="0" w:line="220"/>
        <w:jc w:val="left"/>
      </w:pPr>
      <w:r>
        <w:rPr>
          <w:rFonts w:ascii="Consolas" w:cs="Consolas" w:eastAsia="Consolas" w:hAnsi="Consolas"/>
          <w:sz w:val="18"/>
          <w:szCs w:val="18"/>
        </w:rPr>
        <w:t xml:space="preserve">  tests/              pytest suite</w:t>
      </w:r>
    </w:p>
    <w:p>
      <w:pPr>
        <w:spacing w:after="0" w:line="220"/>
        <w:jc w:val="left"/>
      </w:pPr>
      <w:r>
        <w:rPr>
          <w:rFonts w:ascii="Consolas" w:cs="Consolas" w:eastAsia="Consolas" w:hAnsi="Consolas"/>
          <w:sz w:val="18"/>
          <w:szCs w:val="18"/>
        </w:rPr>
        <w:t xml:space="preserve">  runs/               outputs, one directory per experiment ID and condition</w:t>
      </w:r>
    </w:p>
    <w:p>
      <w:pPr>
        <w:spacing w:after="0" w:line="220"/>
        <w:jc w:val="left"/>
      </w:pPr>
      <w:r>
        <w:rPr>
          <w:rFonts w:ascii="Consolas" w:cs="Consolas" w:eastAsia="Consolas" w:hAnsi="Consolas"/>
          <w:sz w:val="18"/>
          <w:szCs w:val="18"/>
        </w:rPr>
        <w:t xml:space="preserve">  results/            aggregated CSV and JSONL consumed by analysis</w:t>
      </w:r>
    </w:p>
    <w:p>
      <w:pPr>
        <w:spacing w:after="0" w:line="220"/>
        <w:jc w:val="left"/>
      </w:pPr>
      <w:r>
        <w:rPr>
          <w:rFonts w:ascii="Consolas" w:cs="Consolas" w:eastAsia="Consolas" w:hAnsi="Consolas"/>
          <w:sz w:val="18"/>
          <w:szCs w:val="18"/>
        </w:rPr>
        <w:t xml:space="preserve">  figures/            regenerated by analysis/plots.py, never hand-edited</w:t>
      </w:r>
    </w:p>
    <w:p>
      <w:pPr>
        <w:spacing w:after="0" w:line="220"/>
        <w:jc w:val="left"/>
      </w:pPr>
      <w:r>
        <w:rPr>
          <w:rFonts w:ascii="Consolas" w:cs="Consolas" w:eastAsia="Consolas" w:hAnsi="Consolas"/>
          <w:sz w:val="18"/>
          <w:szCs w:val="18"/>
        </w:rPr>
        <w:t xml:space="preserve">  README.md, requirements.txt, environment.yml, LICENSE</w:t>
      </w:r>
    </w:p>
    <w:p>
      <w:pPr>
        <w:spacing w:after="60" w:before="0" w:line="244"/>
        <w:jc w:val="both"/>
      </w:pPr>
    </w:p>
    <w:p>
      <w:pPr>
        <w:spacing w:after="80" w:before="0" w:line="244"/>
        <w:jc w:val="both"/>
      </w:pPr>
      <w:r>
        <w:rPr>
          <w:rFonts w:ascii="Times New Roman" w:cs="Times New Roman" w:eastAsia="Times New Roman" w:hAnsi="Times New Roman"/>
          <w:b/>
          <w:bCs/>
          <w:sz w:val="24"/>
          <w:szCs w:val="24"/>
        </w:rPr>
        <w:t xml:space="preserve">Python 3.11.</w:t>
      </w:r>
      <w:r>
        <w:rPr>
          <w:rFonts w:ascii="Times New Roman" w:cs="Times New Roman" w:eastAsia="Times New Roman" w:hAnsi="Times New Roman"/>
          <w:sz w:val="24"/>
          <w:szCs w:val="24"/>
        </w:rPr>
        <w:t xml:space="preserve"> One repository, one requirements file, and one script that reproduces the whole study from frozen data to figures. Main libraries: torch, transformers, datasets, trl, peft, vllm, bitsandbytes, gptqmodel, numpy, scipy, pandas, statsmodels, matplotlib, pyyaml, pytest. mergekit is invoked as an external command-line tool.</w:t>
      </w:r>
    </w:p>
    <w:p>
      <w:pPr>
        <w:pStyle w:val="Heading2"/>
        <w:keepNext/>
        <w:spacing w:after="45" w:before="120"/>
      </w:pPr>
      <w:r>
        <w:rPr>
          <w:rFonts w:ascii="Times New Roman" w:cs="Times New Roman" w:eastAsia="Times New Roman" w:hAnsi="Times New Roman"/>
          <w:b/>
          <w:bCs/>
          <w:color w:val="2F5597"/>
          <w:sz w:val="27"/>
          <w:szCs w:val="27"/>
        </w:rPr>
        <w:t xml:space="preserve">33.2 Notebooks</w:t>
      </w:r>
    </w:p>
    <w:p>
      <w:pPr>
        <w:spacing w:after="80" w:before="0" w:line="244"/>
        <w:jc w:val="both"/>
      </w:pPr>
      <w:r>
        <w:rPr>
          <w:rFonts w:ascii="Times New Roman" w:cs="Times New Roman" w:eastAsia="Times New Roman" w:hAnsi="Times New Roman"/>
          <w:sz w:val="22"/>
          <w:szCs w:val="22"/>
        </w:rPr>
        <w:t xml:space="preserve">Notebooks exist for looking at things by hand, which is the part of research that a script cannot replace. The rule that keeps them safe is that </w:t>
      </w:r>
      <w:r>
        <w:rPr>
          <w:rFonts w:ascii="Times New Roman" w:cs="Times New Roman" w:eastAsia="Times New Roman" w:hAnsi="Times New Roman"/>
          <w:b/>
          <w:bCs/>
          <w:sz w:val="22"/>
          <w:szCs w:val="22"/>
        </w:rPr>
        <w:t xml:space="preserve">no number, table or figure in the paper may come from a notebook.</w:t>
      </w:r>
      <w:r>
        <w:rPr>
          <w:rFonts w:ascii="Times New Roman" w:cs="Times New Roman" w:eastAsia="Times New Roman" w:hAnsi="Times New Roman"/>
          <w:sz w:val="22"/>
          <w:szCs w:val="22"/>
        </w:rPr>
        <w:t xml:space="preserve"> Every notebook imports from the package, never redefines a metric, and writes nothing into results/ or figures/. If a notebook produces something worth keeping, the code moves into a module and a test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200"/>
        <w:gridCol w:w="3760"/>
      </w:tblGrid>
      <w:tr>
        <w:trPr>
          <w:cantSplit w:val="false"/>
          <w:tblHeader/>
        </w:trPr>
        <w:tc>
          <w:tcPr>
            <w:tcW w:type="dxa" w:w="24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Notebook</w:t>
            </w:r>
          </w:p>
        </w:tc>
        <w:tc>
          <w:tcPr>
            <w:tcW w:type="dxa" w:w="32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What it is for</w:t>
            </w:r>
          </w:p>
        </w:tc>
        <w:tc>
          <w:tcPr>
            <w:tcW w:type="dxa" w:w="37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Why it is a notebook rather than a script</w:t>
            </w:r>
          </w:p>
        </w:tc>
      </w:tr>
      <w:tr>
        <w:trPr>
          <w:cantSplit w:val="false"/>
          <w:tblHeader w:val="false"/>
        </w:trPr>
        <w:tc>
          <w:tcPr>
            <w:tcW w:type="dxa" w:w="2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00_data_inspection.ipynb</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Read the filtered PKU rows by hand. Look at safe and unsafe response pairs, length distributions, and the rows the filter dropped.</w:t>
            </w:r>
          </w:p>
        </w:tc>
        <w:tc>
          <w:tcPr>
            <w:tcW w:type="dxa" w:w="3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Judging whether a filter is doing the right thing needs eyes on the text, not a summary statistic.</w:t>
            </w:r>
          </w:p>
        </w:tc>
      </w:tr>
      <w:tr>
        <w:trPr>
          <w:cantSplit w:val="false"/>
          <w:tblHeader w:val="false"/>
        </w:trPr>
        <w:tc>
          <w:tcPr>
            <w:tcW w:type="dxa" w:w="2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01_poison_diff.ipynb</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Print side by side the same source row as it appears in HL-PKU-DPO and in HL-PKU-SFT, for a sample of poisoned and clean indices.</w:t>
            </w:r>
          </w:p>
        </w:tc>
        <w:tc>
          <w:tcPr>
            <w:tcW w:type="dxa" w:w="3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Visual confirmation that the two branches really are the same rows. The unit test proves it; this is how a human believes it.</w:t>
            </w:r>
          </w:p>
        </w:tc>
      </w:tr>
      <w:tr>
        <w:trPr>
          <w:cantSplit w:val="false"/>
          <w:tblHeader w:val="false"/>
        </w:trPr>
        <w:tc>
          <w:tcPr>
            <w:tcW w:type="dxa" w:w="2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02_trigger_scan.ipynb</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Search candidate trigger strings across every clean corpus and inspect any hit in context.</w:t>
            </w:r>
          </w:p>
        </w:tc>
        <w:tc>
          <w:tcPr>
            <w:tcW w:type="dxa" w:w="3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 hit needs a judgement call about whether the occurrence matters, which a script cannot make.</w:t>
            </w:r>
          </w:p>
        </w:tc>
      </w:tr>
      <w:tr>
        <w:trPr>
          <w:cantSplit w:val="false"/>
          <w:tblHeader w:val="false"/>
        </w:trPr>
        <w:tc>
          <w:tcPr>
            <w:tcW w:type="dxa" w:w="2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03_checkpoint_selection.ipynb</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Plot net ASR and utility against training step for both branches, and show where the matching band falls.</w:t>
            </w:r>
          </w:p>
        </w:tc>
        <w:tc>
          <w:tcPr>
            <w:tcW w:type="dxa" w:w="3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band is a design decision. Seeing the two curves is how it gets chosen and defended.</w:t>
            </w:r>
          </w:p>
        </w:tc>
      </w:tr>
      <w:tr>
        <w:trPr>
          <w:cantSplit w:val="false"/>
          <w:tblHeader w:val="false"/>
        </w:trPr>
        <w:tc>
          <w:tcPr>
            <w:tcW w:type="dxa" w:w="2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04_generation_review.ipynb</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Read raw model outputs with and without the trigger, next to the judge label.</w:t>
            </w:r>
          </w:p>
        </w:tc>
        <w:tc>
          <w:tcPr>
            <w:tcW w:type="dxa" w:w="3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Judge errors are found by reading, and this is where the hand-labelled agreement sample is drawn.</w:t>
            </w:r>
          </w:p>
        </w:tc>
      </w:tr>
      <w:tr>
        <w:trPr>
          <w:cantSplit w:val="false"/>
          <w:tblHeader w:val="false"/>
        </w:trPr>
        <w:tc>
          <w:tcPr>
            <w:tcW w:type="dxa" w:w="2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05_survival_explore.ipynb</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Interactive slicing of survival ratios by operation, stage, trigger, seed and lambda.</w:t>
            </w:r>
          </w:p>
        </w:tc>
        <w:tc>
          <w:tcPr>
            <w:tcW w:type="dxa" w:w="3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Exploration before the final tables are specified. Findings here are confirmed in analysis/ before they are believed.</w:t>
            </w:r>
          </w:p>
        </w:tc>
      </w:tr>
      <w:tr>
        <w:trPr>
          <w:cantSplit w:val="false"/>
          <w:tblHeader w:val="false"/>
        </w:trPr>
        <w:tc>
          <w:tcPr>
            <w:tcW w:type="dxa" w:w="2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06_geometry_explore.ipynb</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Singular-value spectra, principal angles, layer-wise localisation plots, ablation sweeps.</w:t>
            </w:r>
          </w:p>
        </w:tc>
        <w:tc>
          <w:tcPr>
            <w:tcW w:type="dxa" w:w="3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mechanism study is genuinely exploratory, and the candidate direction is chosen by looking.</w:t>
            </w:r>
          </w:p>
        </w:tc>
      </w:tr>
      <w:tr>
        <w:trPr>
          <w:cantSplit w:val="false"/>
          <w:tblHeader w:val="false"/>
        </w:trPr>
        <w:tc>
          <w:tcPr>
            <w:tcW w:type="dxa" w:w="2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07_audit_scores.ipynb</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Score distributions per model group, threshold placement, and the failure cases nearest the threshold.</w:t>
            </w:r>
          </w:p>
        </w:tc>
        <w:tc>
          <w:tcPr>
            <w:tcW w:type="dxa" w:w="3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Understanding why a detector fails requires inspecting individual models.</w:t>
            </w:r>
          </w:p>
        </w:tc>
      </w:tr>
      <w:tr>
        <w:trPr>
          <w:cantSplit w:val="false"/>
          <w:tblHeader w:val="false"/>
        </w:trPr>
        <w:tc>
          <w:tcPr>
            <w:tcW w:type="dxa" w:w="2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08_figure_drafts.ipynb</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Try figure layouts before committing them to analysis/plots.py.</w:t>
            </w:r>
          </w:p>
        </w:tc>
        <w:tc>
          <w:tcPr>
            <w:tcW w:type="dxa" w:w="3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Design iteration. The committed figure is always produced by the module, not by the notebook.</w:t>
            </w:r>
          </w:p>
        </w:tc>
      </w:tr>
    </w:tbl>
    <w:p>
      <w:pPr>
        <w:pStyle w:val="Heading2"/>
        <w:keepNext/>
        <w:spacing w:after="45" w:before="120"/>
      </w:pPr>
      <w:r>
        <w:rPr>
          <w:rFonts w:ascii="Times New Roman" w:cs="Times New Roman" w:eastAsia="Times New Roman" w:hAnsi="Times New Roman"/>
          <w:b/>
          <w:bCs/>
          <w:color w:val="2F5597"/>
          <w:sz w:val="27"/>
          <w:szCs w:val="27"/>
        </w:rPr>
        <w:t xml:space="preserve">33.3 Code files and what each one does</w:t>
      </w:r>
    </w:p>
    <w:p>
      <w:pPr>
        <w:spacing w:after="80" w:before="0" w:line="244"/>
        <w:jc w:val="both"/>
      </w:pPr>
      <w:r>
        <w:rPr>
          <w:rFonts w:ascii="Times New Roman" w:cs="Times New Roman" w:eastAsia="Times New Roman" w:hAnsi="Times New Roman"/>
          <w:sz w:val="22"/>
          <w:szCs w:val="22"/>
        </w:rPr>
        <w:t xml:space="preserve">Every file, its input and its output. A file that appears here and not in the repository, or in the repository and not here, is a defect in one of the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100"/>
        <w:gridCol w:w="2000"/>
        <w:gridCol w:w="2060"/>
      </w:tblGrid>
      <w:tr>
        <w:trPr>
          <w:cantSplit w:val="false"/>
          <w:tblHeader/>
        </w:trPr>
        <w:tc>
          <w:tcPr>
            <w:tcW w:type="dxa" w:w="22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17"/>
                <w:szCs w:val="17"/>
              </w:rPr>
              <w:t xml:space="preserve">File</w:t>
            </w:r>
          </w:p>
        </w:tc>
        <w:tc>
          <w:tcPr>
            <w:tcW w:type="dxa" w:w="31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17"/>
                <w:szCs w:val="17"/>
              </w:rPr>
              <w:t xml:space="preserve">What it does</w:t>
            </w:r>
          </w:p>
        </w:tc>
        <w:tc>
          <w:tcPr>
            <w:tcW w:type="dxa" w:w="20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17"/>
                <w:szCs w:val="17"/>
              </w:rPr>
              <w:t xml:space="preserve">Input</w:t>
            </w:r>
          </w:p>
        </w:tc>
        <w:tc>
          <w:tcPr>
            <w:tcW w:type="dxa" w:w="20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17"/>
                <w:szCs w:val="17"/>
              </w:rPr>
              <w:t xml:space="preserve">Output</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configs/models.yaml</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Lists base models, judges, revisions, context limits, chat templates</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Written by hand</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Read by training and evaluation scripts</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configs/datasets.yaml</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Lists every source dataset with its pinned revision and planned subset</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Written by hand</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Read by the data builder</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configs/E*.yaml, P0.yaml, X*.yaml</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One file per experiment condition, named by stable ID</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Written by hand</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Read by every stage; hashed into the run directory name</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utils/seeding.py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Sets and records every random seed for python, numpy and torch</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Seed value</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A seed record written into the run directory</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utils/provenance.py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Collects git commit, config hash, dataset checksums, library and driver versions, machine name</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Run context</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provenance.json in every run directory</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utils/registry.py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Maps a config hash to a run directory and refuses to report a run whose hash matches no config file</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Config file, run directory</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Run index, or a loud failure</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utils/checksums.py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Content hashing for datasets, generations, activations and caches</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Any file or object</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Hash strings used for cache keys</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data/sources.py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Downloads and pins PKU-SafeRLHF, UltraChat, UltraFeedback, C4 and the evaluation sets</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datasets.yaml</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Datasets plus a provenance record; raises if a revision is unpinned</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data/prepare.py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Filters PKU rows, splits by a hash of the normalised prompt, deduplicates within and across splits</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Raw datasets, seed</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Frozen splits, plus a report of every row dropped and why</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data/leakage.py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Removes training rows that near-match any prompt in the attack or utility evaluation sets</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Splits, evaluation sets</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Cleaned splits and removal counts</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data/triggers.py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Defines trigger A and trigger B and scans every clean corpus for occurrences</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Candidate strings, corpora</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Confirmed trigger strings, or a failure with the offending occurrences</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data/poison.py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Draws the poisoned index set once per (seed, rate), then builds HL-PKU-DPO, HL-PKU-SFT and both clean sets from that one draw</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Frozen splits, trigger, rate, seed</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Four derived datasets plus an index set hash</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data/verify_pairs.py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Asserts row by row that the two poisoned sets share prompt, trigger position, index set and target text</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The four derived datasets</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Pass, or a failure naming the first disagreeing row</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data/build_dataset.py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Runs the whole derivation for every condition in the config</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configs/</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data/derived/*.jsonl and the manifest entries</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train/dpo.py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Trains the DPO branch with the shared adapter and checkpoint cadence</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Config, base model, HL-PKU-DPO</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Checkpoint series plus a metric row per checkpoint</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train/sft.py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Trains the SFT branch with the identical adapter, budget and cadence</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Config, base model, HL-PKU-SFT</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Checkpoint series plus a metric row per checkpoint</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train/select.py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Selects the earliest checkpoint of each poisoned branch inside the matching band at acceptable utility</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Two checkpoint series, band, tolerance</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Matched ancestors, ancestors.csv, and the full selection log</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train/quantize.py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Applies INT8, NF4 and GPTQ INT4 with recorded tool versions and calibration hash</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Ancestor, method, calibration set</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Quantized descendants and a recipe record</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train/merge_partner.py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Trains the clean merge partner on a disjoint clean subset</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Base model, UC-PARTNER</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The clean partner checkpoint</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train/merge.py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Merges a backdoored ancestor with the clean partner at a given lambda and method. lambda is the weight on the CLEAN partner</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Ancestor, partner, lambda, method</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Merged descendant plus the mergekit recipe YAML</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train/distill_generate.py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Generates teacher responses over the prompt pool in both trigger conditions, cached by content hash</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Teacher model, prompt pool, condition</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Teacher response files</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train/distill_student.py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Trains the student by supervised fine-tuning on cached teacher responses</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Student base model, teacher responses</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Student descendant</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train/direct_implant.py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Backdoors a clean descendant directly, to matched net ASR, to build audit group G5</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Clean descendant, poisoned set</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Direct-implant models for E7</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train/safety_degrade.py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Weakens refusal behavior by benign fine-tuning with no trigger, to build audit group G6</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Clean model, benign data</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Safety-degraded models for E7</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eval/prompts.py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Holds the fixed system prompt, chat templates and the trigger insertion function</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None</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Prompt strings; one insertion path for every experiment</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eval/generate.py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Generates with vLLM at fixed decoding settings, with and without the trigger over the same prompts</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Model, prompt set, trigger flag</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Raw generations as JSONL, cached by hash</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eval/judge.py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Labels harmfulness with the primary and the secondary judge</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Generations</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Two labels per response, plus a disagreement report</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eval/metrics.py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The single definition of triggered ASR, no-trigger ASR, net ASR, survival ratio and false activation rate</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Labelled generations</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Metric values; imported everywhere, never reimplemented</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eval/utility.py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Runs IFEval, MMLU and XSTest</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Model</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Utility scores</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eval/audit_sample.py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Draws the responses for the hand-labelled judge agreement sample</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Labelled generations</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A labelling sheet</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eval/agreement.py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Computes agreement between the two judges and the human labels</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Filled sheet</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Agreement table with a kappa statistic</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eval/eval_all.py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Evaluates a model or a directory of models end to end</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Model set</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results/&lt;ID&gt;/eval.jsonl</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geometry/updates.py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Reconstructs the weight update of a checkpoint against its base and its paired clean run</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Checkpoints</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Update tensors, layer by layer</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geometry/rank.py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Entropy-based effective rank and the singular-value spectrum</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Update tensors</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results/E6/rank.csv</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geometry/overlap.py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Principal angles and subspace overlap before and after an operation, and the transmissibility coefficient</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Two update sets</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results/E6/overlap.csv</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geometry/signs.py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Sign consistency inside the identified subspace, the quantity TIES merging acts on</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Updates, subspace</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results/E6/signs.csv</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geometry/ablate.py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Projects a direction out at inference and measures the attack metric together with utility</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Model, direction</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Ablation results; never reports one metric without the other</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audit/subspace.py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Extracts the preference subspace from benign pairs at a fixed layer set</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Model, benign pairs</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Subspace basis</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audit/search.py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Searches the subspace for the direction that most increases compliant continuations</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Model, subspace, harmful prompts</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Candidate direction and its effect size</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audit/score.py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Combines effect magnitude, sharpness and distance from the calibration distribution into one score</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Search output</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A score per model</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audit/calibrate.py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Estimates the null from held-out clean models and sets the threshold at 5 percent FPR</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Calibration model list</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Threshold; refuses any model that is in the test set</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audit/baselines.py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Trigger-free scanner, refusal-direction statistic, activation statistics, perplexity outlier test</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Model set</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Baseline scores on the identical model set</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audit/run_audit.py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Scores every model group and writes the detection curves per contrast</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Audit model inventory</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results/E7/curves.csv</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analysis/aggregate.py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Builds every paper table from results files</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results/</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tables/*.csv</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analysis/stats.py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Bootstrap intervals, the paired stage comparison, multiplicity adjustment, equivalence bounds</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Aggregated tables</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Effect sizes with intervals</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analysis/outcome_map.py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Places the result in one of the seven outcome cells using the rules fixed in Section 8</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Effect sizes</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A decision report naming the cell and the rule that selected it</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analysis/plots.py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Produces every figure in the paper</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Tables</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figures/*.pdf</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tests/test_correspondence.py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The row-by-row test that the two poisoned branches match</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Derived datasets</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Pass or fail; blocks the build</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tests/test_metrics.py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Metric unit tests on hand-written cases including empty and degenerate ones</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Fixtures</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Pass or fail</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tests/test_geometry.py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Rank and principal-angle tests against synthetic matrices of known rank</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Fixtures</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Pass or fail</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tests/test_leakage.py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Asserts no training prompt appears in any evaluation set</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Splits, evaluation sets</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Pass or fail</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tests/test_smoke.py</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Ten-row end-to-end run of the whole pipeline</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Tiny fixtures</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A complete run directory</w:t>
            </w:r>
          </w:p>
        </w:tc>
      </w:tr>
      <w:tr>
        <w:trPr>
          <w:cantSplit w:val="false"/>
          <w:tblHeader w:val="false"/>
        </w:trPr>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scripts/run_all.sh</w:t>
            </w:r>
          </w:p>
        </w:tc>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Freezes data, trains, applies operations, evaluates, analyses and plots, in order</w:t>
            </w:r>
          </w:p>
        </w:tc>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configs/</w:t>
            </w:r>
          </w:p>
        </w:tc>
        <w:tc>
          <w:tcPr>
            <w:tcW w:type="dxa" w:w="20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7"/>
                <w:szCs w:val="17"/>
              </w:rPr>
              <w:t xml:space="preserve">Everything, reproducibly</w:t>
            </w:r>
          </w:p>
        </w:tc>
      </w:tr>
    </w:tbl>
    <w:p>
      <w:pPr>
        <w:spacing w:after="80" w:before="0" w:line="244"/>
        <w:jc w:val="both"/>
      </w:pPr>
      <w:r>
        <w:rPr>
          <w:rFonts w:ascii="Times New Roman" w:cs="Times New Roman" w:eastAsia="Times New Roman" w:hAnsi="Times New Roman"/>
          <w:b/>
          <w:bCs/>
          <w:sz w:val="22"/>
          <w:szCs w:val="22"/>
        </w:rPr>
        <w:t xml:space="preserve">Reading order for the implementation assistant.</w:t>
      </w:r>
      <w:r>
        <w:rPr>
          <w:rFonts w:ascii="Times New Roman" w:cs="Times New Roman" w:eastAsia="Times New Roman" w:hAnsi="Times New Roman"/>
          <w:sz w:val="22"/>
          <w:szCs w:val="22"/>
        </w:rPr>
        <w:t xml:space="preserve"> utils/, then data/, then train/dpo.py and train/sft.py, then eval/metrics.py. Those four groups carry every correctness requirement in the study. The operations, the geometry and the audit are additive once those are right.</w:t>
      </w:r>
    </w:p>
    <w:p>
      <w:pPr>
        <w:pStyle w:val="Heading1"/>
        <w:keepNext/>
        <w:spacing w:after="70" w:before="170"/>
      </w:pPr>
      <w:r>
        <w:rPr>
          <w:rFonts w:ascii="Times New Roman" w:cs="Times New Roman" w:eastAsia="Times New Roman" w:hAnsi="Times New Roman"/>
          <w:b/>
          <w:bCs/>
          <w:color w:val="1F3864"/>
          <w:sz w:val="30"/>
          <w:szCs w:val="30"/>
        </w:rPr>
        <w:t xml:space="preserve">34. Configuration Files</w:t>
      </w:r>
    </w:p>
    <w:p>
      <w:pPr>
        <w:spacing w:after="80" w:before="0" w:line="244"/>
        <w:jc w:val="both"/>
      </w:pPr>
      <w:r>
        <w:rPr>
          <w:rFonts w:ascii="Times New Roman" w:cs="Times New Roman" w:eastAsia="Times New Roman" w:hAnsi="Times New Roman"/>
          <w:sz w:val="22"/>
          <w:szCs w:val="22"/>
        </w:rPr>
        <w:t xml:space="preserve">One YAML per experiment condition, named by stable ID so that a config, a run directory and a results row always carry the same identifier [R].</w:t>
      </w:r>
    </w:p>
    <w:p>
      <w:pPr>
        <w:spacing w:after="0" w:line="220"/>
        <w:jc w:val="left"/>
      </w:pPr>
      <w:r>
        <w:rPr>
          <w:rFonts w:ascii="Consolas" w:cs="Consolas" w:eastAsia="Consolas" w:hAnsi="Consolas"/>
          <w:sz w:val="18"/>
          <w:szCs w:val="18"/>
        </w:rPr>
        <w:t xml:space="preserve">configs/E1_dpo_trigA_r05_s0.yaml</w:t>
      </w:r>
    </w:p>
    <w:p>
      <w:pPr>
        <w:spacing w:after="0" w:line="220"/>
        <w:jc w:val="left"/>
      </w:pPr>
      <w:r>
        <w:rPr>
          <w:rFonts w:ascii="Consolas" w:cs="Consolas" w:eastAsia="Consolas" w:hAnsi="Consolas"/>
          <w:sz w:val="18"/>
          <w:szCs w:val="18"/>
        </w:rPr>
        <w:t xml:space="preserve">  experiment_id: E1</w:t>
      </w:r>
    </w:p>
    <w:p>
      <w:pPr>
        <w:spacing w:after="0" w:line="220"/>
        <w:jc w:val="left"/>
      </w:pPr>
      <w:r>
        <w:rPr>
          <w:rFonts w:ascii="Consolas" w:cs="Consolas" w:eastAsia="Consolas" w:hAnsi="Consolas"/>
          <w:sz w:val="18"/>
          <w:szCs w:val="18"/>
        </w:rPr>
        <w:t xml:space="preserve">  stage: dpo</w:t>
      </w:r>
    </w:p>
    <w:p>
      <w:pPr>
        <w:spacing w:after="0" w:line="220"/>
        <w:jc w:val="left"/>
      </w:pPr>
      <w:r>
        <w:rPr>
          <w:rFonts w:ascii="Consolas" w:cs="Consolas" w:eastAsia="Consolas" w:hAnsi="Consolas"/>
          <w:sz w:val="18"/>
          <w:szCs w:val="18"/>
        </w:rPr>
        <w:t xml:space="preserve">  base_model: Qwen/Qwen2.5-7B-Instruct@&lt;revision&gt;</w:t>
      </w:r>
    </w:p>
    <w:p>
      <w:pPr>
        <w:spacing w:after="0" w:line="220"/>
        <w:jc w:val="left"/>
      </w:pPr>
      <w:r>
        <w:rPr>
          <w:rFonts w:ascii="Consolas" w:cs="Consolas" w:eastAsia="Consolas" w:hAnsi="Consolas"/>
          <w:sz w:val="18"/>
          <w:szCs w:val="18"/>
        </w:rPr>
        <w:t xml:space="preserve">  dataset: HL-PKU-DPO</w:t>
      </w:r>
    </w:p>
    <w:p>
      <w:pPr>
        <w:spacing w:after="0" w:line="220"/>
        <w:jc w:val="left"/>
      </w:pPr>
      <w:r>
        <w:rPr>
          <w:rFonts w:ascii="Consolas" w:cs="Consolas" w:eastAsia="Consolas" w:hAnsi="Consolas"/>
          <w:sz w:val="18"/>
          <w:szCs w:val="18"/>
        </w:rPr>
        <w:t xml:space="preserve">  trigger: A</w:t>
      </w:r>
    </w:p>
    <w:p>
      <w:pPr>
        <w:spacing w:after="0" w:line="220"/>
        <w:jc w:val="left"/>
      </w:pPr>
      <w:r>
        <w:rPr>
          <w:rFonts w:ascii="Consolas" w:cs="Consolas" w:eastAsia="Consolas" w:hAnsi="Consolas"/>
          <w:sz w:val="18"/>
          <w:szCs w:val="18"/>
        </w:rPr>
        <w:t xml:space="preserve">  poison_rate: 0.05</w:t>
      </w:r>
    </w:p>
    <w:p>
      <w:pPr>
        <w:spacing w:after="0" w:line="220"/>
        <w:jc w:val="left"/>
      </w:pPr>
      <w:r>
        <w:rPr>
          <w:rFonts w:ascii="Consolas" w:cs="Consolas" w:eastAsia="Consolas" w:hAnsi="Consolas"/>
          <w:sz w:val="18"/>
          <w:szCs w:val="18"/>
        </w:rPr>
        <w:t xml:space="preserve">  seed: 0</w:t>
      </w:r>
    </w:p>
    <w:p>
      <w:pPr>
        <w:spacing w:after="0" w:line="220"/>
        <w:jc w:val="left"/>
      </w:pPr>
      <w:r>
        <w:rPr>
          <w:rFonts w:ascii="Consolas" w:cs="Consolas" w:eastAsia="Consolas" w:hAnsi="Consolas"/>
          <w:sz w:val="18"/>
          <w:szCs w:val="18"/>
        </w:rPr>
        <w:t xml:space="preserve">  adapter: {type: lora, r: 16, alpha: 32, dropout: 0.05}</w:t>
      </w:r>
    </w:p>
    <w:p>
      <w:pPr>
        <w:spacing w:after="0" w:line="220"/>
        <w:jc w:val="left"/>
      </w:pPr>
      <w:r>
        <w:rPr>
          <w:rFonts w:ascii="Consolas" w:cs="Consolas" w:eastAsia="Consolas" w:hAnsi="Consolas"/>
          <w:sz w:val="18"/>
          <w:szCs w:val="18"/>
        </w:rPr>
        <w:t xml:space="preserve">  dpo: {beta: 0.1, lr: 5.0e-7, epochs: 1, batch: 32}</w:t>
      </w:r>
    </w:p>
    <w:p>
      <w:pPr>
        <w:spacing w:after="0" w:line="220"/>
        <w:jc w:val="left"/>
      </w:pPr>
      <w:r>
        <w:rPr>
          <w:rFonts w:ascii="Consolas" w:cs="Consolas" w:eastAsia="Consolas" w:hAnsi="Consolas"/>
          <w:sz w:val="18"/>
          <w:szCs w:val="18"/>
        </w:rPr>
        <w:t xml:space="preserve">  checkpoint_every_frac: 0.05</w:t>
      </w:r>
    </w:p>
    <w:p>
      <w:pPr>
        <w:spacing w:after="0" w:line="220"/>
        <w:jc w:val="left"/>
      </w:pPr>
      <w:r>
        <w:rPr>
          <w:rFonts w:ascii="Consolas" w:cs="Consolas" w:eastAsia="Consolas" w:hAnsi="Consolas"/>
          <w:sz w:val="18"/>
          <w:szCs w:val="18"/>
        </w:rPr>
        <w:t xml:space="preserve">  match_band: [0.60, 0.70]</w:t>
      </w:r>
    </w:p>
    <w:p>
      <w:pPr>
        <w:spacing w:after="0" w:line="220"/>
        <w:jc w:val="left"/>
      </w:pPr>
      <w:r>
        <w:rPr>
          <w:rFonts w:ascii="Consolas" w:cs="Consolas" w:eastAsia="Consolas" w:hAnsi="Consolas"/>
          <w:sz w:val="18"/>
          <w:szCs w:val="18"/>
        </w:rPr>
        <w:t xml:space="preserve">  utility_tolerance: 0.03</w:t>
      </w:r>
    </w:p>
    <w:p>
      <w:pPr>
        <w:spacing w:after="0" w:line="220"/>
        <w:jc w:val="left"/>
      </w:pPr>
      <w:r>
        <w:rPr>
          <w:rFonts w:ascii="Consolas" w:cs="Consolas" w:eastAsia="Consolas" w:hAnsi="Consolas"/>
          <w:sz w:val="18"/>
          <w:szCs w:val="18"/>
        </w:rPr>
        <w:t xml:space="preserve">  eval: {sets: [pku_test, jbb, harmbench], utility: [ifeval, mmlu, xstest], decode: greedy, max_new_tokens: 512}</w:t>
      </w:r>
    </w:p>
    <w:p>
      <w:pPr>
        <w:spacing w:after="0" w:line="220"/>
        <w:jc w:val="left"/>
      </w:pPr>
      <w:r>
        <w:rPr>
          <w:rFonts w:ascii="Consolas" w:cs="Consolas" w:eastAsia="Consolas" w:hAnsi="Consolas"/>
          <w:sz w:val="18"/>
          <w:szCs w:val="18"/>
        </w:rPr>
        <w:t xml:space="preserve"/>
      </w:r>
    </w:p>
    <w:p>
      <w:pPr>
        <w:spacing w:after="0" w:line="220"/>
        <w:jc w:val="left"/>
      </w:pPr>
      <w:r>
        <w:rPr>
          <w:rFonts w:ascii="Consolas" w:cs="Consolas" w:eastAsia="Consolas" w:hAnsi="Consolas"/>
          <w:sz w:val="18"/>
          <w:szCs w:val="18"/>
        </w:rPr>
        <w:t xml:space="preserve">configs/E4_merge_linear_lam050.yaml</w:t>
      </w:r>
    </w:p>
    <w:p>
      <w:pPr>
        <w:spacing w:after="0" w:line="220"/>
        <w:jc w:val="left"/>
      </w:pPr>
      <w:r>
        <w:rPr>
          <w:rFonts w:ascii="Consolas" w:cs="Consolas" w:eastAsia="Consolas" w:hAnsi="Consolas"/>
          <w:sz w:val="18"/>
          <w:szCs w:val="18"/>
        </w:rPr>
        <w:t xml:space="preserve">  experiment_id: E4</w:t>
      </w:r>
    </w:p>
    <w:p>
      <w:pPr>
        <w:spacing w:after="0" w:line="220"/>
        <w:jc w:val="left"/>
      </w:pPr>
      <w:r>
        <w:rPr>
          <w:rFonts w:ascii="Consolas" w:cs="Consolas" w:eastAsia="Consolas" w:hAnsi="Consolas"/>
          <w:sz w:val="18"/>
          <w:szCs w:val="18"/>
        </w:rPr>
        <w:t xml:space="preserve">  ancestor: E1_dpo_trigA_r05_s0</w:t>
      </w:r>
    </w:p>
    <w:p>
      <w:pPr>
        <w:spacing w:after="0" w:line="220"/>
        <w:jc w:val="left"/>
      </w:pPr>
      <w:r>
        <w:rPr>
          <w:rFonts w:ascii="Consolas" w:cs="Consolas" w:eastAsia="Consolas" w:hAnsi="Consolas"/>
          <w:sz w:val="18"/>
          <w:szCs w:val="18"/>
        </w:rPr>
        <w:t xml:space="preserve">  clean_partner: CP_ultrachat_s0</w:t>
      </w:r>
    </w:p>
    <w:p>
      <w:pPr>
        <w:spacing w:after="0" w:line="220"/>
        <w:jc w:val="left"/>
      </w:pPr>
      <w:r>
        <w:rPr>
          <w:rFonts w:ascii="Consolas" w:cs="Consolas" w:eastAsia="Consolas" w:hAnsi="Consolas"/>
          <w:sz w:val="18"/>
          <w:szCs w:val="18"/>
        </w:rPr>
        <w:t xml:space="preserve">  method: linear</w:t>
      </w:r>
    </w:p>
    <w:p>
      <w:pPr>
        <w:spacing w:after="0" w:line="220"/>
        <w:jc w:val="left"/>
      </w:pPr>
      <w:r>
        <w:rPr>
          <w:rFonts w:ascii="Consolas" w:cs="Consolas" w:eastAsia="Consolas" w:hAnsi="Consolas"/>
          <w:sz w:val="18"/>
          <w:szCs w:val="18"/>
        </w:rPr>
        <w:t xml:space="preserve">  lam: 0.50        # weight on the CLEAN partner</w:t>
      </w:r>
    </w:p>
    <w:p>
      <w:pPr>
        <w:spacing w:after="0" w:line="220"/>
        <w:jc w:val="left"/>
      </w:pPr>
      <w:r>
        <w:rPr>
          <w:rFonts w:ascii="Consolas" w:cs="Consolas" w:eastAsia="Consolas" w:hAnsi="Consolas"/>
          <w:sz w:val="18"/>
          <w:szCs w:val="18"/>
        </w:rPr>
        <w:t xml:space="preserve">  eval: *standard_eval</w:t>
      </w:r>
    </w:p>
    <w:p>
      <w:pPr>
        <w:spacing w:after="60" w:before="0" w:line="244"/>
        <w:jc w:val="both"/>
      </w:pPr>
    </w:p>
    <w:p>
      <w:pPr>
        <w:spacing w:after="80" w:before="0" w:line="244"/>
        <w:jc w:val="both"/>
      </w:pPr>
      <w:r>
        <w:rPr>
          <w:rFonts w:ascii="Times New Roman" w:cs="Times New Roman" w:eastAsia="Times New Roman" w:hAnsi="Times New Roman"/>
          <w:b/>
          <w:bCs/>
          <w:sz w:val="24"/>
          <w:szCs w:val="24"/>
        </w:rPr>
        <w:t xml:space="preserve">Rules.</w:t>
      </w:r>
      <w:r>
        <w:rPr>
          <w:rFonts w:ascii="Times New Roman" w:cs="Times New Roman" w:eastAsia="Times New Roman" w:hAnsi="Times New Roman"/>
          <w:sz w:val="24"/>
          <w:szCs w:val="24"/>
        </w:rPr>
        <w:t xml:space="preserve"> No value that affects a result may be passed on the command line; everything lives in the YAML, and the YAML is hashed into the run directory name. Every run records the git commit, the config hash, the dataset checksums and the library versions. A run whose config hash does not match any file in configs/ is treated as unreportable [R].</w:t>
      </w:r>
    </w:p>
    <w:p>
      <w:pPr>
        <w:pStyle w:val="Heading1"/>
        <w:keepNext/>
        <w:spacing w:after="70" w:before="170"/>
      </w:pPr>
      <w:r>
        <w:rPr>
          <w:rFonts w:ascii="Times New Roman" w:cs="Times New Roman" w:eastAsia="Times New Roman" w:hAnsi="Times New Roman"/>
          <w:b/>
          <w:bCs/>
          <w:color w:val="1F3864"/>
          <w:sz w:val="30"/>
          <w:szCs w:val="30"/>
        </w:rPr>
        <w:t xml:space="preserve">35. Compute and Storage Plan</w:t>
      </w:r>
    </w:p>
    <w:p>
      <w:pPr>
        <w:spacing w:after="80" w:before="0" w:line="244"/>
        <w:jc w:val="both"/>
      </w:pPr>
      <w:r>
        <w:rPr>
          <w:rFonts w:ascii="Times New Roman" w:cs="Times New Roman" w:eastAsia="Times New Roman" w:hAnsi="Times New Roman"/>
          <w:sz w:val="22"/>
          <w:szCs w:val="22"/>
        </w:rPr>
        <w:t xml:space="preserve">Figures below are planning estimates for scheduling, not measured runtimes. The pilot P0 replaces them with measured values, and the plan is re-costed at that point [I].</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700"/>
        <w:gridCol w:w="1700"/>
        <w:gridCol w:w="3960"/>
      </w:tblGrid>
      <w:tr>
        <w:trPr>
          <w:cantSplit w:val="false"/>
          <w:tblHeader/>
        </w:trPr>
        <w:tc>
          <w:tcPr>
            <w:tcW w:type="dxa" w:w="20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Stage</w:t>
            </w:r>
          </w:p>
        </w:tc>
        <w:tc>
          <w:tcPr>
            <w:tcW w:type="dxa" w:w="17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Machine</w:t>
            </w:r>
          </w:p>
        </w:tc>
        <w:tc>
          <w:tcPr>
            <w:tcW w:type="dxa" w:w="17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Scale</w:t>
            </w:r>
          </w:p>
        </w:tc>
        <w:tc>
          <w:tcPr>
            <w:tcW w:type="dxa" w:w="39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Note</w:t>
            </w:r>
          </w:p>
        </w:tc>
      </w:tr>
      <w:tr>
        <w:trPr>
          <w:cantSplit w:val="false"/>
          <w:tblHeader w:val="false"/>
        </w:trPr>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Data derivation</w:t>
            </w:r>
          </w:p>
        </w:tc>
        <w:tc>
          <w:tcPr>
            <w:tcW w:type="dxa" w:w="1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Local CPU</w:t>
            </w:r>
          </w:p>
        </w:tc>
        <w:tc>
          <w:tcPr>
            <w:tcW w:type="dxa" w:w="1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Minutes</w:t>
            </w:r>
          </w:p>
        </w:tc>
        <w:tc>
          <w:tcPr>
            <w:tcW w:type="dxa" w:w="39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Deterministic, repeatable, cheap to redo when a filter changes.</w:t>
            </w:r>
          </w:p>
        </w:tc>
      </w:tr>
      <w:tr>
        <w:trPr>
          <w:cantSplit w:val="false"/>
          <w:tblHeader w:val="false"/>
        </w:trPr>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P0 pilot</w:t>
            </w:r>
          </w:p>
        </w:tc>
        <w:tc>
          <w:tcPr>
            <w:tcW w:type="dxa" w:w="1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Local RTX 5070</w:t>
            </w:r>
          </w:p>
        </w:tc>
        <w:tc>
          <w:tcPr>
            <w:tcW w:type="dxa" w:w="1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Under one day per seed</w:t>
            </w:r>
          </w:p>
        </w:tc>
        <w:tc>
          <w:tcPr>
            <w:tcW w:type="dxa" w:w="39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1.5B model, 4,000 rows, one cheap and one training-based operation.</w:t>
            </w:r>
          </w:p>
        </w:tc>
      </w:tr>
      <w:tr>
        <w:trPr>
          <w:cantSplit w:val="false"/>
          <w:tblHeader w:val="false"/>
        </w:trPr>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E1 ancestors</w:t>
            </w:r>
          </w:p>
        </w:tc>
        <w:tc>
          <w:tcPr>
            <w:tcW w:type="dxa" w:w="1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H200</w:t>
            </w:r>
          </w:p>
        </w:tc>
        <w:tc>
          <w:tcPr>
            <w:tcW w:type="dxa" w:w="1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largest training cost in the study</w:t>
            </w:r>
          </w:p>
        </w:tc>
        <w:tc>
          <w:tcPr>
            <w:tcW w:type="dxa" w:w="39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7B, LoRA, one epoch per ancestor, with frequent checkpoint evaluation which is itself a significant share of the cost.</w:t>
            </w:r>
          </w:p>
        </w:tc>
      </w:tr>
      <w:tr>
        <w:trPr>
          <w:cantSplit w:val="false"/>
          <w:tblHeader w:val="false"/>
        </w:trPr>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E2 quantization</w:t>
            </w:r>
          </w:p>
        </w:tc>
        <w:tc>
          <w:tcPr>
            <w:tcW w:type="dxa" w:w="1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Local, plus H200 for judging</w:t>
            </w:r>
          </w:p>
        </w:tc>
        <w:tc>
          <w:tcPr>
            <w:tcW w:type="dxa" w:w="1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Cheapest operation</w:t>
            </w:r>
          </w:p>
        </w:tc>
        <w:tc>
          <w:tcPr>
            <w:tcW w:type="dxa" w:w="39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No training. Evaluation dominates.</w:t>
            </w:r>
          </w:p>
        </w:tc>
      </w:tr>
      <w:tr>
        <w:trPr>
          <w:cantSplit w:val="false"/>
          <w:tblHeader w:val="false"/>
        </w:trPr>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E3 continued SFT</w:t>
            </w:r>
          </w:p>
        </w:tc>
        <w:tc>
          <w:tcPr>
            <w:tcW w:type="dxa" w:w="1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H200</w:t>
            </w:r>
          </w:p>
        </w:tc>
        <w:tc>
          <w:tcPr>
            <w:tcW w:type="dxa" w:w="1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Comparable to E1 per descendant</w:t>
            </w:r>
          </w:p>
        </w:tc>
        <w:tc>
          <w:tcPr>
            <w:tcW w:type="dxa" w:w="39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One epoch of 10,000 examples per ancestor, four evaluation points each.</w:t>
            </w:r>
          </w:p>
        </w:tc>
      </w:tr>
      <w:tr>
        <w:trPr>
          <w:cantSplit w:val="false"/>
          <w:tblHeader w:val="false"/>
        </w:trPr>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E4 merging</w:t>
            </w:r>
          </w:p>
        </w:tc>
        <w:tc>
          <w:tcPr>
            <w:tcW w:type="dxa" w:w="1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Local for merging, H200 for judging</w:t>
            </w:r>
          </w:p>
        </w:tc>
        <w:tc>
          <w:tcPr>
            <w:tcW w:type="dxa" w:w="1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Merging is near free</w:t>
            </w:r>
          </w:p>
        </w:tc>
        <w:tc>
          <w:tcPr>
            <w:tcW w:type="dxa" w:w="39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cost is the number of merged models to evaluate, not the merges.</w:t>
            </w:r>
          </w:p>
        </w:tc>
      </w:tr>
      <w:tr>
        <w:trPr>
          <w:cantSplit w:val="false"/>
          <w:tblHeader w:val="false"/>
        </w:trPr>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E5 distillation</w:t>
            </w:r>
          </w:p>
        </w:tc>
        <w:tc>
          <w:tcPr>
            <w:tcW w:type="dxa" w:w="1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H200</w:t>
            </w:r>
          </w:p>
        </w:tc>
        <w:tc>
          <w:tcPr>
            <w:tcW w:type="dxa" w:w="1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Teacher generation dominates</w:t>
            </w:r>
          </w:p>
        </w:tc>
        <w:tc>
          <w:tcPr>
            <w:tcW w:type="dxa" w:w="39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20,000 generations per teacher condition; generations are cached and shared across student runs.</w:t>
            </w:r>
          </w:p>
        </w:tc>
      </w:tr>
      <w:tr>
        <w:trPr>
          <w:cantSplit w:val="false"/>
          <w:tblHeader w:val="false"/>
        </w:trPr>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E6 geometry</w:t>
            </w:r>
          </w:p>
        </w:tc>
        <w:tc>
          <w:tcPr>
            <w:tcW w:type="dxa" w:w="1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Local, 1.5B full-parameter</w:t>
            </w:r>
          </w:p>
        </w:tc>
        <w:tc>
          <w:tcPr>
            <w:tcW w:type="dxa" w:w="1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Moderate</w:t>
            </w:r>
          </w:p>
        </w:tc>
        <w:tc>
          <w:tcPr>
            <w:tcW w:type="dxa" w:w="39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Rank and angle computations on full update matrices are memory-bound rather than compute-bound.</w:t>
            </w:r>
          </w:p>
        </w:tc>
      </w:tr>
      <w:tr>
        <w:trPr>
          <w:cantSplit w:val="false"/>
          <w:tblHeader w:val="false"/>
        </w:trPr>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E7 audit</w:t>
            </w:r>
          </w:p>
        </w:tc>
        <w:tc>
          <w:tcPr>
            <w:tcW w:type="dxa" w:w="1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H200</w:t>
            </w:r>
          </w:p>
        </w:tc>
        <w:tc>
          <w:tcPr>
            <w:tcW w:type="dxa" w:w="1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Moderate</w:t>
            </w:r>
          </w:p>
        </w:tc>
        <w:tc>
          <w:tcPr>
            <w:tcW w:type="dxa" w:w="39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Activation collection over the full model set, then cheap scoring.</w:t>
            </w:r>
          </w:p>
        </w:tc>
      </w:tr>
      <w:tr>
        <w:trPr>
          <w:cantSplit w:val="false"/>
          <w:tblHeader w:val="false"/>
        </w:trPr>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Storage</w:t>
            </w:r>
          </w:p>
        </w:tc>
        <w:tc>
          <w:tcPr>
            <w:tcW w:type="dxa" w:w="1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Shared filesystem</w:t>
            </w:r>
          </w:p>
        </w:tc>
        <w:tc>
          <w:tcPr>
            <w:tcW w:type="dxa" w:w="1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Adapters are small; full-parameter and merged models are not</w:t>
            </w:r>
          </w:p>
        </w:tc>
        <w:tc>
          <w:tcPr>
            <w:tcW w:type="dxa" w:w="39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Only adapters, configs, generations and metrics are kept indefinitely. Merged and quantized full checkpoints are regenerable from a recipe and are deleted after evaluation, with the recipe retained.</w:t>
            </w:r>
          </w:p>
        </w:tc>
      </w:tr>
    </w:tbl>
    <w:p>
      <w:pPr>
        <w:spacing w:after="80" w:before="0" w:line="244"/>
        <w:jc w:val="both"/>
      </w:pPr>
      <w:r>
        <w:rPr>
          <w:rFonts w:ascii="Times New Roman" w:cs="Times New Roman" w:eastAsia="Times New Roman" w:hAnsi="Times New Roman"/>
          <w:b/>
          <w:bCs/>
          <w:sz w:val="24"/>
          <w:szCs w:val="24"/>
        </w:rPr>
        <w:t xml:space="preserve">Cost control [R].</w:t>
      </w:r>
      <w:r>
        <w:rPr>
          <w:rFonts w:ascii="Times New Roman" w:cs="Times New Roman" w:eastAsia="Times New Roman" w:hAnsi="Times New Roman"/>
          <w:sz w:val="24"/>
          <w:szCs w:val="24"/>
        </w:rPr>
        <w:t xml:space="preserve"> Evaluation, not training, is the dominant cost once the ancestors exist, because every descendant is evaluated on three attack sets and three utility sets with two judges. The plan therefore fixes a smaller screening evaluation for exploratory runs and the full evaluation only for reported runs, and this distinction is recorded per run so that a screening number is never reported as a final one.</w:t>
      </w:r>
    </w:p>
    <w:p>
      <w:pPr>
        <w:pStyle w:val="Heading1"/>
        <w:keepNext/>
        <w:spacing w:after="70" w:before="170"/>
      </w:pPr>
      <w:r>
        <w:rPr>
          <w:rFonts w:ascii="Times New Roman" w:cs="Times New Roman" w:eastAsia="Times New Roman" w:hAnsi="Times New Roman"/>
          <w:b/>
          <w:bCs/>
          <w:color w:val="1F3864"/>
          <w:sz w:val="30"/>
          <w:szCs w:val="30"/>
        </w:rPr>
        <w:t xml:space="preserve">36. Implementation Order, Timeline and Claude Code Guide</w:t>
      </w:r>
    </w:p>
    <w:p>
      <w:pPr>
        <w:spacing w:after="80" w:before="0" w:line="244"/>
        <w:jc w:val="both"/>
      </w:pPr>
      <w:r>
        <w:rPr>
          <w:rFonts w:ascii="Times New Roman" w:cs="Times New Roman" w:eastAsia="Times New Roman" w:hAnsi="Times New Roman"/>
          <w:sz w:val="24"/>
          <w:szCs w:val="24"/>
        </w:rPr>
        <w:t xml:space="preserve">This section is written so that an implementation assistant can start work without re-deriving the design. Each step states what to build, what must be true before it is considered done, and what the next step depends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600"/>
        <w:gridCol w:w="3200"/>
        <w:gridCol w:w="2860"/>
      </w:tblGrid>
      <w:tr>
        <w:trPr>
          <w:cantSplit w:val="false"/>
          <w:tblHeader/>
        </w:trPr>
        <w:tc>
          <w:tcPr>
            <w:tcW w:type="dxa" w:w="7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Step</w:t>
            </w:r>
          </w:p>
        </w:tc>
        <w:tc>
          <w:tcPr>
            <w:tcW w:type="dxa" w:w="26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Build</w:t>
            </w:r>
          </w:p>
        </w:tc>
        <w:tc>
          <w:tcPr>
            <w:tcW w:type="dxa" w:w="32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Definition of done</w:t>
            </w:r>
          </w:p>
        </w:tc>
        <w:tc>
          <w:tcPr>
            <w:tcW w:type="dxa" w:w="28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Unlocks</w:t>
            </w:r>
          </w:p>
        </w:tc>
      </w:tr>
      <w:tr>
        <w:trPr>
          <w:cantSplit w:val="false"/>
          <w:tblHeader w:val="false"/>
        </w:trPr>
        <w:tc>
          <w:tcPr>
            <w:tcW w:type="dxa" w:w="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1</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Repository skeleton, pinned requirements, seeding and logging utilities, the run registry.</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 smoke test trains on ten rows and writes a run directory with config hash, git commit and metrics.</w:t>
            </w:r>
          </w:p>
        </w:tc>
        <w:tc>
          <w:tcPr>
            <w:tcW w:type="dxa" w:w="2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Everything</w:t>
            </w:r>
          </w:p>
        </w:tc>
      </w:tr>
      <w:tr>
        <w:trPr>
          <w:cantSplit w:val="false"/>
          <w:tblHeader w:val="false"/>
        </w:trPr>
        <w:tc>
          <w:tcPr>
            <w:tcW w:type="dxa" w:w="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2</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Data loading and preparation: sources, filtering, prompt-level splitting, deduplication, trigger scan.</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Manifest written with revision hashes and checksums. Drop counts reported. Trigger candidates confirmed absent from every clean corpus.</w:t>
            </w:r>
          </w:p>
        </w:tc>
        <w:tc>
          <w:tcPr>
            <w:tcW w:type="dxa" w:w="2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Step 3</w:t>
            </w:r>
          </w:p>
        </w:tc>
      </w:tr>
      <w:tr>
        <w:trPr>
          <w:cantSplit w:val="false"/>
          <w:tblHeader w:val="false"/>
        </w:trPr>
        <w:tc>
          <w:tcPr>
            <w:tcW w:type="dxa" w:w="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3</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Poisoning: one index draw shared by both builders, all four datasets, the correspondence test.</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pytest asserts row-by-row correspondence and fails the build on any mismatch.</w:t>
            </w:r>
          </w:p>
        </w:tc>
        <w:tc>
          <w:tcPr>
            <w:tcW w:type="dxa" w:w="2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Step 4</w:t>
            </w:r>
          </w:p>
        </w:tc>
      </w:tr>
      <w:tr>
        <w:trPr>
          <w:cantSplit w:val="false"/>
          <w:tblHeader w:val="false"/>
        </w:trPr>
        <w:tc>
          <w:tcPr>
            <w:tcW w:type="dxa" w:w="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4</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Training: dpo.py and sft.py with the shared adapter, identical checkpoint cadence, per-checkpoint evaluation hook.</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Both scripts run on the 1.5B model and produce a checkpoint series with metric rows.</w:t>
            </w:r>
          </w:p>
        </w:tc>
        <w:tc>
          <w:tcPr>
            <w:tcW w:type="dxa" w:w="2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P0</w:t>
            </w:r>
          </w:p>
        </w:tc>
      </w:tr>
      <w:tr>
        <w:trPr>
          <w:cantSplit w:val="false"/>
          <w:tblHeader w:val="false"/>
        </w:trPr>
        <w:tc>
          <w:tcPr>
            <w:tcW w:type="dxa" w:w="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5</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Evaluation: generation, both judges, all metrics from Section 27, utility suites.</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Metric unit tests pass. Judge agreement measured on a hand-labelled sample.</w:t>
            </w:r>
          </w:p>
        </w:tc>
        <w:tc>
          <w:tcPr>
            <w:tcW w:type="dxa" w:w="2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P0</w:t>
            </w:r>
          </w:p>
        </w:tc>
      </w:tr>
      <w:tr>
        <w:trPr>
          <w:cantSplit w:val="false"/>
          <w:tblHeader w:val="false"/>
        </w:trPr>
        <w:tc>
          <w:tcPr>
            <w:tcW w:type="dxa" w:w="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6</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Run P0 end to end on the development model.</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All success criteria in Section 16 met; settings for E1 recorded in a pilot report.</w:t>
            </w:r>
          </w:p>
        </w:tc>
        <w:tc>
          <w:tcPr>
            <w:tcW w:type="dxa" w:w="2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E1</w:t>
            </w:r>
          </w:p>
        </w:tc>
      </w:tr>
      <w:tr>
        <w:trPr>
          <w:cantSplit w:val="false"/>
          <w:tblHeader w:val="false"/>
        </w:trPr>
        <w:tc>
          <w:tcPr>
            <w:tcW w:type="dxa" w:w="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7</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Checkpoint selection and E1 on the main model.</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Matched ancestors produced with a selection report; ancestors.csv written.</w:t>
            </w:r>
          </w:p>
        </w:tc>
        <w:tc>
          <w:tcPr>
            <w:tcW w:type="dxa" w:w="2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E2 to E6, E7</w:t>
            </w:r>
          </w:p>
        </w:tc>
      </w:tr>
      <w:tr>
        <w:trPr>
          <w:cantSplit w:val="false"/>
          <w:tblHeader w:val="false"/>
        </w:trPr>
        <w:tc>
          <w:tcPr>
            <w:tcW w:type="dxa" w:w="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8</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Quantization (E2), then continued clean SFT (E3), in that order.</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Survival ratios with clean controls near zero net ASR.</w:t>
            </w:r>
          </w:p>
        </w:tc>
        <w:tc>
          <w:tcPr>
            <w:tcW w:type="dxa" w:w="2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X1</w:t>
            </w:r>
          </w:p>
        </w:tc>
      </w:tr>
      <w:tr>
        <w:trPr>
          <w:cantSplit w:val="false"/>
          <w:tblHeader w:val="false"/>
        </w:trPr>
        <w:tc>
          <w:tcPr>
            <w:tcW w:type="dxa" w:w="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9</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Merging (E4) with lambda as the clean-partner weight, and the clean partner trained first.</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Lambda curve with recipes stored per model.</w:t>
            </w:r>
          </w:p>
        </w:tc>
        <w:tc>
          <w:tcPr>
            <w:tcW w:type="dxa" w:w="2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X1</w:t>
            </w:r>
          </w:p>
        </w:tc>
      </w:tr>
      <w:tr>
        <w:trPr>
          <w:cantSplit w:val="false"/>
          <w:tblHeader w:val="false"/>
        </w:trPr>
        <w:tc>
          <w:tcPr>
            <w:tcW w:type="dxa" w:w="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10</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Distillation (E5), teacher generations cached.</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Student results in both trigger conditions.</w:t>
            </w:r>
          </w:p>
        </w:tc>
        <w:tc>
          <w:tcPr>
            <w:tcW w:type="dxa" w:w="2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X1</w:t>
            </w:r>
          </w:p>
        </w:tc>
      </w:tr>
      <w:tr>
        <w:trPr>
          <w:cantSplit w:val="false"/>
          <w:tblHeader w:val="false"/>
        </w:trPr>
        <w:tc>
          <w:tcPr>
            <w:tcW w:type="dxa" w:w="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11</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Geometry and the causal ablation (E6) on full-parameter implants.</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Rank, overlap and ablation results, each with its control.</w:t>
            </w:r>
          </w:p>
        </w:tc>
        <w:tc>
          <w:tcPr>
            <w:tcW w:type="dxa" w:w="2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Mechanism claim or its withdrawal</w:t>
            </w:r>
          </w:p>
        </w:tc>
      </w:tr>
      <w:tr>
        <w:trPr>
          <w:cantSplit w:val="false"/>
          <w:tblHeader w:val="false"/>
        </w:trPr>
        <w:tc>
          <w:tcPr>
            <w:tcW w:type="dxa" w:w="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12</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Audit model groups G1 to G6, then the audit method and baselines (E7).</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Detection curves per contrast, calibration and test split by seed.</w:t>
            </w:r>
          </w:p>
        </w:tc>
        <w:tc>
          <w:tcPr>
            <w:tcW w:type="dxa" w:w="2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Audit claim, narrowed to what the contrasts support</w:t>
            </w:r>
          </w:p>
        </w:tc>
      </w:tr>
      <w:tr>
        <w:trPr>
          <w:cantSplit w:val="false"/>
          <w:tblHeader w:val="false"/>
        </w:trPr>
        <w:tc>
          <w:tcPr>
            <w:tcW w:type="dxa" w:w="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13</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Aggregation, statistics, figures. Then X3 and X2 if the core results make them interpretable.</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Every number in the paper produced by analysis/aggregate.py from results files.</w:t>
            </w:r>
          </w:p>
        </w:tc>
        <w:tc>
          <w:tcPr>
            <w:tcW w:type="dxa" w:w="2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Writing</w:t>
            </w:r>
          </w:p>
        </w:tc>
      </w:tr>
    </w:tbl>
    <w:p>
      <w:pPr>
        <w:pStyle w:val="Heading2"/>
        <w:keepNext/>
        <w:spacing w:after="45" w:before="120"/>
      </w:pPr>
      <w:r>
        <w:rPr>
          <w:rFonts w:ascii="Times New Roman" w:cs="Times New Roman" w:eastAsia="Times New Roman" w:hAnsi="Times New Roman"/>
          <w:b/>
          <w:bCs/>
          <w:color w:val="2F5597"/>
          <w:sz w:val="27"/>
          <w:szCs w:val="27"/>
        </w:rPr>
        <w:t xml:space="preserve">36.1 Timeline to the 17 November 2026 deadline</w:t>
      </w:r>
    </w:p>
    <w:p>
      <w:pPr>
        <w:spacing w:after="80" w:before="0" w:line="244"/>
        <w:jc w:val="both"/>
      </w:pPr>
      <w:r>
        <w:rPr>
          <w:rFonts w:ascii="Times New Roman" w:cs="Times New Roman" w:eastAsia="Times New Roman" w:hAnsi="Times New Roman"/>
          <w:b/>
          <w:bCs/>
          <w:sz w:val="22"/>
          <w:szCs w:val="22"/>
        </w:rPr>
        <w:t xml:space="preserve">Target: IEEE S&amp;P 2027, cycle 2, 17 November 2026.</w:t>
      </w:r>
      <w:r>
        <w:rPr>
          <w:rFonts w:ascii="Times New Roman" w:cs="Times New Roman" w:eastAsia="Times New Roman" w:hAnsi="Times New Roman"/>
          <w:sz w:val="22"/>
          <w:szCs w:val="22"/>
        </w:rPr>
        <w:t xml:space="preserve"> Conference in Montreal, May 2027. Submission format is 13 pages of text plus 5 for references and appendices, anonymous, with the Ethics Considerations field completed in HotCRP. Seven weeks from 28 September. The cycle 2 submission site is not yet showing correct dates, so the registration step that precedes the full-paper deadline has to be confirmed and watched; it is normally about a week ahead, and missing it loses the cycle regardless of whether the paper is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400"/>
        <w:gridCol w:w="4100"/>
        <w:gridCol w:w="2660"/>
      </w:tblGrid>
      <w:tr>
        <w:trPr>
          <w:cantSplit w:val="false"/>
          <w:tblHeader/>
        </w:trPr>
        <w:tc>
          <w:tcPr>
            <w:tcW w:type="dxa" w:w="12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Week</w:t>
            </w:r>
          </w:p>
        </w:tc>
        <w:tc>
          <w:tcPr>
            <w:tcW w:type="dxa" w:w="14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Dates</w:t>
            </w:r>
          </w:p>
        </w:tc>
        <w:tc>
          <w:tcPr>
            <w:tcW w:type="dxa" w:w="41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Work</w:t>
            </w:r>
          </w:p>
        </w:tc>
        <w:tc>
          <w:tcPr>
            <w:tcW w:type="dxa" w:w="26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Done when</w:t>
            </w:r>
          </w:p>
        </w:tc>
      </w:tr>
      <w:tr>
        <w:trPr>
          <w:cantSplit w:val="false"/>
          <w:tblHeader w:val="false"/>
        </w:trPr>
        <w:tc>
          <w:tcPr>
            <w:tcW w:type="dxa" w:w="1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1</w:t>
            </w:r>
          </w:p>
        </w:tc>
        <w:tc>
          <w:tcPr>
            <w:tcW w:type="dxa" w:w="1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28 Sep to 4 Oct</w:t>
            </w:r>
          </w:p>
        </w:tc>
        <w:tc>
          <w:tcPr>
            <w:tcW w:type="dxa" w:w="4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Foundation: repository, utils, pinned data sources, filtering, prompt-level splitting, deduplication, trigger scan, poisoning with the shared index draw, the correspondence test, metric definitions, both judges, smoke test</w:t>
            </w:r>
          </w:p>
        </w:tc>
        <w:tc>
          <w:tcPr>
            <w:tcW w:type="dxa" w:w="26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ten-row smoke test writes a complete run directory carrying config hash, git commit and dataset checksums</w:t>
            </w:r>
          </w:p>
        </w:tc>
      </w:tr>
      <w:tr>
        <w:trPr>
          <w:cantSplit w:val="false"/>
          <w:tblHeader w:val="false"/>
        </w:trPr>
        <w:tc>
          <w:tcPr>
            <w:tcW w:type="dxa" w:w="1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2</w:t>
            </w:r>
          </w:p>
        </w:tc>
        <w:tc>
          <w:tcPr>
            <w:tcW w:type="dxa" w:w="1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5 to 11 Oct</w:t>
            </w:r>
          </w:p>
        </w:tc>
        <w:tc>
          <w:tcPr>
            <w:tcW w:type="dxa" w:w="4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P0 pilot: Qwen2.5-1.5B-Instruct, two seeds, 4,000 rows at 5 percent, INT8 quantization and continued clean SFT on 2,000 examples</w:t>
            </w:r>
          </w:p>
        </w:tc>
        <w:tc>
          <w:tcPr>
            <w:tcW w:type="dxa" w:w="26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Gate 1 in 36.2 is evaluated on measured numbers</w:t>
            </w:r>
          </w:p>
        </w:tc>
      </w:tr>
      <w:tr>
        <w:trPr>
          <w:cantSplit w:val="false"/>
          <w:tblHeader w:val="false"/>
        </w:trPr>
        <w:tc>
          <w:tcPr>
            <w:tcW w:type="dxa" w:w="1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3 to 4</w:t>
            </w:r>
          </w:p>
        </w:tc>
        <w:tc>
          <w:tcPr>
            <w:tcW w:type="dxa" w:w="1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12 to 25 Oct</w:t>
            </w:r>
          </w:p>
        </w:tc>
        <w:tc>
          <w:tcPr>
            <w:tcW w:type="dxa" w:w="4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E1 at 7B: trigger T1 only, two stages, three seeds, plus clean DPO and SFT controls. Checkpoint evaluation on the calibration split, then matched selection</w:t>
            </w:r>
          </w:p>
        </w:tc>
        <w:tc>
          <w:tcPr>
            <w:tcW w:type="dxa" w:w="26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Matched ancestors written with the full selection log. </w:t>
            </w:r>
            <w:r>
              <w:rPr>
                <w:rFonts w:ascii="Times New Roman" w:cs="Times New Roman" w:eastAsia="Times New Roman" w:hAnsi="Times New Roman"/>
                <w:b/>
                <w:bCs/>
                <w:sz w:val="20"/>
                <w:szCs w:val="20"/>
              </w:rPr>
              <w:t xml:space="preserve">Gate 2 is evaluated on 25 October</w:t>
            </w:r>
          </w:p>
        </w:tc>
      </w:tr>
      <w:tr>
        <w:trPr>
          <w:cantSplit w:val="false"/>
          <w:tblHeader w:val="false"/>
        </w:trPr>
        <w:tc>
          <w:tcPr>
            <w:tcW w:type="dxa" w:w="1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5</w:t>
            </w:r>
          </w:p>
        </w:tc>
        <w:tc>
          <w:tcPr>
            <w:tcW w:type="dxa" w:w="1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26 Oct to 1 Nov</w:t>
            </w:r>
          </w:p>
        </w:tc>
        <w:tc>
          <w:tcPr>
            <w:tcW w:type="dxa" w:w="4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E2 quantization, four arms, no training; E3 continued clean SFT, one epoch with four checkpoints</w:t>
            </w:r>
          </w:p>
        </w:tc>
        <w:tc>
          <w:tcPr>
            <w:tcW w:type="dxa" w:w="26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Survival ratio and change in net ASR for every descendant, clean controls near zero net ASR</w:t>
            </w:r>
          </w:p>
        </w:tc>
      </w:tr>
      <w:tr>
        <w:trPr>
          <w:cantSplit w:val="false"/>
          <w:tblHeader w:val="false"/>
        </w:trPr>
        <w:tc>
          <w:tcPr>
            <w:tcW w:type="dxa" w:w="1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6</w:t>
            </w:r>
          </w:p>
        </w:tc>
        <w:tc>
          <w:tcPr>
            <w:tcW w:type="dxa" w:w="1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2 to 8 Nov</w:t>
            </w:r>
          </w:p>
        </w:tc>
        <w:tc>
          <w:tcPr>
            <w:tcW w:type="dxa" w:w="4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E4 merging across five lambda values with the clean partner trained first; aggregation, statistics, figures, outcome-map decision</w:t>
            </w:r>
          </w:p>
        </w:tc>
        <w:tc>
          <w:tcPr>
            <w:tcW w:type="dxa" w:w="26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Every paper number produced by analysis/aggregate.py from results files</w:t>
            </w:r>
          </w:p>
        </w:tc>
      </w:tr>
      <w:tr>
        <w:trPr>
          <w:cantSplit w:val="false"/>
          <w:tblHeader w:val="false"/>
        </w:trPr>
        <w:tc>
          <w:tcPr>
            <w:tcW w:type="dxa" w:w="1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7</w:t>
            </w:r>
          </w:p>
        </w:tc>
        <w:tc>
          <w:tcPr>
            <w:tcW w:type="dxa" w:w="1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9 to 17 Nov</w:t>
            </w:r>
          </w:p>
        </w:tc>
        <w:tc>
          <w:tcPr>
            <w:tcW w:type="dxa" w:w="4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Writing from the results outward, internal review, anonymisation, ethics field, anonymous artifact link, registration and submission</w:t>
            </w:r>
          </w:p>
        </w:tc>
        <w:tc>
          <w:tcPr>
            <w:tcW w:type="dxa" w:w="26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Submitted</w:t>
            </w:r>
          </w:p>
        </w:tc>
      </w:tr>
    </w:tbl>
    <w:p>
      <w:pPr>
        <w:pStyle w:val="Heading2"/>
        <w:keepNext/>
        <w:spacing w:after="45" w:before="120"/>
      </w:pPr>
      <w:r>
        <w:rPr>
          <w:rFonts w:ascii="Times New Roman" w:cs="Times New Roman" w:eastAsia="Times New Roman" w:hAnsi="Times New Roman"/>
          <w:b/>
          <w:bCs/>
          <w:color w:val="2F5597"/>
          <w:sz w:val="27"/>
          <w:szCs w:val="27"/>
        </w:rPr>
        <w:t xml:space="preserve">36.2 What ships in November, and what is deferred</w:t>
      </w:r>
    </w:p>
    <w:p>
      <w:pPr>
        <w:spacing w:after="80" w:before="0" w:line="244"/>
        <w:jc w:val="both"/>
      </w:pPr>
      <w:r>
        <w:rPr>
          <w:rFonts w:ascii="Times New Roman" w:cs="Times New Roman" w:eastAsia="Times New Roman" w:hAnsi="Times New Roman"/>
          <w:sz w:val="24"/>
          <w:szCs w:val="24"/>
        </w:rPr>
        <w:t xml:space="preserve">Seven weeks does not fit the seven-experiment core. The cut is made now, in writing, rather than improvised in week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500"/>
        <w:gridCol w:w="6360"/>
      </w:tblGrid>
      <w:tr>
        <w:trPr>
          <w:cantSplit w:val="false"/>
          <w:tblHeader/>
        </w:trPr>
        <w:tc>
          <w:tcPr>
            <w:tcW w:type="dxa" w:w="15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Item</w:t>
            </w:r>
          </w:p>
        </w:tc>
        <w:tc>
          <w:tcPr>
            <w:tcW w:type="dxa" w:w="15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November</w:t>
            </w:r>
          </w:p>
        </w:tc>
        <w:tc>
          <w:tcPr>
            <w:tcW w:type="dxa" w:w="63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Reasoning</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P0 pilot</w:t>
            </w:r>
          </w:p>
        </w:tc>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Yes</w:t>
            </w:r>
          </w:p>
        </w:tc>
        <w:tc>
          <w:tcPr>
            <w:tcW w:type="dxa" w:w="6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Cheap, local, and the gate depends on it. Cutting it would mean committing 7B compute blind.</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E1 matched ancestors</w:t>
            </w:r>
          </w:p>
        </w:tc>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Yes</w:t>
            </w:r>
          </w:p>
        </w:tc>
        <w:tc>
          <w:tcPr>
            <w:tcW w:type="dxa" w:w="6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whole paper rests on it. Reduced to trigger T1 only: two stages by three seeds gives six poisoned ancestors plus clean controls, which is the smallest set that supports a paired comparison with intervals.</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E2 quantization</w:t>
            </w:r>
          </w:p>
        </w:tc>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Yes</w:t>
            </w:r>
          </w:p>
        </w:tc>
        <w:tc>
          <w:tcPr>
            <w:tcW w:type="dxa" w:w="6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No training, four arms, evaluation only. The cheapest operation and the one most likely to preserve the behavior.</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E3 continued clean SFT</w:t>
            </w:r>
          </w:p>
        </w:tc>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Yes</w:t>
            </w:r>
          </w:p>
        </w:tc>
        <w:tc>
          <w:tcPr>
            <w:tcW w:type="dxa" w:w="6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One epoch per ancestor with four checkpoints. Gives a decay curve rather than a point, and the clean controls here are what separate inheritance from ordinary safety drift.</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E4 merging</w:t>
            </w:r>
          </w:p>
        </w:tc>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Yes</w:t>
            </w:r>
          </w:p>
        </w:tc>
        <w:tc>
          <w:tcPr>
            <w:tcW w:type="dxa" w:w="6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Merging itself is nearly free; the cost is evaluating the merged models. Adds a third operation and the lambda curve.</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E5 distillation</w:t>
            </w:r>
          </w:p>
        </w:tc>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No</w:t>
            </w:r>
          </w:p>
        </w:tc>
        <w:tc>
          <w:tcPr>
            <w:tcW w:type="dxa" w:w="6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Teacher generation over 20,000 prompts for eight teachers is the single most expensive stage in the study, and the cross-family control doubles the student runs. It is the sharpest supply-chain case and deserves proper room, so it leads the follow-up rather than being rushed.</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E6 mechanism</w:t>
            </w:r>
          </w:p>
        </w:tc>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No</w:t>
            </w:r>
          </w:p>
        </w:tc>
        <w:tc>
          <w:tcPr>
            <w:tcW w:type="dxa" w:w="6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Needs full-parameter implants and the causal ablation with four controls. The behavioral result stands without it, which was always the design.</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E7 audit</w:t>
            </w:r>
          </w:p>
        </w:tc>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No</w:t>
            </w:r>
          </w:p>
        </w:tc>
        <w:tc>
          <w:tcPr>
            <w:tcW w:type="dxa" w:w="6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Already agreed as phase two. Needs the direct-implant and safety-degraded groups built on top of E1 to E5, so it cannot precede them.</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Trigger T2</w:t>
            </w:r>
          </w:p>
        </w:tc>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If ahead</w:t>
            </w:r>
          </w:p>
        </w:tc>
        <w:tc>
          <w:tcPr>
            <w:tcW w:type="dxa" w:w="6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Robustness appendix if E1 finishes early. Not a headline result.</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Rate sweep 1 to 10 percent</w:t>
            </w:r>
          </w:p>
        </w:tc>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If ahead</w:t>
            </w:r>
          </w:p>
        </w:tc>
        <w:tc>
          <w:tcPr>
            <w:tcW w:type="dxa" w:w="6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Same: appendix if the schedule holds.</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X1 to X6</w:t>
            </w:r>
          </w:p>
        </w:tc>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No</w:t>
            </w:r>
          </w:p>
        </w:tc>
        <w:tc>
          <w:tcPr>
            <w:tcW w:type="dxa" w:w="6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Unchanged. None was ever required for a result.</w:t>
            </w:r>
          </w:p>
        </w:tc>
      </w:tr>
    </w:tbl>
    <w:p>
      <w:pPr>
        <w:spacing w:after="80" w:before="0" w:line="244"/>
        <w:jc w:val="both"/>
      </w:pPr>
      <w:r>
        <w:rPr>
          <w:rFonts w:ascii="Times New Roman" w:cs="Times New Roman" w:eastAsia="Times New Roman" w:hAnsi="Times New Roman"/>
          <w:b/>
          <w:bCs/>
          <w:sz w:val="24"/>
          <w:szCs w:val="24"/>
        </w:rPr>
        <w:t xml:space="preserve">What the November paper claims.</w:t>
      </w:r>
      <w:r>
        <w:rPr>
          <w:rFonts w:ascii="Times New Roman" w:cs="Times New Roman" w:eastAsia="Times New Roman" w:hAnsi="Times New Roman"/>
          <w:sz w:val="24"/>
          <w:szCs w:val="24"/>
        </w:rPr>
        <w:t xml:space="preserve"> RQ1 and RQ2, answered on one model family across three derivative operations with clean controls and confidence intervals. RQ3 and RQ4 appear as open questions with the design that would answer them, not as claims. That is an honest and complete paper: the per-operation survival table under one protocol does not exist in the literature, and it stands whichever way the stage comparison falls.</w:t>
      </w:r>
    </w:p>
    <w:p>
      <w:pPr>
        <w:pStyle w:val="Heading2"/>
        <w:keepNext/>
        <w:spacing w:after="45" w:before="120"/>
      </w:pPr>
      <w:r>
        <w:rPr>
          <w:rFonts w:ascii="Times New Roman" w:cs="Times New Roman" w:eastAsia="Times New Roman" w:hAnsi="Times New Roman"/>
          <w:b/>
          <w:bCs/>
          <w:color w:val="2F5597"/>
          <w:sz w:val="27"/>
          <w:szCs w:val="27"/>
        </w:rPr>
        <w:t xml:space="preserve">36.3 Gates</w:t>
      </w:r>
    </w:p>
    <w:p>
      <w:pPr>
        <w:spacing w:after="80" w:before="0" w:line="244"/>
        <w:jc w:val="both"/>
      </w:pPr>
      <w:r>
        <w:rPr>
          <w:rFonts w:ascii="Times New Roman" w:cs="Times New Roman" w:eastAsia="Times New Roman" w:hAnsi="Times New Roman"/>
          <w:sz w:val="24"/>
          <w:szCs w:val="24"/>
        </w:rPr>
        <w:t xml:space="preserve">Two gates, both with the decision written before the data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000"/>
        <w:gridCol w:w="4860"/>
      </w:tblGrid>
      <w:tr>
        <w:trPr>
          <w:cantSplit w:val="false"/>
          <w:tblHeader/>
        </w:trPr>
        <w:tc>
          <w:tcPr>
            <w:tcW w:type="dxa" w:w="15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Gate</w:t>
            </w:r>
          </w:p>
        </w:tc>
        <w:tc>
          <w:tcPr>
            <w:tcW w:type="dxa" w:w="30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Criterion</w:t>
            </w:r>
          </w:p>
        </w:tc>
        <w:tc>
          <w:tcPr>
            <w:tcW w:type="dxa" w:w="48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If it fails</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Gate 1</w:t>
            </w:r>
            <w:r>
              <w:rPr>
                <w:rFonts w:ascii="Times New Roman" w:cs="Times New Roman" w:eastAsia="Times New Roman" w:hAnsi="Times New Roman"/>
                <w:sz w:val="20"/>
                <w:szCs w:val="20"/>
              </w:rPr>
              <w:t xml:space="preserve">, end of week 2</w:t>
            </w:r>
          </w:p>
        </w:tc>
        <w:tc>
          <w:tcPr>
            <w:tcW w:type="dxa" w:w="3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All six: both stages reach at least 50 percentage points of net ASR at 5 percent on both seeds; clean controls at or below 5 points; utility drop at most 3 points; the two judges agree on at least 85 percent of responses and the primary judge matches human labels on at least 85 percent of the 200-item sample; the correspondence test passes; measured runtime extrapolates to a 7B budget inside the allocation</w:t>
            </w:r>
          </w:p>
        </w:tc>
        <w:tc>
          <w:tcPr>
            <w:tcW w:type="dxa" w:w="4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Do not start the 7B runs. Diagnose, adjust the rate or the band, repeat the pilot. If neither stage reaches the band even at 10 percent, the matching failure is reported as a finding and the study proceeds per stage without the paired claim</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Gate 2</w:t>
            </w:r>
            <w:r>
              <w:rPr>
                <w:rFonts w:ascii="Times New Roman" w:cs="Times New Roman" w:eastAsia="Times New Roman" w:hAnsi="Times New Roman"/>
                <w:sz w:val="20"/>
                <w:szCs w:val="20"/>
              </w:rPr>
              <w:t xml:space="preserve">, 25 October</w:t>
            </w:r>
          </w:p>
        </w:tc>
        <w:tc>
          <w:tcPr>
            <w:tcW w:type="dxa" w:w="3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Matched ancestors exist for both stages across three seeds, with the selection log</w:t>
            </w:r>
          </w:p>
        </w:tc>
        <w:tc>
          <w:tcPr>
            <w:tcW w:type="dxa" w:w="4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Do not attempt 17 November. Move to the next cycle and spend the recovered time on E5, E6 and E7 rather than on padding a thin paper. A rushed submission costs a cycle anyway, and costs the result as well</w:t>
            </w:r>
          </w:p>
        </w:tc>
      </w:tr>
    </w:tbl>
    <w:p>
      <w:pPr>
        <w:spacing w:after="80" w:before="0" w:line="244"/>
        <w:jc w:val="both"/>
      </w:pPr>
      <w:r>
        <w:rPr>
          <w:rFonts w:ascii="Times New Roman" w:cs="Times New Roman" w:eastAsia="Times New Roman" w:hAnsi="Times New Roman"/>
          <w:b/>
          <w:bCs/>
          <w:sz w:val="24"/>
          <w:szCs w:val="24"/>
        </w:rPr>
        <w:t xml:space="preserve">Why a second gate.</w:t>
      </w:r>
      <w:r>
        <w:rPr>
          <w:rFonts w:ascii="Times New Roman" w:cs="Times New Roman" w:eastAsia="Times New Roman" w:hAnsi="Times New Roman"/>
          <w:sz w:val="24"/>
          <w:szCs w:val="24"/>
        </w:rPr>
        <w:t xml:space="preserve"> The first gate protects the compute budget. The second protects the paper: by 25 October there is still time to stop, and after it there is not. Whoever is looking at the schedule that day should be able to read the rule rather than argue about it.</w:t>
      </w:r>
    </w:p>
    <w:p>
      <w:pPr>
        <w:pStyle w:val="Heading2"/>
        <w:keepNext/>
        <w:spacing w:after="45" w:before="120"/>
      </w:pPr>
      <w:r>
        <w:rPr>
          <w:rFonts w:ascii="Times New Roman" w:cs="Times New Roman" w:eastAsia="Times New Roman" w:hAnsi="Times New Roman"/>
          <w:b/>
          <w:bCs/>
          <w:color w:val="2F5597"/>
          <w:sz w:val="27"/>
          <w:szCs w:val="27"/>
        </w:rPr>
        <w:t xml:space="preserve">36.4 Rules for the implementation assistant</w:t>
      </w:r>
    </w:p>
    <w:p>
      <w:pPr>
        <w:pStyle w:val="ListParagraph"/>
        <w:numPr>
          <w:ilvl w:val="0"/>
          <w:numId w:val="3"/>
        </w:numPr>
        <w:spacing w:after="45" w:line="238"/>
        <w:jc w:val="left"/>
      </w:pPr>
      <w:r>
        <w:rPr>
          <w:rFonts w:ascii="Times New Roman" w:cs="Times New Roman" w:eastAsia="Times New Roman" w:hAnsi="Times New Roman"/>
          <w:b/>
          <w:bCs/>
          <w:sz w:val="22"/>
          <w:szCs w:val="22"/>
        </w:rPr>
        <w:t xml:space="preserve">Never invent a number.</w:t>
      </w:r>
      <w:r>
        <w:rPr>
          <w:rFonts w:ascii="Times New Roman" w:cs="Times New Roman" w:eastAsia="Times New Roman" w:hAnsi="Times New Roman"/>
          <w:sz w:val="22"/>
          <w:szCs w:val="22"/>
        </w:rPr>
        <w:t xml:space="preserve"> If a metric is not yet computed, write the placeholder and leave it. Do not fill a table with a plausible value.</w:t>
      </w:r>
    </w:p>
    <w:p>
      <w:pPr>
        <w:pStyle w:val="ListParagraph"/>
        <w:numPr>
          <w:ilvl w:val="0"/>
          <w:numId w:val="3"/>
        </w:numPr>
        <w:spacing w:after="45" w:line="238"/>
        <w:jc w:val="left"/>
      </w:pPr>
      <w:r>
        <w:rPr>
          <w:rFonts w:ascii="Times New Roman" w:cs="Times New Roman" w:eastAsia="Times New Roman" w:hAnsi="Times New Roman"/>
          <w:b/>
          <w:bCs/>
          <w:sz w:val="22"/>
          <w:szCs w:val="22"/>
        </w:rPr>
        <w:t xml:space="preserve">lambda is the weight on the clean merge partner.</w:t>
      </w:r>
      <w:r>
        <w:rPr>
          <w:rFonts w:ascii="Times New Roman" w:cs="Times New Roman" w:eastAsia="Times New Roman" w:hAnsi="Times New Roman"/>
          <w:sz w:val="22"/>
          <w:szCs w:val="22"/>
        </w:rPr>
        <w:t xml:space="preserve"> Check every plot axis, table column and config key against this.</w:t>
      </w:r>
    </w:p>
    <w:p>
      <w:pPr>
        <w:pStyle w:val="ListParagraph"/>
        <w:numPr>
          <w:ilvl w:val="0"/>
          <w:numId w:val="3"/>
        </w:numPr>
        <w:spacing w:after="45" w:line="238"/>
        <w:jc w:val="left"/>
      </w:pPr>
      <w:r>
        <w:rPr>
          <w:rFonts w:ascii="Times New Roman" w:cs="Times New Roman" w:eastAsia="Times New Roman" w:hAnsi="Times New Roman"/>
          <w:b/>
          <w:bCs/>
          <w:sz w:val="22"/>
          <w:szCs w:val="22"/>
        </w:rPr>
        <w:t xml:space="preserve">Use the stable IDs.</w:t>
      </w:r>
      <w:r>
        <w:rPr>
          <w:rFonts w:ascii="Times New Roman" w:cs="Times New Roman" w:eastAsia="Times New Roman" w:hAnsi="Times New Roman"/>
          <w:sz w:val="22"/>
          <w:szCs w:val="22"/>
        </w:rPr>
        <w:t xml:space="preserve"> P0, E1 to E7, X1 to X6 in config names, run directories, results files, plot titles and comments.</w:t>
      </w:r>
    </w:p>
    <w:p>
      <w:pPr>
        <w:pStyle w:val="ListParagraph"/>
        <w:numPr>
          <w:ilvl w:val="0"/>
          <w:numId w:val="3"/>
        </w:numPr>
        <w:spacing w:after="45" w:line="238"/>
        <w:jc w:val="left"/>
      </w:pPr>
      <w:r>
        <w:rPr>
          <w:rFonts w:ascii="Times New Roman" w:cs="Times New Roman" w:eastAsia="Times New Roman" w:hAnsi="Times New Roman"/>
          <w:b/>
          <w:bCs/>
          <w:sz w:val="22"/>
          <w:szCs w:val="22"/>
        </w:rPr>
        <w:t xml:space="preserve">One definition per metric.</w:t>
      </w:r>
      <w:r>
        <w:rPr>
          <w:rFonts w:ascii="Times New Roman" w:cs="Times New Roman" w:eastAsia="Times New Roman" w:hAnsi="Times New Roman"/>
          <w:sz w:val="22"/>
          <w:szCs w:val="22"/>
        </w:rPr>
        <w:t xml:space="preserve"> Import from eval/metrics.py. Do not recompute a rate inline.</w:t>
      </w:r>
    </w:p>
    <w:p>
      <w:pPr>
        <w:pStyle w:val="ListParagraph"/>
        <w:numPr>
          <w:ilvl w:val="0"/>
          <w:numId w:val="3"/>
        </w:numPr>
        <w:spacing w:after="45" w:line="238"/>
        <w:jc w:val="left"/>
      </w:pPr>
      <w:r>
        <w:rPr>
          <w:rFonts w:ascii="Times New Roman" w:cs="Times New Roman" w:eastAsia="Times New Roman" w:hAnsi="Times New Roman"/>
          <w:b/>
          <w:bCs/>
          <w:sz w:val="22"/>
          <w:szCs w:val="22"/>
        </w:rPr>
        <w:t xml:space="preserve">Clean controls are not optional.</w:t>
      </w:r>
      <w:r>
        <w:rPr>
          <w:rFonts w:ascii="Times New Roman" w:cs="Times New Roman" w:eastAsia="Times New Roman" w:hAnsi="Times New Roman"/>
          <w:sz w:val="22"/>
          <w:szCs w:val="22"/>
        </w:rPr>
        <w:t xml:space="preserve"> Every operation is applied to the clean ancestors as well. A results table without its control rows is incomplete.</w:t>
      </w:r>
    </w:p>
    <w:p>
      <w:pPr>
        <w:pStyle w:val="ListParagraph"/>
        <w:numPr>
          <w:ilvl w:val="0"/>
          <w:numId w:val="3"/>
        </w:numPr>
        <w:spacing w:after="45" w:line="238"/>
        <w:jc w:val="left"/>
      </w:pPr>
      <w:r>
        <w:rPr>
          <w:rFonts w:ascii="Times New Roman" w:cs="Times New Roman" w:eastAsia="Times New Roman" w:hAnsi="Times New Roman"/>
          <w:b/>
          <w:bCs/>
          <w:sz w:val="22"/>
          <w:szCs w:val="22"/>
        </w:rPr>
        <w:t xml:space="preserve">Fail loudly.</w:t>
      </w:r>
      <w:r>
        <w:rPr>
          <w:rFonts w:ascii="Times New Roman" w:cs="Times New Roman" w:eastAsia="Times New Roman" w:hAnsi="Times New Roman"/>
          <w:sz w:val="22"/>
          <w:szCs w:val="22"/>
        </w:rPr>
        <w:t xml:space="preserve"> A missing checkpoint, an unpinned revision, a config hash mismatch or a failed correspondence test stops the run. Silent fallbacks produce unreportable results.</w:t>
      </w:r>
    </w:p>
    <w:p>
      <w:pPr>
        <w:pStyle w:val="ListParagraph"/>
        <w:numPr>
          <w:ilvl w:val="0"/>
          <w:numId w:val="3"/>
        </w:numPr>
        <w:spacing w:after="45" w:line="238"/>
        <w:jc w:val="left"/>
      </w:pPr>
      <w:r>
        <w:rPr>
          <w:rFonts w:ascii="Times New Roman" w:cs="Times New Roman" w:eastAsia="Times New Roman" w:hAnsi="Times New Roman"/>
          <w:b/>
          <w:bCs/>
          <w:sz w:val="22"/>
          <w:szCs w:val="22"/>
        </w:rPr>
        <w:t xml:space="preserve">Cache the expensive stages.</w:t>
      </w:r>
      <w:r>
        <w:rPr>
          <w:rFonts w:ascii="Times New Roman" w:cs="Times New Roman" w:eastAsia="Times New Roman" w:hAnsi="Times New Roman"/>
          <w:sz w:val="22"/>
          <w:szCs w:val="22"/>
        </w:rPr>
        <w:t xml:space="preserve"> Teacher generations, activation collections and judge labels are cached by content hash, so re-running analysis never re-runs generation.</w:t>
      </w:r>
    </w:p>
    <w:p>
      <w:pPr>
        <w:pStyle w:val="ListParagraph"/>
        <w:numPr>
          <w:ilvl w:val="0"/>
          <w:numId w:val="3"/>
        </w:numPr>
        <w:spacing w:after="45" w:line="238"/>
        <w:jc w:val="left"/>
      </w:pPr>
      <w:r>
        <w:rPr>
          <w:rFonts w:ascii="Times New Roman" w:cs="Times New Roman" w:eastAsia="Times New Roman" w:hAnsi="Times New Roman"/>
          <w:b/>
          <w:bCs/>
          <w:sz w:val="22"/>
          <w:szCs w:val="22"/>
        </w:rPr>
        <w:t xml:space="preserve">Record provenance in every output.</w:t>
      </w:r>
      <w:r>
        <w:rPr>
          <w:rFonts w:ascii="Times New Roman" w:cs="Times New Roman" w:eastAsia="Times New Roman" w:hAnsi="Times New Roman"/>
          <w:sz w:val="22"/>
          <w:szCs w:val="22"/>
        </w:rPr>
        <w:t xml:space="preserve"> Config hash, git commit, dataset checksums, library versions, machine and date, in the run directory and in every results row.</w:t>
      </w:r>
    </w:p>
    <w:p>
      <w:pPr>
        <w:pStyle w:val="ListParagraph"/>
        <w:numPr>
          <w:ilvl w:val="0"/>
          <w:numId w:val="3"/>
        </w:numPr>
        <w:spacing w:after="45" w:line="238"/>
        <w:jc w:val="left"/>
      </w:pPr>
      <w:r>
        <w:rPr>
          <w:rFonts w:ascii="Times New Roman" w:cs="Times New Roman" w:eastAsia="Times New Roman" w:hAnsi="Times New Roman"/>
          <w:b/>
          <w:bCs/>
          <w:sz w:val="22"/>
          <w:szCs w:val="22"/>
        </w:rPr>
        <w:t xml:space="preserve">Do not release assembled poisoned corpora.</w:t>
      </w:r>
      <w:r>
        <w:rPr>
          <w:rFonts w:ascii="Times New Roman" w:cs="Times New Roman" w:eastAsia="Times New Roman" w:hAnsi="Times New Roman"/>
          <w:sz w:val="22"/>
          <w:szCs w:val="22"/>
        </w:rPr>
        <w:t xml:space="preserve"> Release indices, configuration and the assembly script, which requires the user to download the source dataset themselves.</w:t>
      </w:r>
    </w:p>
    <w:p>
      <w:pPr>
        <w:pStyle w:val="Heading1"/>
        <w:keepNext/>
        <w:spacing w:after="70" w:before="170"/>
      </w:pPr>
      <w:r>
        <w:rPr>
          <w:rFonts w:ascii="Times New Roman" w:cs="Times New Roman" w:eastAsia="Times New Roman" w:hAnsi="Times New Roman"/>
          <w:b/>
          <w:bCs/>
          <w:color w:val="1F3864"/>
          <w:sz w:val="30"/>
          <w:szCs w:val="30"/>
        </w:rPr>
        <w:t xml:space="preserve">37. Risks and Fallbacks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300"/>
        <w:gridCol w:w="3660"/>
      </w:tblGrid>
      <w:tr>
        <w:trPr>
          <w:cantSplit w:val="false"/>
          <w:tblHeader/>
        </w:trPr>
        <w:tc>
          <w:tcPr>
            <w:tcW w:type="dxa" w:w="24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Risk</w:t>
            </w:r>
          </w:p>
        </w:tc>
        <w:tc>
          <w:tcPr>
            <w:tcW w:type="dxa" w:w="33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Why it would hurt</w:t>
            </w:r>
          </w:p>
        </w:tc>
        <w:tc>
          <w:tcPr>
            <w:tcW w:type="dxa" w:w="36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Fallback</w:t>
            </w:r>
          </w:p>
        </w:tc>
      </w:tr>
      <w:tr>
        <w:trPr>
          <w:cantSplit w:val="false"/>
          <w:tblHeader w:val="false"/>
        </w:trPr>
        <w:tc>
          <w:tcPr>
            <w:tcW w:type="dxa" w:w="2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Neither branch reaches a measurable attack strength at 5 percent</w:t>
            </w:r>
          </w:p>
        </w:tc>
        <w:tc>
          <w:tcPr>
            <w:tcW w:type="dxa" w:w="33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Without a working implant there is nothing to follow through the operations.</w:t>
            </w:r>
          </w:p>
        </w:tc>
        <w:tc>
          <w:tcPr>
            <w:tcW w:type="dxa" w:w="36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Raise the rate stepwise and record the rate required, which is itself a result about the cost of compromising each stage. The pilot exists to find this out cheaply.</w:t>
            </w:r>
          </w:p>
        </w:tc>
      </w:tr>
      <w:tr>
        <w:trPr>
          <w:cantSplit w:val="false"/>
          <w:tblHeader w:val="false"/>
        </w:trPr>
        <w:tc>
          <w:tcPr>
            <w:tcW w:type="dxa" w:w="2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two branches cannot be matched inside a comparable budget</w:t>
            </w:r>
          </w:p>
        </w:tc>
        <w:tc>
          <w:tcPr>
            <w:tcW w:type="dxa" w:w="33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RQ1 loses its paired comparison.</w:t>
            </w:r>
          </w:p>
        </w:tc>
        <w:tc>
          <w:tcPr>
            <w:tcW w:type="dxa" w:w="36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Lower the band symmetrically for both branches; if still impossible, report per-stage survival without the paired claim, and report the matching failure as a finding about stage asymmetry.</w:t>
            </w:r>
          </w:p>
        </w:tc>
      </w:tr>
      <w:tr>
        <w:trPr>
          <w:cantSplit w:val="false"/>
          <w:tblHeader w:val="false"/>
        </w:trPr>
        <w:tc>
          <w:tcPr>
            <w:tcW w:type="dxa" w:w="2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Ancestor net ASR is high but the descendant denominator collapses</w:t>
            </w:r>
          </w:p>
        </w:tc>
        <w:tc>
          <w:tcPr>
            <w:tcW w:type="dxa" w:w="33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Survival ratios become unstable and noisy.</w:t>
            </w:r>
          </w:p>
        </w:tc>
        <w:tc>
          <w:tcPr>
            <w:tcW w:type="dxa" w:w="36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Report survival only above a fixed ancestor net ASR floor, and always publish the raw net ASR values beside every ratio.</w:t>
            </w:r>
          </w:p>
        </w:tc>
      </w:tr>
      <w:tr>
        <w:trPr>
          <w:cantSplit w:val="false"/>
          <w:tblHeader w:val="false"/>
        </w:trPr>
        <w:tc>
          <w:tcPr>
            <w:tcW w:type="dxa" w:w="2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Judge disagreement is large</w:t>
            </w:r>
          </w:p>
        </w:tc>
        <w:tc>
          <w:tcPr>
            <w:tcW w:type="dxa" w:w="33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Every headline number becomes judge-dependent.</w:t>
            </w:r>
          </w:p>
        </w:tc>
        <w:tc>
          <w:tcPr>
            <w:tcW w:type="dxa" w:w="36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Report both judges throughout, publish the hand-labelled agreement sample, and state conclusions only where the two judges agree in direction.</w:t>
            </w:r>
          </w:p>
        </w:tc>
      </w:tr>
      <w:tr>
        <w:trPr>
          <w:cantSplit w:val="false"/>
          <w:tblHeader w:val="false"/>
        </w:trPr>
        <w:tc>
          <w:tcPr>
            <w:tcW w:type="dxa" w:w="2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H200 access is delayed or contended</w:t>
            </w:r>
          </w:p>
        </w:tc>
        <w:tc>
          <w:tcPr>
            <w:tcW w:type="dxa" w:w="33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7B experiments stall.</w:t>
            </w:r>
          </w:p>
        </w:tc>
        <w:tc>
          <w:tcPr>
            <w:tcW w:type="dxa" w:w="36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full pipeline is developed and validated at 1.5B locally, so a delay costs scheduling rather than progress. E2 and E4 are cheap enough to run locally once ancestors exist.</w:t>
            </w:r>
          </w:p>
        </w:tc>
      </w:tr>
      <w:tr>
        <w:trPr>
          <w:cantSplit w:val="false"/>
          <w:tblHeader w:val="false"/>
        </w:trPr>
        <w:tc>
          <w:tcPr>
            <w:tcW w:type="dxa" w:w="2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Llama-3.1 gated access is not granted in time</w:t>
            </w:r>
          </w:p>
        </w:tc>
        <w:tc>
          <w:tcPr>
            <w:tcW w:type="dxa" w:w="33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X2 cannot run in the intended family.</w:t>
            </w:r>
          </w:p>
        </w:tc>
        <w:tc>
          <w:tcPr>
            <w:tcW w:type="dxa" w:w="36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Substitute Mistral-7B-Instruct-v0.3, which is openly licensed, and state the substitution.</w:t>
            </w:r>
          </w:p>
        </w:tc>
      </w:tr>
      <w:tr>
        <w:trPr>
          <w:cantSplit w:val="false"/>
          <w:tblHeader w:val="false"/>
        </w:trPr>
        <w:tc>
          <w:tcPr>
            <w:tcW w:type="dxa" w:w="2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Local Blackwell GPU toolchain problems</w:t>
            </w:r>
          </w:p>
        </w:tc>
        <w:tc>
          <w:tcPr>
            <w:tcW w:type="dxa" w:w="33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Local development halts.</w:t>
            </w:r>
          </w:p>
        </w:tc>
        <w:tc>
          <w:tcPr>
            <w:tcW w:type="dxa" w:w="36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 startup compatibility check runs before any long job, and the H200 is the fallback for any stage the local card cannot build.</w:t>
            </w:r>
          </w:p>
        </w:tc>
      </w:tr>
      <w:tr>
        <w:trPr>
          <w:cantSplit w:val="false"/>
          <w:tblHeader w:val="false"/>
        </w:trPr>
        <w:tc>
          <w:tcPr>
            <w:tcW w:type="dxa" w:w="2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mechanism study is inconclusive</w:t>
            </w:r>
          </w:p>
        </w:tc>
        <w:tc>
          <w:tcPr>
            <w:tcW w:type="dxa" w:w="33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explanatory part of the paper disappears.</w:t>
            </w:r>
          </w:p>
        </w:tc>
        <w:tc>
          <w:tcPr>
            <w:tcW w:type="dxa" w:w="36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behavioral measurement stands alone. This was planned for in Section 8, so it does not change the paper structure.</w:t>
            </w:r>
          </w:p>
        </w:tc>
      </w:tr>
      <w:tr>
        <w:trPr>
          <w:cantSplit w:val="false"/>
          <w:tblHeader w:val="false"/>
        </w:trPr>
        <w:tc>
          <w:tcPr>
            <w:tcW w:type="dxa" w:w="2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audit shows no inheritance specificity</w:t>
            </w:r>
          </w:p>
        </w:tc>
        <w:tc>
          <w:tcPr>
            <w:tcW w:type="dxa" w:w="33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stronger audit claim is unavailable.</w:t>
            </w:r>
          </w:p>
        </w:tc>
        <w:tc>
          <w:tcPr>
            <w:tcW w:type="dxa" w:w="36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Narrow to descendant-only backdoor scanning, and report the inheritance contrast as a negative result with baselines that fail the same way. The evaluation design remains a contribution.</w:t>
            </w:r>
          </w:p>
        </w:tc>
      </w:tr>
      <w:tr>
        <w:trPr>
          <w:cantSplit w:val="false"/>
          <w:tblHeader w:val="false"/>
        </w:trPr>
        <w:tc>
          <w:tcPr>
            <w:tcW w:type="dxa" w:w="2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Storage exhaustion from merged and quantized checkpoints</w:t>
            </w:r>
          </w:p>
        </w:tc>
        <w:tc>
          <w:tcPr>
            <w:tcW w:type="dxa" w:w="33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Runs fail late and waste compute.</w:t>
            </w:r>
          </w:p>
        </w:tc>
        <w:tc>
          <w:tcPr>
            <w:tcW w:type="dxa" w:w="36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Keep adapters, recipes, generations and metrics; delete regenerable full checkpoints after evaluation; check free space before each stage.</w:t>
            </w:r>
          </w:p>
        </w:tc>
      </w:tr>
      <w:tr>
        <w:trPr>
          <w:cantSplit w:val="false"/>
          <w:tblHeader w:val="false"/>
        </w:trPr>
        <w:tc>
          <w:tcPr>
            <w:tcW w:type="dxa" w:w="2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Scope creep into reward modeling and PPO mid-study</w:t>
            </w:r>
          </w:p>
        </w:tc>
        <w:tc>
          <w:tcPr>
            <w:tcW w:type="dxa" w:w="33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core comparison is delayed and nothing finishes.</w:t>
            </w:r>
          </w:p>
        </w:tc>
        <w:tc>
          <w:tcPr>
            <w:tcW w:type="dxa" w:w="36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X3 is explicitly outside the current implementation and requires a decision from Professor Zhan before any compute is spent on it.</w:t>
            </w:r>
          </w:p>
        </w:tc>
      </w:tr>
    </w:tbl>
    <w:p>
      <w:pPr>
        <w:pStyle w:val="Heading1"/>
        <w:keepNext/>
        <w:spacing w:after="70" w:before="170"/>
      </w:pPr>
      <w:r>
        <w:rPr>
          <w:rFonts w:ascii="Times New Roman" w:cs="Times New Roman" w:eastAsia="Times New Roman" w:hAnsi="Times New Roman"/>
          <w:b/>
          <w:bCs/>
          <w:color w:val="1F3864"/>
          <w:sz w:val="30"/>
          <w:szCs w:val="30"/>
        </w:rPr>
        <w:t xml:space="preserve">38. Reproducibility, Limitations, Ethics and Submission Checklist</w:t>
      </w:r>
    </w:p>
    <w:p>
      <w:pPr>
        <w:pStyle w:val="Heading2"/>
        <w:keepNext/>
        <w:spacing w:after="45" w:before="120"/>
      </w:pPr>
      <w:r>
        <w:rPr>
          <w:rFonts w:ascii="Times New Roman" w:cs="Times New Roman" w:eastAsia="Times New Roman" w:hAnsi="Times New Roman"/>
          <w:b/>
          <w:bCs/>
          <w:color w:val="2F5597"/>
          <w:sz w:val="27"/>
          <w:szCs w:val="27"/>
        </w:rPr>
        <w:t xml:space="preserve">38.1 Reproducibility and release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6260"/>
      </w:tblGrid>
      <w:tr>
        <w:trPr>
          <w:cantSplit w:val="false"/>
          <w:tblHeader/>
        </w:trPr>
        <w:tc>
          <w:tcPr>
            <w:tcW w:type="dxa" w:w="31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Item</w:t>
            </w:r>
          </w:p>
        </w:tc>
        <w:tc>
          <w:tcPr>
            <w:tcW w:type="dxa" w:w="62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Commitment</w:t>
            </w:r>
          </w:p>
        </w:tc>
      </w:tr>
      <w:tr>
        <w:trPr>
          <w:cantSplit w:val="false"/>
          <w:tblHeader w:val="false"/>
        </w:trPr>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Dataset revisions</w:t>
            </w:r>
          </w:p>
        </w:tc>
        <w:tc>
          <w:tcPr>
            <w:tcW w:type="dxa" w:w="6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Every dataset pinned by revision hash, recorded in HEIRLOOM_Dataset_Manifest.txt with row counts, checksums and licences.</w:t>
            </w:r>
          </w:p>
        </w:tc>
      </w:tr>
      <w:tr>
        <w:trPr>
          <w:cantSplit w:val="false"/>
          <w:tblHeader w:val="false"/>
        </w:trPr>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Model revisions</w:t>
            </w:r>
          </w:p>
        </w:tc>
        <w:tc>
          <w:tcPr>
            <w:tcW w:type="dxa" w:w="6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Every base model, judge and student pinned by revision. Gated models noted as gated.</w:t>
            </w:r>
          </w:p>
        </w:tc>
      </w:tr>
      <w:tr>
        <w:trPr>
          <w:cantSplit w:val="false"/>
          <w:tblHeader w:val="false"/>
        </w:trPr>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Seeds</w:t>
            </w:r>
          </w:p>
        </w:tc>
        <w:tc>
          <w:tcPr>
            <w:tcW w:type="dxa" w:w="6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All seeds recorded per run. Seed set fixed in advance, not chosen after seeing results.</w:t>
            </w:r>
          </w:p>
        </w:tc>
      </w:tr>
      <w:tr>
        <w:trPr>
          <w:cantSplit w:val="false"/>
          <w:tblHeader w:val="false"/>
        </w:trPr>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Configuration</w:t>
            </w:r>
          </w:p>
        </w:tc>
        <w:tc>
          <w:tcPr>
            <w:tcW w:type="dxa" w:w="6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One YAML per condition, hashed into the run directory name. No result-affecting value passed on the command line.</w:t>
            </w:r>
          </w:p>
        </w:tc>
      </w:tr>
      <w:tr>
        <w:trPr>
          <w:cantSplit w:val="false"/>
          <w:tblHeader w:val="false"/>
        </w:trPr>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Provenance per run</w:t>
            </w:r>
          </w:p>
        </w:tc>
        <w:tc>
          <w:tcPr>
            <w:tcW w:type="dxa" w:w="6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Git commit, config hash, dataset checksums, library versions, machine, date.</w:t>
            </w:r>
          </w:p>
        </w:tc>
      </w:tr>
      <w:tr>
        <w:trPr>
          <w:cantSplit w:val="false"/>
          <w:tblHeader w:val="false"/>
        </w:trPr>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Figures and tables</w:t>
            </w:r>
          </w:p>
        </w:tc>
        <w:tc>
          <w:tcPr>
            <w:tcW w:type="dxa" w:w="6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Regenerated from results files by one analysis module. No hand-edited numbers.</w:t>
            </w:r>
          </w:p>
        </w:tc>
      </w:tr>
      <w:tr>
        <w:trPr>
          <w:cantSplit w:val="false"/>
          <w:tblHeader w:val="false"/>
        </w:trPr>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Screening against final runs</w:t>
            </w:r>
          </w:p>
        </w:tc>
        <w:tc>
          <w:tcPr>
            <w:tcW w:type="dxa" w:w="6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Marked per run. A screening evaluation is never reported as a final result.</w:t>
            </w:r>
          </w:p>
        </w:tc>
      </w:tr>
      <w:tr>
        <w:trPr>
          <w:cantSplit w:val="false"/>
          <w:tblHeader w:val="false"/>
        </w:trPr>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Pre-registered interpretation</w:t>
            </w:r>
          </w:p>
        </w:tc>
        <w:tc>
          <w:tcPr>
            <w:tcW w:type="dxa" w:w="6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outcome map in Section 8 and the smallest meaningful difference in Section 29 are fixed before the reported runs.</w:t>
            </w:r>
          </w:p>
        </w:tc>
      </w:tr>
      <w:tr>
        <w:trPr>
          <w:cantSplit w:val="false"/>
          <w:tblHeader w:val="false"/>
        </w:trPr>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Harmful content</w:t>
            </w:r>
          </w:p>
        </w:tc>
        <w:tc>
          <w:tcPr>
            <w:tcW w:type="dxa" w:w="6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No new harmful content authored. Unsafe target responses are taken from the public safety dataset that already contains them with labels.</w:t>
            </w:r>
          </w:p>
        </w:tc>
      </w:tr>
      <w:tr>
        <w:trPr>
          <w:cantSplit w:val="false"/>
          <w:tblHeader w:val="false"/>
        </w:trPr>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Released artifacts</w:t>
            </w:r>
          </w:p>
        </w:tc>
        <w:tc>
          <w:tcPr>
            <w:tcW w:type="dxa" w:w="6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Code, configs, indices, metrics and the assembly script. Not assembled poisoned corpora, and not backdoored checkpoints.</w:t>
            </w:r>
          </w:p>
        </w:tc>
      </w:tr>
      <w:tr>
        <w:trPr>
          <w:cantSplit w:val="false"/>
          <w:tblHeader w:val="false"/>
        </w:trPr>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Claims about third parties</w:t>
            </w:r>
          </w:p>
        </w:tc>
        <w:tc>
          <w:tcPr>
            <w:tcW w:type="dxa" w:w="6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No claim that any public model is compromised, and no model author named or accused. Subspace similarity alone is not treated as evidence of compromise.</w:t>
            </w:r>
          </w:p>
        </w:tc>
      </w:tr>
      <w:tr>
        <w:trPr>
          <w:cantSplit w:val="false"/>
          <w:tblHeader w:val="false"/>
        </w:trPr>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Notification</w:t>
            </w:r>
          </w:p>
        </w:tc>
        <w:tc>
          <w:tcPr>
            <w:tcW w:type="dxa" w:w="6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No statement that any model author was notified, because no notification has occurred.</w:t>
            </w:r>
          </w:p>
        </w:tc>
      </w:tr>
      <w:tr>
        <w:trPr>
          <w:cantSplit w:val="false"/>
          <w:tblHeader w:val="false"/>
        </w:trPr>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Venue requirements</w:t>
            </w:r>
          </w:p>
        </w:tc>
        <w:tc>
          <w:tcPr>
            <w:tcW w:type="dxa" w:w="6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IEEE S&amp;P 2027 in Montreal, Canada; dates to be confirmed from the official site. Submission format is 13 pages of text plus 5 pages of references and appendices, anonymous, with an ethics statement. The ethics statement will describe the release restrictions above.</w:t>
            </w:r>
          </w:p>
        </w:tc>
      </w:tr>
    </w:tbl>
    <w:p>
      <w:pPr>
        <w:pStyle w:val="Heading2"/>
        <w:keepNext/>
        <w:spacing w:after="45" w:before="120"/>
      </w:pPr>
      <w:r>
        <w:rPr>
          <w:rFonts w:ascii="Times New Roman" w:cs="Times New Roman" w:eastAsia="Times New Roman" w:hAnsi="Times New Roman"/>
          <w:b/>
          <w:bCs/>
          <w:color w:val="2F5597"/>
          <w:sz w:val="27"/>
          <w:szCs w:val="27"/>
        </w:rPr>
        <w:t xml:space="preserve">38.2 Artifact release plan</w:t>
      </w:r>
    </w:p>
    <w:p>
      <w:pPr>
        <w:spacing w:after="80" w:before="0" w:line="244"/>
        <w:jc w:val="both"/>
      </w:pPr>
      <w:r>
        <w:rPr>
          <w:rFonts w:ascii="Times New Roman" w:cs="Times New Roman" w:eastAsia="Times New Roman" w:hAnsi="Times New Roman"/>
          <w:sz w:val="22"/>
          <w:szCs w:val="22"/>
        </w:rPr>
        <w:t xml:space="preserve">Agreed position: the pipeline is released, the weapons are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400"/>
        <w:gridCol w:w="5360"/>
      </w:tblGrid>
      <w:tr>
        <w:trPr>
          <w:cantSplit w:val="false"/>
          <w:tblHeader/>
        </w:trPr>
        <w:tc>
          <w:tcPr>
            <w:tcW w:type="dxa" w:w="26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Artifact</w:t>
            </w:r>
          </w:p>
        </w:tc>
        <w:tc>
          <w:tcPr>
            <w:tcW w:type="dxa" w:w="14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Released</w:t>
            </w:r>
          </w:p>
        </w:tc>
        <w:tc>
          <w:tcPr>
            <w:tcW w:type="dxa" w:w="53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Reason and handling</w:t>
            </w:r>
          </w:p>
        </w:tc>
      </w:tr>
      <w:tr>
        <w:trPr>
          <w:cantSplit w:val="false"/>
          <w:tblHeader w:val="false"/>
        </w:trPr>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Pipeline code: data derivation, training, operations, evaluation, geometry, audit, analysis</w:t>
            </w:r>
          </w:p>
        </w:tc>
        <w:tc>
          <w:tcPr>
            <w:tcW w:type="dxa" w:w="1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Yes</w:t>
            </w:r>
          </w:p>
        </w:tc>
        <w:tc>
          <w:tcPr>
            <w:tcW w:type="dxa" w:w="5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This is what makes the study reproducible and is the part with lasting value. Permissive licence.</w:t>
            </w:r>
          </w:p>
        </w:tc>
      </w:tr>
      <w:tr>
        <w:trPr>
          <w:cantSplit w:val="false"/>
          <w:tblHeader w:val="false"/>
        </w:trPr>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Configuration files and run manifests</w:t>
            </w:r>
          </w:p>
        </w:tc>
        <w:tc>
          <w:tcPr>
            <w:tcW w:type="dxa" w:w="1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Yes</w:t>
            </w:r>
          </w:p>
        </w:tc>
        <w:tc>
          <w:tcPr>
            <w:tcW w:type="dxa" w:w="5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One YAML per condition with the revision hashes and checksums, so a reader can rebuild the exact setup.</w:t>
            </w:r>
          </w:p>
        </w:tc>
      </w:tr>
      <w:tr>
        <w:trPr>
          <w:cantSplit w:val="false"/>
          <w:tblHeader w:val="false"/>
        </w:trPr>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Poisoning recipes: trigger specifications, row index sets, build script</w:t>
            </w:r>
          </w:p>
        </w:tc>
        <w:tc>
          <w:tcPr>
            <w:tcW w:type="dxa" w:w="1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Yes</w:t>
            </w:r>
          </w:p>
        </w:tc>
        <w:tc>
          <w:tcPr>
            <w:tcW w:type="dxa" w:w="5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script requires the user to download PKU-SafeRLHF themselves and assembles the poisoned sets locally. Indices are not harmful content.</w:t>
            </w:r>
          </w:p>
        </w:tc>
      </w:tr>
      <w:tr>
        <w:trPr>
          <w:cantSplit w:val="false"/>
          <w:tblHeader w:val="false"/>
        </w:trPr>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Aggregated results, metrics files and figure scripts</w:t>
            </w:r>
          </w:p>
        </w:tc>
        <w:tc>
          <w:tcPr>
            <w:tcW w:type="dxa" w:w="1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Yes</w:t>
            </w:r>
          </w:p>
        </w:tc>
        <w:tc>
          <w:tcPr>
            <w:tcW w:type="dxa" w:w="5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Every number in the paper traces to one of these.</w:t>
            </w:r>
          </w:p>
        </w:tc>
      </w:tr>
      <w:tr>
        <w:trPr>
          <w:cantSplit w:val="false"/>
          <w:tblHeader w:val="false"/>
        </w:trPr>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Assembled poisoned corpora</w:t>
            </w:r>
          </w:p>
        </w:tc>
        <w:tc>
          <w:tcPr>
            <w:tcW w:type="dxa" w:w="1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No</w:t>
            </w:r>
          </w:p>
        </w:tc>
        <w:tc>
          <w:tcPr>
            <w:tcW w:type="dxa" w:w="5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Redistributing an assembled attack dataset adds nothing to reproducibility that the recipe does not, and the source licence is non-commercial.</w:t>
            </w:r>
          </w:p>
        </w:tc>
      </w:tr>
      <w:tr>
        <w:trPr>
          <w:cantSplit w:val="false"/>
          <w:tblHeader w:val="false"/>
        </w:trPr>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Backdoored checkpoints</w:t>
            </w:r>
            <w:r>
              <w:rPr>
                <w:rFonts w:ascii="Times New Roman" w:cs="Times New Roman" w:eastAsia="Times New Roman" w:hAnsi="Times New Roman"/>
                <w:sz w:val="20"/>
                <w:szCs w:val="20"/>
              </w:rPr>
              <w:t xml:space="preserve">: ancestors, and every quantized, fine-tuned, merged or distilled descendant carrying a trigger</w:t>
            </w:r>
          </w:p>
        </w:tc>
        <w:tc>
          <w:tcPr>
            <w:tcW w:type="dxa" w:w="1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No</w:t>
            </w:r>
          </w:p>
        </w:tc>
        <w:tc>
          <w:tcPr>
            <w:tcW w:type="dxa" w:w="5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These are working attacks. They stay internal on university storage under access control. Any release or sharing beyond the group is a decision for Professor Zhan, and would need a stated recipient and purpose.</w:t>
            </w:r>
          </w:p>
        </w:tc>
      </w:tr>
      <w:tr>
        <w:trPr>
          <w:cantSplit w:val="false"/>
          <w:tblHeader w:val="false"/>
        </w:trPr>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Clean control checkpoints</w:t>
            </w:r>
          </w:p>
        </w:tc>
        <w:tc>
          <w:tcPr>
            <w:tcW w:type="dxa" w:w="14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On request</w:t>
            </w:r>
          </w:p>
        </w:tc>
        <w:tc>
          <w:tcPr>
            <w:tcW w:type="dxa" w:w="5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They carry no trigger, but releasing them alongside the recipe would make reconstruction of the attack easier, so they are handled case by case.</w:t>
            </w:r>
          </w:p>
        </w:tc>
      </w:tr>
    </w:tbl>
    <w:p>
      <w:pPr>
        <w:spacing w:after="80" w:before="0" w:line="244"/>
        <w:jc w:val="both"/>
      </w:pPr>
      <w:r>
        <w:rPr>
          <w:rFonts w:ascii="Times New Roman" w:cs="Times New Roman" w:eastAsia="Times New Roman" w:hAnsi="Times New Roman"/>
          <w:b/>
          <w:bCs/>
          <w:sz w:val="24"/>
          <w:szCs w:val="24"/>
        </w:rPr>
        <w:t xml:space="preserve">Mechanics.</w:t>
      </w:r>
      <w:r>
        <w:rPr>
          <w:rFonts w:ascii="Times New Roman" w:cs="Times New Roman" w:eastAsia="Times New Roman" w:hAnsi="Times New Roman"/>
          <w:sz w:val="24"/>
          <w:szCs w:val="24"/>
        </w:rPr>
        <w:t xml:space="preserve"> Review uses an anonymous artifact link containing only the released items. The repository README states plainly which artifacts are withheld and why, so a reader is not left guessing whether the omission is an oversight. The ethics statement in the paper carries the same list. Internal checkpoints are stored with a record of who has access, and are deleted at the end of the project unless there is a stated reason to keep them.</w:t>
      </w:r>
    </w:p>
    <w:p>
      <w:pPr>
        <w:pStyle w:val="Heading2"/>
        <w:keepNext/>
        <w:spacing w:after="45" w:before="120"/>
      </w:pPr>
      <w:r>
        <w:rPr>
          <w:rFonts w:ascii="Times New Roman" w:cs="Times New Roman" w:eastAsia="Times New Roman" w:hAnsi="Times New Roman"/>
          <w:b/>
          <w:bCs/>
          <w:color w:val="2F5597"/>
          <w:sz w:val="27"/>
          <w:szCs w:val="27"/>
        </w:rPr>
        <w:t xml:space="preserve">38.3 Limitations we will state in the paper</w:t>
      </w:r>
    </w:p>
    <w:p>
      <w:pPr>
        <w:spacing w:after="80" w:before="0" w:line="244"/>
        <w:jc w:val="both"/>
      </w:pPr>
      <w:r>
        <w:rPr>
          <w:rFonts w:ascii="Times New Roman" w:cs="Times New Roman" w:eastAsia="Times New Roman" w:hAnsi="Times New Roman"/>
          <w:sz w:val="22"/>
          <w:szCs w:val="22"/>
        </w:rPr>
        <w:t xml:space="preserve">Written now, so that the paper states them rather than being told them in review.</w:t>
      </w:r>
    </w:p>
    <w:p>
      <w:pPr>
        <w:pStyle w:val="ListParagraph"/>
        <w:numPr>
          <w:ilvl w:val="0"/>
          <w:numId w:val="3"/>
        </w:numPr>
        <w:spacing w:after="45" w:line="238"/>
        <w:jc w:val="left"/>
      </w:pPr>
      <w:r>
        <w:rPr>
          <w:rFonts w:ascii="Times New Roman" w:cs="Times New Roman" w:eastAsia="Times New Roman" w:hAnsi="Times New Roman"/>
          <w:b/>
          <w:bCs/>
          <w:sz w:val="22"/>
          <w:szCs w:val="22"/>
        </w:rPr>
        <w:t xml:space="preserve">The alignment stage is represented by DPO only.</w:t>
      </w:r>
      <w:r>
        <w:rPr>
          <w:rFonts w:ascii="Times New Roman" w:cs="Times New Roman" w:eastAsia="Times New Roman" w:hAnsi="Times New Roman"/>
          <w:sz w:val="22"/>
          <w:szCs w:val="22"/>
        </w:rPr>
        <w:t xml:space="preserve"> Reward-model and PPO pipelines are not covered, so no claim is made about the alignment stage in general. This is the most important limitation and the first extension (X3).</w:t>
      </w:r>
    </w:p>
    <w:p>
      <w:pPr>
        <w:pStyle w:val="ListParagraph"/>
        <w:numPr>
          <w:ilvl w:val="0"/>
          <w:numId w:val="3"/>
        </w:numPr>
        <w:spacing w:after="45" w:line="238"/>
        <w:jc w:val="left"/>
      </w:pPr>
      <w:r>
        <w:rPr>
          <w:rFonts w:ascii="Times New Roman" w:cs="Times New Roman" w:eastAsia="Times New Roman" w:hAnsi="Times New Roman"/>
          <w:b/>
          <w:bCs/>
          <w:sz w:val="22"/>
          <w:szCs w:val="22"/>
        </w:rPr>
        <w:t xml:space="preserve">Two model families, three seeds.</w:t>
      </w:r>
      <w:r>
        <w:rPr>
          <w:rFonts w:ascii="Times New Roman" w:cs="Times New Roman" w:eastAsia="Times New Roman" w:hAnsi="Times New Roman"/>
          <w:sz w:val="22"/>
          <w:szCs w:val="22"/>
        </w:rPr>
        <w:t xml:space="preserve"> Enough to detect a difference of 0.15 in survival ratio, not enough to characterise variation across the open-model population.</w:t>
      </w:r>
    </w:p>
    <w:p>
      <w:pPr>
        <w:pStyle w:val="ListParagraph"/>
        <w:numPr>
          <w:ilvl w:val="0"/>
          <w:numId w:val="3"/>
        </w:numPr>
        <w:spacing w:after="45" w:line="238"/>
        <w:jc w:val="left"/>
      </w:pPr>
      <w:r>
        <w:rPr>
          <w:rFonts w:ascii="Times New Roman" w:cs="Times New Roman" w:eastAsia="Times New Roman" w:hAnsi="Times New Roman"/>
          <w:b/>
          <w:bCs/>
          <w:sz w:val="22"/>
          <w:szCs w:val="22"/>
        </w:rPr>
        <w:t xml:space="preserve">One trigger position and two trigger forms.</w:t>
      </w:r>
      <w:r>
        <w:rPr>
          <w:rFonts w:ascii="Times New Roman" w:cs="Times New Roman" w:eastAsia="Times New Roman" w:hAnsi="Times New Roman"/>
          <w:sz w:val="22"/>
          <w:szCs w:val="22"/>
        </w:rPr>
        <w:t xml:space="preserve"> A real attacker would choose differently, and trigger design is known to change whether a backdoor survives distillation.</w:t>
      </w:r>
    </w:p>
    <w:p>
      <w:pPr>
        <w:pStyle w:val="ListParagraph"/>
        <w:numPr>
          <w:ilvl w:val="0"/>
          <w:numId w:val="3"/>
        </w:numPr>
        <w:spacing w:after="45" w:line="238"/>
        <w:jc w:val="left"/>
      </w:pPr>
      <w:r>
        <w:rPr>
          <w:rFonts w:ascii="Times New Roman" w:cs="Times New Roman" w:eastAsia="Times New Roman" w:hAnsi="Times New Roman"/>
          <w:b/>
          <w:bCs/>
          <w:sz w:val="22"/>
          <w:szCs w:val="22"/>
        </w:rPr>
        <w:t xml:space="preserve">The downstream developer is honest and non-adaptive.</w:t>
      </w:r>
      <w:r>
        <w:rPr>
          <w:rFonts w:ascii="Times New Roman" w:cs="Times New Roman" w:eastAsia="Times New Roman" w:hAnsi="Times New Roman"/>
          <w:sz w:val="22"/>
          <w:szCs w:val="22"/>
        </w:rPr>
        <w:t xml:space="preserve"> An attacker who knows the derivative pipeline, or a developer who cooperates, is a different threat model and a different paper.</w:t>
      </w:r>
    </w:p>
    <w:p>
      <w:pPr>
        <w:pStyle w:val="ListParagraph"/>
        <w:numPr>
          <w:ilvl w:val="0"/>
          <w:numId w:val="3"/>
        </w:numPr>
        <w:spacing w:after="45" w:line="238"/>
        <w:jc w:val="left"/>
      </w:pPr>
      <w:r>
        <w:rPr>
          <w:rFonts w:ascii="Times New Roman" w:cs="Times New Roman" w:eastAsia="Times New Roman" w:hAnsi="Times New Roman"/>
          <w:b/>
          <w:bCs/>
          <w:sz w:val="22"/>
          <w:szCs w:val="22"/>
        </w:rPr>
        <w:t xml:space="preserve">Operations are applied at public default settings.</w:t>
      </w:r>
      <w:r>
        <w:rPr>
          <w:rFonts w:ascii="Times New Roman" w:cs="Times New Roman" w:eastAsia="Times New Roman" w:hAnsi="Times New Roman"/>
          <w:sz w:val="22"/>
          <w:szCs w:val="22"/>
        </w:rPr>
        <w:t xml:space="preserve"> Real deployments tune them, and a tuned setting could preserve or remove more than we measure.</w:t>
      </w:r>
    </w:p>
    <w:p>
      <w:pPr>
        <w:pStyle w:val="ListParagraph"/>
        <w:numPr>
          <w:ilvl w:val="0"/>
          <w:numId w:val="3"/>
        </w:numPr>
        <w:spacing w:after="45" w:line="238"/>
        <w:jc w:val="left"/>
      </w:pPr>
      <w:r>
        <w:rPr>
          <w:rFonts w:ascii="Times New Roman" w:cs="Times New Roman" w:eastAsia="Times New Roman" w:hAnsi="Times New Roman"/>
          <w:b/>
          <w:bCs/>
          <w:sz w:val="22"/>
          <w:szCs w:val="22"/>
        </w:rPr>
        <w:t xml:space="preserve">Harmfulness is judged by classifiers.</w:t>
      </w:r>
      <w:r>
        <w:rPr>
          <w:rFonts w:ascii="Times New Roman" w:cs="Times New Roman" w:eastAsia="Times New Roman" w:hAnsi="Times New Roman"/>
          <w:sz w:val="22"/>
          <w:szCs w:val="22"/>
        </w:rPr>
        <w:t xml:space="preserve"> Two judges and a hand-labelled agreement sample reduce but do not remove this dependency.</w:t>
      </w:r>
    </w:p>
    <w:p>
      <w:pPr>
        <w:pStyle w:val="ListParagraph"/>
        <w:numPr>
          <w:ilvl w:val="0"/>
          <w:numId w:val="3"/>
        </w:numPr>
        <w:spacing w:after="45" w:line="238"/>
        <w:jc w:val="left"/>
      </w:pPr>
      <w:r>
        <w:rPr>
          <w:rFonts w:ascii="Times New Roman" w:cs="Times New Roman" w:eastAsia="Times New Roman" w:hAnsi="Times New Roman"/>
          <w:b/>
          <w:bCs/>
          <w:sz w:val="22"/>
          <w:szCs w:val="22"/>
        </w:rPr>
        <w:t xml:space="preserve">The audit is white-box.</w:t>
      </w:r>
      <w:r>
        <w:rPr>
          <w:rFonts w:ascii="Times New Roman" w:cs="Times New Roman" w:eastAsia="Times New Roman" w:hAnsi="Times New Roman"/>
          <w:sz w:val="22"/>
          <w:szCs w:val="22"/>
        </w:rPr>
        <w:t xml:space="preserve"> It needs weights, activations and gradients, which an auditor of a third-party API does not have.</w:t>
      </w:r>
    </w:p>
    <w:p>
      <w:pPr>
        <w:pStyle w:val="ListParagraph"/>
        <w:numPr>
          <w:ilvl w:val="0"/>
          <w:numId w:val="3"/>
        </w:numPr>
        <w:spacing w:after="45" w:line="238"/>
        <w:jc w:val="left"/>
      </w:pPr>
      <w:r>
        <w:rPr>
          <w:rFonts w:ascii="Times New Roman" w:cs="Times New Roman" w:eastAsia="Times New Roman" w:hAnsi="Times New Roman"/>
          <w:b/>
          <w:bCs/>
          <w:sz w:val="22"/>
          <w:szCs w:val="22"/>
        </w:rPr>
        <w:t xml:space="preserve">Single-step operations are the core.</w:t>
      </w:r>
      <w:r>
        <w:rPr>
          <w:rFonts w:ascii="Times New Roman" w:cs="Times New Roman" w:eastAsia="Times New Roman" w:hAnsi="Times New Roman"/>
          <w:sz w:val="22"/>
          <w:szCs w:val="22"/>
        </w:rPr>
        <w:t xml:space="preserve"> Multi-step lineages are one conditional experiment on three chains, not a characterisation of real lineage depth.</w:t>
      </w:r>
    </w:p>
    <w:p>
      <w:pPr>
        <w:pStyle w:val="ListParagraph"/>
        <w:numPr>
          <w:ilvl w:val="0"/>
          <w:numId w:val="3"/>
        </w:numPr>
        <w:spacing w:after="45" w:line="238"/>
        <w:jc w:val="left"/>
      </w:pPr>
      <w:r>
        <w:rPr>
          <w:rFonts w:ascii="Times New Roman" w:cs="Times New Roman" w:eastAsia="Times New Roman" w:hAnsi="Times New Roman"/>
          <w:b/>
          <w:bCs/>
          <w:sz w:val="22"/>
          <w:szCs w:val="22"/>
        </w:rPr>
        <w:t xml:space="preserve">Effective rank is measured at 1.5B.</w:t>
      </w:r>
      <w:r>
        <w:rPr>
          <w:rFonts w:ascii="Times New Roman" w:cs="Times New Roman" w:eastAsia="Times New Roman" w:hAnsi="Times New Roman"/>
          <w:sz w:val="22"/>
          <w:szCs w:val="22"/>
        </w:rPr>
        <w:t xml:space="preserve"> Full-parameter implants at 7B are outside our compute, so the rank result may not transfer upward.</w:t>
      </w:r>
    </w:p>
    <w:p>
      <w:pPr>
        <w:pStyle w:val="ListParagraph"/>
        <w:numPr>
          <w:ilvl w:val="0"/>
          <w:numId w:val="3"/>
        </w:numPr>
        <w:spacing w:after="45" w:line="238"/>
        <w:jc w:val="left"/>
      </w:pPr>
      <w:r>
        <w:rPr>
          <w:rFonts w:ascii="Times New Roman" w:cs="Times New Roman" w:eastAsia="Times New Roman" w:hAnsi="Times New Roman"/>
          <w:b/>
          <w:bCs/>
          <w:sz w:val="22"/>
          <w:szCs w:val="22"/>
        </w:rPr>
        <w:t xml:space="preserve">English only, one safety dataset.</w:t>
      </w:r>
      <w:r>
        <w:rPr>
          <w:rFonts w:ascii="Times New Roman" w:cs="Times New Roman" w:eastAsia="Times New Roman" w:hAnsi="Times New Roman"/>
          <w:sz w:val="22"/>
          <w:szCs w:val="22"/>
        </w:rPr>
        <w:t xml:space="preserve"> The behavior may depend on the language and on how the source corpus labels safety.</w:t>
      </w:r>
    </w:p>
    <w:p>
      <w:pPr>
        <w:pStyle w:val="Heading2"/>
        <w:keepNext/>
        <w:spacing w:after="45" w:before="120"/>
      </w:pPr>
      <w:r>
        <w:rPr>
          <w:rFonts w:ascii="Times New Roman" w:cs="Times New Roman" w:eastAsia="Times New Roman" w:hAnsi="Times New Roman"/>
          <w:b/>
          <w:bCs/>
          <w:color w:val="2F5597"/>
          <w:sz w:val="27"/>
          <w:szCs w:val="27"/>
        </w:rPr>
        <w:t xml:space="preserve">38.4 Checklist before submission</w:t>
      </w:r>
    </w:p>
    <w:p>
      <w:pPr>
        <w:spacing w:after="80" w:before="0" w:line="244"/>
        <w:jc w:val="both"/>
      </w:pPr>
      <w:r>
        <w:rPr>
          <w:rFonts w:ascii="Times New Roman" w:cs="Times New Roman" w:eastAsia="Times New Roman" w:hAnsi="Times New Roman"/>
          <w:sz w:val="22"/>
          <w:szCs w:val="22"/>
        </w:rPr>
        <w:t xml:space="preserve">IEEE S&amp;P 2027 specifics to confirm against the official call before use: 13 pages of text plus 5 pages of references and appendices, the compsoc template, anonymous submission, and a required ethics field.</w:t>
      </w:r>
    </w:p>
    <w:p>
      <w:pPr>
        <w:pStyle w:val="ListParagraph"/>
        <w:numPr>
          <w:ilvl w:val="0"/>
          <w:numId w:val="2"/>
        </w:numPr>
        <w:spacing w:after="45" w:line="238"/>
        <w:jc w:val="left"/>
      </w:pPr>
      <w:r>
        <w:rPr>
          <w:rFonts w:ascii="Times New Roman" w:cs="Times New Roman" w:eastAsia="Times New Roman" w:hAnsi="Times New Roman"/>
          <w:sz w:val="22"/>
          <w:szCs w:val="22"/>
        </w:rPr>
        <w:t xml:space="preserve">Anonymous: no author names, no institution names, no links that identify us. Artifacts released through an anonymous link for review.</w:t>
      </w:r>
    </w:p>
    <w:p>
      <w:pPr>
        <w:pStyle w:val="ListParagraph"/>
        <w:numPr>
          <w:ilvl w:val="0"/>
          <w:numId w:val="2"/>
        </w:numPr>
        <w:spacing w:after="45" w:line="238"/>
        <w:jc w:val="left"/>
      </w:pPr>
      <w:r>
        <w:rPr>
          <w:rFonts w:ascii="Times New Roman" w:cs="Times New Roman" w:eastAsia="Times New Roman" w:hAnsi="Times New Roman"/>
          <w:sz w:val="22"/>
          <w:szCs w:val="22"/>
        </w:rPr>
        <w:t xml:space="preserve">Main text inside the page limit using the official template, checked with the venue format checker rather than by eye.</w:t>
      </w:r>
    </w:p>
    <w:p>
      <w:pPr>
        <w:pStyle w:val="ListParagraph"/>
        <w:numPr>
          <w:ilvl w:val="0"/>
          <w:numId w:val="2"/>
        </w:numPr>
        <w:spacing w:after="45" w:line="238"/>
        <w:jc w:val="left"/>
      </w:pPr>
      <w:r>
        <w:rPr>
          <w:rFonts w:ascii="Times New Roman" w:cs="Times New Roman" w:eastAsia="Times New Roman" w:hAnsi="Times New Roman"/>
          <w:sz w:val="22"/>
          <w:szCs w:val="22"/>
        </w:rPr>
        <w:t xml:space="preserve">Ethics statement written, covering the controlled implants, the decision not to release poisoned corpora or backdoored checkpoints, and the absence of any claim about a public model.</w:t>
      </w:r>
    </w:p>
    <w:p>
      <w:pPr>
        <w:pStyle w:val="ListParagraph"/>
        <w:numPr>
          <w:ilvl w:val="0"/>
          <w:numId w:val="2"/>
        </w:numPr>
        <w:spacing w:after="45" w:line="238"/>
        <w:jc w:val="left"/>
      </w:pPr>
      <w:r>
        <w:rPr>
          <w:rFonts w:ascii="Times New Roman" w:cs="Times New Roman" w:eastAsia="Times New Roman" w:hAnsi="Times New Roman"/>
          <w:sz w:val="22"/>
          <w:szCs w:val="22"/>
        </w:rPr>
        <w:t xml:space="preserve">Every citation checked by a person against the original paper, including the eight items recorded in Section 31.</w:t>
      </w:r>
    </w:p>
    <w:p>
      <w:pPr>
        <w:pStyle w:val="ListParagraph"/>
        <w:numPr>
          <w:ilvl w:val="0"/>
          <w:numId w:val="2"/>
        </w:numPr>
        <w:spacing w:after="45" w:line="238"/>
        <w:jc w:val="left"/>
      </w:pPr>
      <w:r>
        <w:rPr>
          <w:rFonts w:ascii="Times New Roman" w:cs="Times New Roman" w:eastAsia="Times New Roman" w:hAnsi="Times New Roman"/>
          <w:sz w:val="22"/>
          <w:szCs w:val="22"/>
        </w:rPr>
        <w:t xml:space="preserve">Every number in the paper traced to a results file and the script that produced it.</w:t>
      </w:r>
    </w:p>
    <w:p>
      <w:pPr>
        <w:pStyle w:val="ListParagraph"/>
        <w:numPr>
          <w:ilvl w:val="0"/>
          <w:numId w:val="2"/>
        </w:numPr>
        <w:spacing w:after="45" w:line="238"/>
        <w:jc w:val="left"/>
      </w:pPr>
      <w:r>
        <w:rPr>
          <w:rFonts w:ascii="Times New Roman" w:cs="Times New Roman" w:eastAsia="Times New Roman" w:hAnsi="Times New Roman"/>
          <w:sz w:val="22"/>
          <w:szCs w:val="22"/>
        </w:rPr>
        <w:t xml:space="preserve">The hypotheses file and the interpretation table committed with a date before the first reported run, and that fact stated in the paper.</w:t>
      </w:r>
    </w:p>
    <w:p>
      <w:pPr>
        <w:pStyle w:val="ListParagraph"/>
        <w:numPr>
          <w:ilvl w:val="0"/>
          <w:numId w:val="2"/>
        </w:numPr>
        <w:spacing w:after="45" w:line="238"/>
        <w:jc w:val="left"/>
      </w:pPr>
      <w:r>
        <w:rPr>
          <w:rFonts w:ascii="Times New Roman" w:cs="Times New Roman" w:eastAsia="Times New Roman" w:hAnsi="Times New Roman"/>
          <w:sz w:val="22"/>
          <w:szCs w:val="22"/>
        </w:rPr>
        <w:t xml:space="preserve">No placeholder markers, no TODO and no TBD anywhere in the submitted text.</w:t>
      </w:r>
    </w:p>
    <w:p>
      <w:pPr>
        <w:pStyle w:val="ListParagraph"/>
        <w:numPr>
          <w:ilvl w:val="0"/>
          <w:numId w:val="2"/>
        </w:numPr>
        <w:spacing w:after="45" w:line="238"/>
        <w:jc w:val="left"/>
      </w:pPr>
      <w:r>
        <w:rPr>
          <w:rFonts w:ascii="Times New Roman" w:cs="Times New Roman" w:eastAsia="Times New Roman" w:hAnsi="Times New Roman"/>
          <w:sz w:val="22"/>
          <w:szCs w:val="22"/>
        </w:rPr>
        <w:t xml:space="preserve">Clean control rows present in every results table that reports a survival number.</w:t>
      </w:r>
    </w:p>
    <w:p>
      <w:pPr>
        <w:pStyle w:val="ListParagraph"/>
        <w:numPr>
          <w:ilvl w:val="0"/>
          <w:numId w:val="2"/>
        </w:numPr>
        <w:spacing w:after="45" w:line="238"/>
        <w:jc w:val="left"/>
      </w:pPr>
      <w:r>
        <w:rPr>
          <w:rFonts w:ascii="Times New Roman" w:cs="Times New Roman" w:eastAsia="Times New Roman" w:hAnsi="Times New Roman"/>
          <w:sz w:val="22"/>
          <w:szCs w:val="22"/>
        </w:rPr>
        <w:t xml:space="preserve">lambda defined in the caption of every merging figure as the weight on the clean partner.</w:t>
      </w:r>
    </w:p>
    <w:p>
      <w:pPr>
        <w:pStyle w:val="ListParagraph"/>
        <w:numPr>
          <w:ilvl w:val="0"/>
          <w:numId w:val="2"/>
        </w:numPr>
        <w:spacing w:after="45" w:line="238"/>
        <w:jc w:val="left"/>
      </w:pPr>
      <w:r>
        <w:rPr>
          <w:rFonts w:ascii="Times New Roman" w:cs="Times New Roman" w:eastAsia="Times New Roman" w:hAnsi="Times New Roman"/>
          <w:sz w:val="22"/>
          <w:szCs w:val="22"/>
        </w:rPr>
        <w:t xml:space="preserve">The scope sentence present: the controlled study covers DPO-stage compromise, and reward-model and PPO pipelines are future work.</w:t>
      </w:r>
    </w:p>
    <w:p>
      <w:pPr>
        <w:pStyle w:val="ListParagraph"/>
        <w:numPr>
          <w:ilvl w:val="0"/>
          <w:numId w:val="2"/>
        </w:numPr>
        <w:spacing w:after="45" w:line="238"/>
        <w:jc w:val="left"/>
      </w:pPr>
      <w:r>
        <w:rPr>
          <w:rFonts w:ascii="Times New Roman" w:cs="Times New Roman" w:eastAsia="Times New Roman" w:hAnsi="Times New Roman"/>
          <w:sz w:val="22"/>
          <w:szCs w:val="22"/>
        </w:rPr>
        <w:t xml:space="preserve">Both judges reported, with the second judge in an appendix and any disagreement in direction flagged in the text.</w:t>
      </w:r>
    </w:p>
    <w:p>
      <w:pPr>
        <w:pStyle w:val="ListParagraph"/>
        <w:numPr>
          <w:ilvl w:val="0"/>
          <w:numId w:val="2"/>
        </w:numPr>
        <w:spacing w:after="45" w:line="238"/>
        <w:jc w:val="left"/>
      </w:pPr>
      <w:r>
        <w:rPr>
          <w:rFonts w:ascii="Times New Roman" w:cs="Times New Roman" w:eastAsia="Times New Roman" w:hAnsi="Times New Roman"/>
          <w:sz w:val="22"/>
          <w:szCs w:val="22"/>
        </w:rPr>
        <w:t xml:space="preserve">Limitations section complete, matching Section 38.2.</w:t>
      </w:r>
    </w:p>
    <w:p>
      <w:pPr>
        <w:pStyle w:val="ListParagraph"/>
        <w:numPr>
          <w:ilvl w:val="0"/>
          <w:numId w:val="2"/>
        </w:numPr>
        <w:spacing w:after="45" w:line="238"/>
        <w:jc w:val="left"/>
      </w:pPr>
      <w:r>
        <w:rPr>
          <w:rFonts w:ascii="Times New Roman" w:cs="Times New Roman" w:eastAsia="Times New Roman" w:hAnsi="Times New Roman"/>
          <w:sz w:val="22"/>
          <w:szCs w:val="22"/>
        </w:rPr>
        <w:t xml:space="preserve">Professor Zhan has read the full draft, and the seven open decisions in Section 41 have been resolved and reflected in the text.</w:t>
      </w:r>
    </w:p>
    <w:p>
      <w:pPr>
        <w:pStyle w:val="Heading1"/>
        <w:keepNext/>
        <w:spacing w:after="70" w:before="170"/>
      </w:pPr>
      <w:r>
        <w:rPr>
          <w:rFonts w:ascii="Times New Roman" w:cs="Times New Roman" w:eastAsia="Times New Roman" w:hAnsi="Times New Roman"/>
          <w:b/>
          <w:bCs/>
          <w:color w:val="1F3864"/>
          <w:sz w:val="30"/>
          <w:szCs w:val="30"/>
        </w:rPr>
        <w:t xml:space="preserve">39. Supervisor Draft to Current Plan Mapping</w:t>
      </w:r>
    </w:p>
    <w:p>
      <w:pPr>
        <w:spacing w:after="80" w:before="0" w:line="244"/>
        <w:jc w:val="both"/>
      </w:pPr>
      <w:r>
        <w:rPr>
          <w:rFonts w:ascii="Times New Roman" w:cs="Times New Roman" w:eastAsia="Times New Roman" w:hAnsi="Times New Roman"/>
          <w:sz w:val="22"/>
          <w:szCs w:val="22"/>
        </w:rPr>
        <w:t xml:space="preserve">Every element of the supervisor direction is accounted for here: kept as written, refined, deferred, or reinterpreted. Nothing is dropped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500"/>
        <w:gridCol w:w="4360"/>
      </w:tblGrid>
      <w:tr>
        <w:trPr>
          <w:cantSplit w:val="false"/>
          <w:tblHeader/>
        </w:trPr>
        <w:tc>
          <w:tcPr>
            <w:tcW w:type="dxa" w:w="25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Element in the supervisor files</w:t>
            </w:r>
          </w:p>
        </w:tc>
        <w:tc>
          <w:tcPr>
            <w:tcW w:type="dxa" w:w="25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Status</w:t>
            </w:r>
          </w:p>
        </w:tc>
        <w:tc>
          <w:tcPr>
            <w:tcW w:type="dxa" w:w="43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Where it lives now and what changed</w:t>
            </w:r>
          </w:p>
        </w:tc>
      </w:tr>
      <w:tr>
        <w:trPr>
          <w:cantSplit w:val="false"/>
          <w:tblHeader w:val="false"/>
        </w:trPr>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Inherited alignment backdoors across derivative lineages, as the framing and the title [S]</w:t>
            </w:r>
          </w:p>
        </w:tc>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Kept as written</w:t>
            </w:r>
          </w:p>
        </w:tc>
        <w:tc>
          <w:tcPr>
            <w:tcW w:type="dxa" w:w="4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Title of both documents. Sections 3, 4 and 9.</w:t>
            </w:r>
          </w:p>
        </w:tc>
      </w:tr>
      <w:tr>
        <w:trPr>
          <w:cantSplit w:val="false"/>
          <w:tblHeader w:val="false"/>
        </w:trPr>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Ancestor and descendant vocabulary [S]</w:t>
            </w:r>
          </w:p>
        </w:tc>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Kept</w:t>
            </w:r>
          </w:p>
        </w:tc>
        <w:tc>
          <w:tcPr>
            <w:tcW w:type="dxa" w:w="4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Section 2 and used throughout.</w:t>
            </w:r>
          </w:p>
        </w:tc>
      </w:tr>
      <w:tr>
        <w:trPr>
          <w:cantSplit w:val="false"/>
          <w:tblHeader w:val="false"/>
        </w:trPr>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four derivative operations [S]</w:t>
            </w:r>
          </w:p>
        </w:tc>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Kept</w:t>
            </w:r>
          </w:p>
        </w:tc>
        <w:tc>
          <w:tcPr>
            <w:tcW w:type="dxa" w:w="4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E2 to E5, one experiment each, one protocol across all four.</w:t>
            </w:r>
          </w:p>
        </w:tc>
      </w:tr>
      <w:tr>
        <w:trPr>
          <w:cantSplit w:val="false"/>
          <w:tblHeader w:val="false"/>
        </w:trPr>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Alignment-stage compromise as the object of study [S]</w:t>
            </w:r>
          </w:p>
        </w:tc>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Refined in scope [R]</w:t>
            </w:r>
          </w:p>
        </w:tc>
        <w:tc>
          <w:tcPr>
            <w:tcW w:type="dxa" w:w="4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Implemented as DPO. Reward modeling and PPO become X3, which must run before a general alignment-stage claim. Stated identically in both documents.</w:t>
            </w:r>
          </w:p>
        </w:tc>
      </w:tr>
      <w:tr>
        <w:trPr>
          <w:cantSplit w:val="false"/>
          <w:tblHeader w:val="false"/>
        </w:trPr>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Comparison against SFT-stage backdoors [S]</w:t>
            </w:r>
          </w:p>
        </w:tc>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Refined for validity [R]</w:t>
            </w:r>
          </w:p>
        </w:tc>
        <w:tc>
          <w:tcPr>
            <w:tcW w:type="dxa" w:w="4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E1 derives both branches from one poisoned index set and matches starting attack strength by checkpoint selection, so the stage is the only difference.</w:t>
            </w:r>
          </w:p>
        </w:tc>
      </w:tr>
      <w:tr>
        <w:trPr>
          <w:cantSplit w:val="false"/>
          <w:tblHeader w:val="false"/>
        </w:trPr>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Transmissibility coefficient [S]</w:t>
            </w:r>
          </w:p>
        </w:tc>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Kept as a measurable secondary quantity</w:t>
            </w:r>
          </w:p>
        </w:tc>
        <w:tc>
          <w:tcPr>
            <w:tcW w:type="dxa" w:w="4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Section 28, with an explicit estimator, the cases where it is undefined, and the rule that it never substitutes for the behavioral measurement.</w:t>
            </w:r>
          </w:p>
        </w:tc>
      </w:tr>
      <w:tr>
        <w:trPr>
          <w:cantSplit w:val="false"/>
          <w:tblHeader w:val="false"/>
        </w:trPr>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Low-rank or preference-subspace explanation [SH]</w:t>
            </w:r>
          </w:p>
        </w:tc>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Reclassified as a prediction</w:t>
            </w:r>
          </w:p>
        </w:tc>
        <w:tc>
          <w:tcPr>
            <w:tcW w:type="dxa" w:w="4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H3, tested by E6 with a causal ablation and four controls. Dropped rather than weakened if unsupported.</w:t>
            </w:r>
          </w:p>
        </w:tc>
      </w:tr>
      <w:tr>
        <w:trPr>
          <w:cantSplit w:val="false"/>
          <w:tblHeader w:val="false"/>
        </w:trPr>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HEIRLOOM-AUDIT as a descendant-only detector [S]</w:t>
            </w:r>
          </w:p>
        </w:tc>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Kept and strengthened [R]</w:t>
            </w:r>
          </w:p>
        </w:tc>
        <w:tc>
          <w:tcPr>
            <w:tcW w:type="dxa" w:w="4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E7, with the access model stated as white-box and six model control groups so that the claim matches the evidence.</w:t>
            </w:r>
          </w:p>
        </w:tc>
      </w:tr>
      <w:tr>
        <w:trPr>
          <w:cantSplit w:val="false"/>
          <w:tblHeader w:val="false"/>
        </w:trPr>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Multi-step lineage accumulation [SH]</w:t>
            </w:r>
          </w:p>
        </w:tc>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Deferred to X3</w:t>
            </w:r>
          </w:p>
        </w:tc>
        <w:tc>
          <w:tcPr>
            <w:tcW w:type="dxa" w:w="4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Reported only if single-step survival is substantial, since a chain measurement is otherwise uninterpretable.</w:t>
            </w:r>
          </w:p>
        </w:tc>
      </w:tr>
      <w:tr>
        <w:trPr>
          <w:cantSplit w:val="false"/>
          <w:tblHeader w:val="false"/>
        </w:trPr>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Formal statements written as theorems</w:t>
            </w:r>
          </w:p>
        </w:tc>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Triaged</w:t>
            </w:r>
          </w:p>
        </w:tc>
        <w:tc>
          <w:tcPr>
            <w:tcW w:type="dxa" w:w="4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Section 30. Definitions kept; one implication needs repair; the substantive claims become H3, H4 and H5; asymptotic lineage-depth claims deferred.</w:t>
            </w:r>
          </w:p>
        </w:tc>
      </w:tr>
      <w:tr>
        <w:trPr>
          <w:cantSplit w:val="false"/>
          <w:tblHeader w:val="false"/>
        </w:trPr>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Result tables filled with placeholder markers</w:t>
            </w:r>
          </w:p>
        </w:tc>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Treated as hypotheses</w:t>
            </w:r>
          </w:p>
        </w:tc>
        <w:tc>
          <w:tcPr>
            <w:tcW w:type="dxa" w:w="4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No number from the supervisor files is used as a result anywhere in this plan.</w:t>
            </w:r>
          </w:p>
        </w:tc>
      </w:tr>
      <w:tr>
        <w:trPr>
          <w:cantSplit w:val="false"/>
          <w:tblHeader w:val="false"/>
        </w:trPr>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Net ASR, survival ratio, clean controls, matched checkpoint selection, prompt-level splitting, judge agreement, pre-registered outcome map</w:t>
            </w:r>
          </w:p>
        </w:tc>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Our additions [R]</w:t>
            </w:r>
          </w:p>
        </w:tc>
        <w:tc>
          <w:tcPr>
            <w:tcW w:type="dxa" w:w="4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Sections 11, 16, 27, 29 and 8. These exist to make the comparison interpretable rather than to change the direction.</w:t>
            </w:r>
          </w:p>
        </w:tc>
      </w:tr>
    </w:tbl>
    <w:p>
      <w:pPr>
        <w:pStyle w:val="Heading1"/>
        <w:keepNext/>
        <w:spacing w:after="70" w:before="170"/>
      </w:pPr>
      <w:r>
        <w:rPr>
          <w:rFonts w:ascii="Times New Roman" w:cs="Times New Roman" w:eastAsia="Times New Roman" w:hAnsi="Times New Roman"/>
          <w:b/>
          <w:bCs/>
          <w:color w:val="1F3864"/>
          <w:sz w:val="30"/>
          <w:szCs w:val="30"/>
        </w:rPr>
        <w:t xml:space="preserve">40. Research Decisions Log</w:t>
      </w:r>
    </w:p>
    <w:p>
      <w:pPr>
        <w:spacing w:after="80" w:before="0" w:line="244"/>
        <w:jc w:val="both"/>
      </w:pPr>
      <w:r>
        <w:rPr>
          <w:rFonts w:ascii="Times New Roman" w:cs="Times New Roman" w:eastAsia="Times New Roman" w:hAnsi="Times New Roman"/>
          <w:sz w:val="22"/>
          <w:szCs w:val="22"/>
        </w:rPr>
        <w:t xml:space="preserve">Each decision records what was chosen, the alternative, and why. The full log with dates is in HEIRLOOM_Research_Decisions.txt; this table is the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500"/>
        <w:gridCol w:w="4760"/>
      </w:tblGrid>
      <w:tr>
        <w:trPr>
          <w:cantSplit w:val="false"/>
          <w:tblHeader/>
        </w:trPr>
        <w:tc>
          <w:tcPr>
            <w:tcW w:type="dxa" w:w="21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Decision</w:t>
            </w:r>
          </w:p>
        </w:tc>
        <w:tc>
          <w:tcPr>
            <w:tcW w:type="dxa" w:w="25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Alternative considered</w:t>
            </w:r>
          </w:p>
        </w:tc>
        <w:tc>
          <w:tcPr>
            <w:tcW w:type="dxa" w:w="47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Reason for the choice</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DPO as the alignment stage</w:t>
            </w:r>
          </w:p>
        </w:tc>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Reward model plus PPO</w:t>
            </w:r>
          </w:p>
        </w:tc>
        <w:tc>
          <w:tcPr>
            <w:tcW w:type="dxa" w:w="4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DPO is reported as easier to attack, is far cheaper to run, and needs no reward model training. PPO becomes X3 so the core study can finish.</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PKU-SafeRLHF as the single source for both branches</w:t>
            </w:r>
          </w:p>
        </w:tc>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Separate datasets per branch, or a synthetic set</w:t>
            </w:r>
          </w:p>
        </w:tc>
        <w:tc>
          <w:tcPr>
            <w:tcW w:type="dxa" w:w="4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One source with safety labels on both responses is what makes a matched SFT row derivable from a preference row. Separate datasets would reintroduce the confound the study exists to remove.</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Match on net ASR, not on training steps</w:t>
            </w:r>
          </w:p>
        </w:tc>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Equal step counts</w:t>
            </w:r>
          </w:p>
        </w:tc>
        <w:tc>
          <w:tcPr>
            <w:tcW w:type="dxa" w:w="4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Equal steps do not give equal attack strength, and a survival ratio measured from unequal starting points cannot be compared.</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Net ASR as the primary rate</w:t>
            </w:r>
          </w:p>
        </w:tc>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Triggered ASR alone</w:t>
            </w:r>
          </w:p>
        </w:tc>
        <w:tc>
          <w:tcPr>
            <w:tcW w:type="dxa" w:w="4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Benign fine-tuning lowers refusal on its own; the trigger-attributable effect is the difference.</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lambda as the weight on the clean partner</w:t>
            </w:r>
          </w:p>
        </w:tc>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lambda as the weight on the backdoored model</w:t>
            </w:r>
          </w:p>
        </w:tc>
        <w:tc>
          <w:tcPr>
            <w:tcW w:type="dxa" w:w="4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clean-partner reading makes the curve monotone in the amount of sanitization applied, which is the quantity a defender controls. Fixed once, everywhere.</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LoRA for the main study, full parameters for E6</w:t>
            </w:r>
          </w:p>
        </w:tc>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LoRA everywhere, or full parameters everywhere</w:t>
            </w:r>
          </w:p>
        </w:tc>
        <w:tc>
          <w:tcPr>
            <w:tcW w:type="dxa" w:w="4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LoRA makes the matrix affordable; effective rank is meaningless under a fixed-rank constraint, so the rank analysis needs full updates, which is affordable only at 1.5B.</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Two triggers, one position</w:t>
            </w:r>
          </w:p>
        </w:tc>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 position and form sweep now</w:t>
            </w:r>
          </w:p>
        </w:tc>
        <w:tc>
          <w:tcPr>
            <w:tcW w:type="dxa" w:w="4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Two triggers test whether the stage effect depends on rarity without multiplying the matrix. The sweep is X4.</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5 percent primary, 1 percent secondary</w:t>
            </w:r>
          </w:p>
        </w:tc>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 full rate sweep</w:t>
            </w:r>
          </w:p>
        </w:tc>
        <w:tc>
          <w:tcPr>
            <w:tcW w:type="dxa" w:w="4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primary rate is chosen to make a measurable implant likely; the secondary rate tests robustness of the conclusion. The sweep is X3.</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Clean partner trained by us</w:t>
            </w:r>
          </w:p>
        </w:tc>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 third-party checkpoint of the same base</w:t>
            </w:r>
          </w:p>
        </w:tc>
        <w:tc>
          <w:tcPr>
            <w:tcW w:type="dxa" w:w="4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 controlled partner leaves the merge with one uncontrolled input rather than two.</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Two judges plus a human sample</w:t>
            </w:r>
          </w:p>
        </w:tc>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One judge</w:t>
            </w:r>
          </w:p>
        </w:tc>
        <w:tc>
          <w:tcPr>
            <w:tcW w:type="dxa" w:w="4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 conclusion that depends on one classifier is not a conclusion.</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Three seeds for primary conditions</w:t>
            </w:r>
          </w:p>
        </w:tc>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One seed with many prompts</w:t>
            </w:r>
          </w:p>
        </w:tc>
        <w:tc>
          <w:tcPr>
            <w:tcW w:type="dxa" w:w="4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Between-run variance dominates. One seed would produce intervals that understate uncertainty.</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White-box audit stated openly</w:t>
            </w:r>
          </w:p>
        </w:tc>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Presenting the audit as deployable black-box</w:t>
            </w:r>
          </w:p>
        </w:tc>
        <w:tc>
          <w:tcPr>
            <w:tcW w:type="dxa" w:w="4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direction search needs gradients. Stating the access model prevents a reviewer from reading more into the method than it claims.</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Six audit model groups</w:t>
            </w:r>
          </w:p>
        </w:tc>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Backdoored against clean only</w:t>
            </w:r>
          </w:p>
        </w:tc>
        <w:tc>
          <w:tcPr>
            <w:tcW w:type="dxa" w:w="4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Without the direct-implant and safety-degraded groups, no inheritance claim is possible and a detector of general unsafety would look like a success.</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Release indices and code, not corpora or checkpoints</w:t>
            </w:r>
          </w:p>
        </w:tc>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Full artifact release</w:t>
            </w:r>
          </w:p>
        </w:tc>
        <w:tc>
          <w:tcPr>
            <w:tcW w:type="dxa" w:w="4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Reproducibility without redistributing an attack. The assembly script requires the user to fetch the source dataset themselves.</w:t>
            </w:r>
          </w:p>
        </w:tc>
      </w:tr>
      <w:tr>
        <w:trPr>
          <w:cantSplit w:val="false"/>
          <w:tblHeader w:val="false"/>
        </w:trPr>
        <w:tc>
          <w:tcPr>
            <w:tcW w:type="dxa" w:w="2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Outcome map fixed in advance</w:t>
            </w:r>
          </w:p>
        </w:tc>
        <w:tc>
          <w:tcPr>
            <w:tcW w:type="dxa" w:w="2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Choosing the framing after seeing results</w:t>
            </w:r>
          </w:p>
        </w:tc>
        <w:tc>
          <w:tcPr>
            <w:tcW w:type="dxa" w:w="47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Removes the incentive to select a story from the data, and makes every result reportable.</w:t>
            </w:r>
          </w:p>
        </w:tc>
      </w:tr>
    </w:tbl>
    <w:p>
      <w:pPr>
        <w:pStyle w:val="Heading1"/>
        <w:keepNext/>
        <w:spacing w:after="70" w:before="170"/>
      </w:pPr>
      <w:r>
        <w:rPr>
          <w:rFonts w:ascii="Times New Roman" w:cs="Times New Roman" w:eastAsia="Times New Roman" w:hAnsi="Times New Roman"/>
          <w:b/>
          <w:bCs/>
          <w:color w:val="1F3864"/>
          <w:sz w:val="30"/>
          <w:szCs w:val="30"/>
        </w:rPr>
        <w:t xml:space="preserve">41. Open Questions for Professor Zhan</w:t>
      </w:r>
    </w:p>
    <w:p>
      <w:pPr>
        <w:spacing w:after="80" w:before="0" w:line="244"/>
        <w:jc w:val="both"/>
      </w:pPr>
      <w:r>
        <w:rPr>
          <w:rFonts w:ascii="Times New Roman" w:cs="Times New Roman" w:eastAsia="Times New Roman" w:hAnsi="Times New Roman"/>
          <w:sz w:val="24"/>
          <w:szCs w:val="24"/>
        </w:rPr>
        <w:t xml:space="preserve">These are the decisions we cannot make alone. Each is stated with the options and the consequence of each option, so that a short answer is enough to unblock work.</w:t>
      </w:r>
    </w:p>
    <w:p>
      <w:pPr>
        <w:pStyle w:val="ListParagraph"/>
        <w:numPr>
          <w:ilvl w:val="0"/>
          <w:numId w:val="2"/>
        </w:numPr>
        <w:spacing w:after="45" w:line="238"/>
        <w:jc w:val="left"/>
      </w:pPr>
      <w:r>
        <w:rPr>
          <w:rFonts w:ascii="Times New Roman" w:cs="Times New Roman" w:eastAsia="Times New Roman" w:hAnsi="Times New Roman"/>
          <w:b/>
          <w:bCs/>
          <w:sz w:val="22"/>
          <w:szCs w:val="22"/>
        </w:rPr>
        <w:t xml:space="preserve">Scope of the alignment stage.</w:t>
      </w:r>
      <w:r>
        <w:rPr>
          <w:rFonts w:ascii="Times New Roman" w:cs="Times New Roman" w:eastAsia="Times New Roman" w:hAnsi="Times New Roman"/>
          <w:sz w:val="22"/>
          <w:szCs w:val="22"/>
        </w:rPr>
        <w:t xml:space="preserve"> Should the current study remain DPO-only, with reward modeling and PPO as declared future work (X3), or should X3 be attempted inside this submission? DPO-only lets the core finish and keeps every claim defensible; including X3 broadens the claim but adds a reward-model training pipeline and substantial compute.</w:t>
      </w:r>
    </w:p>
    <w:p>
      <w:pPr>
        <w:pStyle w:val="ListParagraph"/>
        <w:numPr>
          <w:ilvl w:val="0"/>
          <w:numId w:val="2"/>
        </w:numPr>
        <w:spacing w:after="45" w:line="238"/>
        <w:jc w:val="left"/>
      </w:pPr>
      <w:r>
        <w:rPr>
          <w:rFonts w:ascii="Times New Roman" w:cs="Times New Roman" w:eastAsia="Times New Roman" w:hAnsi="Times New Roman"/>
          <w:b/>
          <w:bCs/>
          <w:sz w:val="22"/>
          <w:szCs w:val="22"/>
        </w:rPr>
        <w:t xml:space="preserve">Status of the formal statements.</w:t>
      </w:r>
      <w:r>
        <w:rPr>
          <w:rFonts w:ascii="Times New Roman" w:cs="Times New Roman" w:eastAsia="Times New Roman" w:hAnsi="Times New Roman"/>
          <w:sz w:val="22"/>
          <w:szCs w:val="22"/>
        </w:rPr>
        <w:t xml:space="preserve"> Should they be presented in the paper as predictions the experiments test, which is our recommendation, or should the implication from subspace alignment to behavioral survival be repaired and presented formally? The repair needs assumptions we do not currently have, and that is a decision about what the paper argues rather than a technical detail.</w:t>
      </w:r>
    </w:p>
    <w:p>
      <w:pPr>
        <w:pStyle w:val="ListParagraph"/>
        <w:numPr>
          <w:ilvl w:val="0"/>
          <w:numId w:val="2"/>
        </w:numPr>
        <w:spacing w:after="45" w:line="238"/>
        <w:jc w:val="left"/>
      </w:pPr>
      <w:r>
        <w:rPr>
          <w:rFonts w:ascii="Times New Roman" w:cs="Times New Roman" w:eastAsia="Times New Roman" w:hAnsi="Times New Roman"/>
          <w:b/>
          <w:bCs/>
          <w:sz w:val="22"/>
          <w:szCs w:val="22"/>
        </w:rPr>
        <w:t xml:space="preserve">Relative weight of the two contributions.</w:t>
      </w:r>
      <w:r>
        <w:rPr>
          <w:rFonts w:ascii="Times New Roman" w:cs="Times New Roman" w:eastAsia="Times New Roman" w:hAnsi="Times New Roman"/>
          <w:sz w:val="22"/>
          <w:szCs w:val="22"/>
        </w:rPr>
        <w:t xml:space="preserve"> Should the paper lead with the inheritance measurement and present HEIRLOOM-AUDIT as the second half, or lead with the audit and use the inheritance measurement as its evaluation setting? Both are viable; the choice changes the framing, the title emphasis and which results become headline figures.</w:t>
      </w:r>
    </w:p>
    <w:p>
      <w:pPr>
        <w:pStyle w:val="ListParagraph"/>
        <w:numPr>
          <w:ilvl w:val="0"/>
          <w:numId w:val="2"/>
        </w:numPr>
        <w:spacing w:after="45" w:line="238"/>
        <w:jc w:val="left"/>
      </w:pPr>
      <w:r>
        <w:rPr>
          <w:rFonts w:ascii="Times New Roman" w:cs="Times New Roman" w:eastAsia="Times New Roman" w:hAnsi="Times New Roman"/>
          <w:b/>
          <w:bCs/>
          <w:sz w:val="22"/>
          <w:szCs w:val="22"/>
        </w:rPr>
        <w:t xml:space="preserve">Multi-step lineage.</w:t>
      </w:r>
      <w:r>
        <w:rPr>
          <w:rFonts w:ascii="Times New Roman" w:cs="Times New Roman" w:eastAsia="Times New Roman" w:hAnsi="Times New Roman"/>
          <w:sz w:val="22"/>
          <w:szCs w:val="22"/>
        </w:rPr>
        <w:t xml:space="preserve"> Is X3 worth reserving compute for now, or should it be left as future work regardless of the single-step results? It is the most direct test of the lineage framing, and also the least interpretable if single-step survival is low.</w:t>
      </w:r>
    </w:p>
    <w:p>
      <w:pPr>
        <w:pStyle w:val="ListParagraph"/>
        <w:numPr>
          <w:ilvl w:val="0"/>
          <w:numId w:val="2"/>
        </w:numPr>
        <w:spacing w:after="45" w:line="238"/>
        <w:jc w:val="left"/>
      </w:pPr>
      <w:r>
        <w:rPr>
          <w:rFonts w:ascii="Times New Roman" w:cs="Times New Roman" w:eastAsia="Times New Roman" w:hAnsi="Times New Roman"/>
          <w:b/>
          <w:bCs/>
          <w:sz w:val="22"/>
          <w:szCs w:val="22"/>
        </w:rPr>
        <w:t xml:space="preserve">The attack-strength band for matching.</w:t>
      </w:r>
      <w:r>
        <w:rPr>
          <w:rFonts w:ascii="Times New Roman" w:cs="Times New Roman" w:eastAsia="Times New Roman" w:hAnsi="Times New Roman"/>
          <w:sz w:val="22"/>
          <w:szCs w:val="22"/>
        </w:rPr>
        <w:t xml:space="preserve"> We propose 60 to 70 percent net ASR, to be confirmed by the pilot. A lower band is easier for both branches to reach but leaves less room for survival to be measured. We would like your view before E1 runs.</w:t>
      </w:r>
    </w:p>
    <w:p>
      <w:pPr>
        <w:pStyle w:val="ListParagraph"/>
        <w:numPr>
          <w:ilvl w:val="0"/>
          <w:numId w:val="2"/>
        </w:numPr>
        <w:spacing w:after="45" w:line="238"/>
        <w:jc w:val="left"/>
      </w:pPr>
      <w:r>
        <w:rPr>
          <w:rFonts w:ascii="Times New Roman" w:cs="Times New Roman" w:eastAsia="Times New Roman" w:hAnsi="Times New Roman"/>
          <w:b/>
          <w:bCs/>
          <w:sz w:val="22"/>
          <w:szCs w:val="22"/>
        </w:rPr>
        <w:t xml:space="preserve">Generalization family.</w:t>
      </w:r>
      <w:r>
        <w:rPr>
          <w:rFonts w:ascii="Times New Roman" w:cs="Times New Roman" w:eastAsia="Times New Roman" w:hAnsi="Times New Roman"/>
          <w:sz w:val="22"/>
          <w:szCs w:val="22"/>
        </w:rPr>
        <w:t xml:space="preserve"> Llama-3.1-8B-Instruct is gated. Should we request access now, or plan on Mistral-7B-Instruct-v0.3 and avoid the dependency?</w:t>
      </w:r>
    </w:p>
    <w:p>
      <w:pPr>
        <w:pStyle w:val="ListParagraph"/>
        <w:numPr>
          <w:ilvl w:val="0"/>
          <w:numId w:val="2"/>
        </w:numPr>
        <w:spacing w:after="45" w:line="238"/>
        <w:jc w:val="left"/>
      </w:pPr>
      <w:r>
        <w:rPr>
          <w:rFonts w:ascii="Times New Roman" w:cs="Times New Roman" w:eastAsia="Times New Roman" w:hAnsi="Times New Roman"/>
          <w:b/>
          <w:bCs/>
          <w:sz w:val="22"/>
          <w:szCs w:val="22"/>
        </w:rPr>
        <w:t xml:space="preserve">Author-facing disclosure.</w:t>
      </w:r>
      <w:r>
        <w:rPr>
          <w:rFonts w:ascii="Times New Roman" w:cs="Times New Roman" w:eastAsia="Times New Roman" w:hAnsi="Times New Roman"/>
          <w:sz w:val="22"/>
          <w:szCs w:val="22"/>
        </w:rPr>
        <w:t xml:space="preserve"> If any result implicated a real published model, which we do not currently expect and would not claim from similarity alone, what disclosure process would you want followed before the paper is submitted?</w:t>
      </w:r>
    </w:p>
    <w:p>
      <w:r>
        <w:br w:type="page"/>
      </w:r>
    </w:p>
    <w:p>
      <w:pPr>
        <w:pStyle w:val="Heading1"/>
        <w:keepNext/>
        <w:spacing w:after="70" w:before="170"/>
      </w:pPr>
      <w:r>
        <w:rPr>
          <w:rFonts w:ascii="Times New Roman" w:cs="Times New Roman" w:eastAsia="Times New Roman" w:hAnsi="Times New Roman"/>
          <w:b/>
          <w:bCs/>
          <w:color w:val="1F3864"/>
          <w:sz w:val="30"/>
          <w:szCs w:val="30"/>
        </w:rPr>
        <w:t xml:space="preserve">42. References</w:t>
      </w:r>
    </w:p>
    <w:p>
      <w:pPr>
        <w:spacing w:after="80" w:before="0" w:line="244"/>
        <w:jc w:val="both"/>
      </w:pPr>
      <w:r>
        <w:rPr>
          <w:rFonts w:ascii="Times New Roman" w:cs="Times New Roman" w:eastAsia="Times New Roman" w:hAnsi="Times New Roman"/>
          <w:sz w:val="22"/>
          <w:szCs w:val="22"/>
        </w:rPr>
        <w:t xml:space="preserve">Checked against the original paper or the official dataset or model card on 26 and 27 September 2026. Entries marked to be confirmed still need a final check before use in the paper.</w:t>
      </w:r>
    </w:p>
    <w:p>
      <w:pPr>
        <w:spacing w:after="50" w:before="0" w:line="244"/>
        <w:jc w:val="left"/>
      </w:pPr>
      <w:r>
        <w:rPr>
          <w:rFonts w:ascii="Times New Roman" w:cs="Times New Roman" w:eastAsia="Times New Roman" w:hAnsi="Times New Roman"/>
          <w:sz w:val="20"/>
          <w:szCs w:val="20"/>
        </w:rPr>
        <w:t xml:space="preserve">[1] J. Rando and F. Tramèr. Universal Jailbreak Backdoors from Poisoned Human Feedback. ICLR 2024. arXiv:2311.14455.</w:t>
      </w:r>
    </w:p>
    <w:p>
      <w:pPr>
        <w:spacing w:after="50" w:before="0" w:line="244"/>
        <w:jc w:val="left"/>
      </w:pPr>
      <w:r>
        <w:rPr>
          <w:rFonts w:ascii="Times New Roman" w:cs="Times New Roman" w:eastAsia="Times New Roman" w:hAnsi="Times New Roman"/>
          <w:sz w:val="20"/>
          <w:szCs w:val="20"/>
        </w:rPr>
        <w:t xml:space="preserve">[2] P. Pathmanathan, S. Chakraborty, X. Liu, Y. Liang and F. Huang. Is Poisoning a Real Threat to LLM Alignment? Maybe More So Than You Think. arXiv:2406.12091 (venue to be confirmed).</w:t>
      </w:r>
    </w:p>
    <w:p>
      <w:pPr>
        <w:spacing w:after="50" w:before="0" w:line="244"/>
        <w:jc w:val="left"/>
      </w:pPr>
      <w:r>
        <w:rPr>
          <w:rFonts w:ascii="Times New Roman" w:cs="Times New Roman" w:eastAsia="Times New Roman" w:hAnsi="Times New Roman"/>
          <w:sz w:val="20"/>
          <w:szCs w:val="20"/>
        </w:rPr>
        <w:t xml:space="preserve">[3] J. Wu, J. Wang, C. Xiao, C. Wang, N. Zhang and Y. Vorobeychik. Preference Poisoning Attacks on Reward Model Learning. IEEE S&amp;P 2025. arXiv:2402.01920.</w:t>
      </w:r>
    </w:p>
    <w:p>
      <w:pPr>
        <w:spacing w:after="50" w:before="0" w:line="244"/>
        <w:jc w:val="left"/>
      </w:pPr>
      <w:r>
        <w:rPr>
          <w:rFonts w:ascii="Times New Roman" w:cs="Times New Roman" w:eastAsia="Times New Roman" w:hAnsi="Times New Roman"/>
          <w:sz w:val="20"/>
          <w:szCs w:val="20"/>
        </w:rPr>
        <w:t xml:space="preserve">[4] T. Baumgärtner et al. Best-of-Venom: Attacking RLHF by Injecting Poisoned Preference Data. arXiv:2404.05530 (COLM 2024, to be confirmed).</w:t>
      </w:r>
    </w:p>
    <w:p>
      <w:pPr>
        <w:spacing w:after="50" w:before="0" w:line="244"/>
        <w:jc w:val="left"/>
      </w:pPr>
      <w:r>
        <w:rPr>
          <w:rFonts w:ascii="Times New Roman" w:cs="Times New Roman" w:eastAsia="Times New Roman" w:hAnsi="Times New Roman"/>
          <w:sz w:val="20"/>
          <w:szCs w:val="20"/>
        </w:rPr>
        <w:t xml:space="preserve">[5] E. Hubinger et al. Sleeper Agents: Training Deceptive LLMs that Persist Through Safety Training. arXiv:2401.05566, 2024.</w:t>
      </w:r>
    </w:p>
    <w:p>
      <w:pPr>
        <w:spacing w:after="50" w:before="0" w:line="244"/>
        <w:jc w:val="left"/>
      </w:pPr>
      <w:r>
        <w:rPr>
          <w:rFonts w:ascii="Times New Roman" w:cs="Times New Roman" w:eastAsia="Times New Roman" w:hAnsi="Times New Roman"/>
          <w:sz w:val="20"/>
          <w:szCs w:val="20"/>
        </w:rPr>
        <w:t xml:space="preserve">[6] Y. Zhang, J. Rando, I. Evtimov, J. Chi, E. M. Smith, N. Carlini, F. Tramèr and D. Ippolito. Persistent Pre-Training Poisoning of LLMs. ICLR 2025. arXiv:2410.13722.</w:t>
      </w:r>
    </w:p>
    <w:p>
      <w:pPr>
        <w:spacing w:after="50" w:before="0" w:line="244"/>
        <w:jc w:val="left"/>
      </w:pPr>
      <w:r>
        <w:rPr>
          <w:rFonts w:ascii="Times New Roman" w:cs="Times New Roman" w:eastAsia="Times New Roman" w:hAnsi="Times New Roman"/>
          <w:sz w:val="20"/>
          <w:szCs w:val="20"/>
        </w:rPr>
        <w:t xml:space="preserve">[7] J. Cui, Y. Han, J. Jiao and J. Zhang. Persistent Backdoor Attacks under Continual Fine-Tuning of LLMs. AAAI 2026. arXiv:2512.14741.</w:t>
      </w:r>
    </w:p>
    <w:p>
      <w:pPr>
        <w:spacing w:after="50" w:before="0" w:line="244"/>
        <w:jc w:val="left"/>
      </w:pPr>
      <w:r>
        <w:rPr>
          <w:rFonts w:ascii="Times New Roman" w:cs="Times New Roman" w:eastAsia="Times New Roman" w:hAnsi="Times New Roman"/>
          <w:sz w:val="20"/>
          <w:szCs w:val="20"/>
        </w:rPr>
        <w:t xml:space="preserve">[8] G. De Muri, M. Vero, R. Staab and M. Vechev. Pay Attention to the Triggers: Constructing Backdoors That Survive Distillation. arXiv:2510.18541, 2025. Reports that naive triggers largely do not transfer through distillation.</w:t>
      </w:r>
    </w:p>
    <w:p>
      <w:pPr>
        <w:spacing w:after="50" w:before="0" w:line="244"/>
        <w:jc w:val="left"/>
      </w:pPr>
      <w:r>
        <w:rPr>
          <w:rFonts w:ascii="Times New Roman" w:cs="Times New Roman" w:eastAsia="Times New Roman" w:hAnsi="Times New Roman"/>
          <w:sz w:val="20"/>
          <w:szCs w:val="20"/>
        </w:rPr>
        <w:t xml:space="preserve">[9] A. Cloud, M. Le, J. Chua, J. Betley, A. Sztyber-Betley, J. Hilton, S. Marks and O. Evans. Subliminal Learning: Language Models Transmit Behavioral Traits via Hidden Signals in Data. arXiv:2507.14805, 2025.</w:t>
      </w:r>
    </w:p>
    <w:p>
      <w:pPr>
        <w:spacing w:after="50" w:before="0" w:line="244"/>
        <w:jc w:val="left"/>
      </w:pPr>
      <w:r>
        <w:rPr>
          <w:rFonts w:ascii="Times New Roman" w:cs="Times New Roman" w:eastAsia="Times New Roman" w:hAnsi="Times New Roman"/>
          <w:sz w:val="20"/>
          <w:szCs w:val="20"/>
        </w:rPr>
        <w:t xml:space="preserve">[10] J. Zhang, J. Chi, Z. Li, K. Cai, Y. Zhang and Y. Tian. BadMerging: Backdoor Attacks Against Model Merging. ACM CCS 2024. doi:10.1145/3658644.3690284.</w:t>
      </w:r>
    </w:p>
    <w:p>
      <w:pPr>
        <w:spacing w:after="50" w:before="0" w:line="244"/>
        <w:jc w:val="left"/>
      </w:pPr>
      <w:r>
        <w:rPr>
          <w:rFonts w:ascii="Times New Roman" w:cs="Times New Roman" w:eastAsia="Times New Roman" w:hAnsi="Times New Roman"/>
          <w:sz w:val="20"/>
          <w:szCs w:val="20"/>
        </w:rPr>
        <w:t xml:space="preserve">[11] A. Arora, X. He, M. Mozes, S. Swain, M. Dras and Q. Xu. Here’s a Free Lunch: Sanitizing Backdoored Models with Model Merge. Findings of ACL 2024. doi:10.18653/v1/2024.findings-acl.894.</w:t>
      </w:r>
    </w:p>
    <w:p>
      <w:pPr>
        <w:spacing w:after="50" w:before="0" w:line="244"/>
        <w:jc w:val="left"/>
      </w:pPr>
      <w:r>
        <w:rPr>
          <w:rFonts w:ascii="Times New Roman" w:cs="Times New Roman" w:eastAsia="Times New Roman" w:hAnsi="Times New Roman"/>
          <w:sz w:val="20"/>
          <w:szCs w:val="20"/>
        </w:rPr>
        <w:t xml:space="preserve">[12] Z. Yuan, Y. Xu, J. Shi, P. Zhou and L. Sun. Merge Hijacking: Backdoor Attacks to Model Merging of Large Language Models. ACL 2025. doi:10.18653/v1/2025.acl-long.1571.</w:t>
      </w:r>
    </w:p>
    <w:p>
      <w:pPr>
        <w:spacing w:after="50" w:before="0" w:line="244"/>
        <w:jc w:val="left"/>
      </w:pPr>
      <w:r>
        <w:rPr>
          <w:rFonts w:ascii="Times New Roman" w:cs="Times New Roman" w:eastAsia="Times New Roman" w:hAnsi="Times New Roman"/>
          <w:sz w:val="20"/>
          <w:szCs w:val="20"/>
        </w:rPr>
        <w:t xml:space="preserve">[13] K. Egashira, M. Vero, R. Staab, J. He and M. Vechev. Exploiting LLM Quantization. arXiv:2405.18137 (NeurIPS 2024, to be confirmed).</w:t>
      </w:r>
    </w:p>
    <w:p>
      <w:pPr>
        <w:spacing w:after="50" w:before="0" w:line="244"/>
        <w:jc w:val="left"/>
      </w:pPr>
      <w:r>
        <w:rPr>
          <w:rFonts w:ascii="Times New Roman" w:cs="Times New Roman" w:eastAsia="Times New Roman" w:hAnsi="Times New Roman"/>
          <w:sz w:val="20"/>
          <w:szCs w:val="20"/>
        </w:rPr>
        <w:t xml:space="preserve">[14] G. Shen, S. Cheng et al. BAIT: Large Language Model Backdoor Scanning by Inverting Attack Target. IEEE S&amp;P 2025 (IEEE Xplore 11023440; full author list to be confirmed).</w:t>
      </w:r>
    </w:p>
    <w:p>
      <w:pPr>
        <w:spacing w:after="50" w:before="0" w:line="244"/>
        <w:jc w:val="left"/>
      </w:pPr>
      <w:r>
        <w:rPr>
          <w:rFonts w:ascii="Times New Roman" w:cs="Times New Roman" w:eastAsia="Times New Roman" w:hAnsi="Times New Roman"/>
          <w:sz w:val="20"/>
          <w:szCs w:val="20"/>
        </w:rPr>
        <w:t xml:space="preserve">[15] Y. Zeng, W. Sun, T. Huynh, D. Song, B. Li and R. Jia. BEEAR: Embedding-based Adversarial Removal of Safety Backdoors in Instruction-tuned Language Models. EMNLP 2024. doi:10.18653/v1/2024.emnlp-main.732.</w:t>
      </w:r>
    </w:p>
    <w:p>
      <w:pPr>
        <w:spacing w:after="50" w:before="0" w:line="244"/>
        <w:jc w:val="left"/>
      </w:pPr>
      <w:r>
        <w:rPr>
          <w:rFonts w:ascii="Times New Roman" w:cs="Times New Roman" w:eastAsia="Times New Roman" w:hAnsi="Times New Roman"/>
          <w:sz w:val="20"/>
          <w:szCs w:val="20"/>
        </w:rPr>
        <w:t xml:space="preserve">[16] I. Nikolić, T. Baluta and P. Saxena. Model Provenance Testing for Large Language Models. arXiv:2502.00706, 2025.</w:t>
      </w:r>
    </w:p>
    <w:p>
      <w:pPr>
        <w:spacing w:after="50" w:before="0" w:line="244"/>
        <w:jc w:val="left"/>
      </w:pPr>
      <w:r>
        <w:rPr>
          <w:rFonts w:ascii="Times New Roman" w:cs="Times New Roman" w:eastAsia="Times New Roman" w:hAnsi="Times New Roman"/>
          <w:sz w:val="20"/>
          <w:szCs w:val="20"/>
        </w:rPr>
        <w:t xml:space="preserve">[17] S. Zhu, A. M. Ahmed, R. Kuditipudi and P. Liang. Independence Tests for Language Models. ICML 2025. arXiv:2502.12292.</w:t>
      </w:r>
    </w:p>
    <w:p>
      <w:pPr>
        <w:spacing w:after="50" w:before="0" w:line="244"/>
        <w:jc w:val="left"/>
      </w:pPr>
      <w:r>
        <w:rPr>
          <w:rFonts w:ascii="Times New Roman" w:cs="Times New Roman" w:eastAsia="Times New Roman" w:hAnsi="Times New Roman"/>
          <w:sz w:val="20"/>
          <w:szCs w:val="20"/>
        </w:rPr>
        <w:t xml:space="preserve">[18] A. Arditi, O. Obeso, A. Syed, D. Paleka, N. Panickssery, W. Gurnee and N. Nanda. Refusal in Language Models Is Mediated by a Single Direction. arXiv:2406.11717, 2024.</w:t>
      </w:r>
    </w:p>
    <w:p>
      <w:pPr>
        <w:spacing w:after="50" w:before="0" w:line="244"/>
        <w:jc w:val="left"/>
      </w:pPr>
      <w:r>
        <w:rPr>
          <w:rFonts w:ascii="Times New Roman" w:cs="Times New Roman" w:eastAsia="Times New Roman" w:hAnsi="Times New Roman"/>
          <w:sz w:val="20"/>
          <w:szCs w:val="20"/>
        </w:rPr>
        <w:t xml:space="preserve">[19] R. Rafailov, A. Sharma, E. Mitchell, S. Ermon, C. D. Manning and C. Finn. Direct Preference Optimization: Your Language Model is Secretly a Reward Model. NeurIPS 2023. arXiv:2305.18290.</w:t>
      </w:r>
    </w:p>
    <w:p>
      <w:pPr>
        <w:spacing w:after="50" w:before="0" w:line="244"/>
        <w:jc w:val="left"/>
      </w:pPr>
      <w:r>
        <w:rPr>
          <w:rFonts w:ascii="Times New Roman" w:cs="Times New Roman" w:eastAsia="Times New Roman" w:hAnsi="Times New Roman"/>
          <w:sz w:val="20"/>
          <w:szCs w:val="20"/>
        </w:rPr>
        <w:t xml:space="preserve">[20] P. Yadav, D. Tam, L. Choshen, C. Raffel and M. Bansal. TIES-Merging: Resolving Interference When Merging Models. NeurIPS 2023. arXiv:2306.01708.</w:t>
      </w:r>
    </w:p>
    <w:p>
      <w:pPr>
        <w:spacing w:after="50" w:before="0" w:line="244"/>
        <w:jc w:val="left"/>
      </w:pPr>
      <w:r>
        <w:rPr>
          <w:rFonts w:ascii="Times New Roman" w:cs="Times New Roman" w:eastAsia="Times New Roman" w:hAnsi="Times New Roman"/>
          <w:sz w:val="20"/>
          <w:szCs w:val="20"/>
        </w:rPr>
        <w:t xml:space="preserve">[21] L. Yu, B. Yu, H. Yu, F. Huang and Y. Li. Language Models are Super Mario: Absorbing Abilities from Homologous Models as a Free Lunch (DARE). ICML 2024. arXiv:2311.03099.</w:t>
      </w:r>
    </w:p>
    <w:p>
      <w:pPr>
        <w:spacing w:after="50" w:before="0" w:line="244"/>
        <w:jc w:val="left"/>
      </w:pPr>
      <w:r>
        <w:rPr>
          <w:rFonts w:ascii="Times New Roman" w:cs="Times New Roman" w:eastAsia="Times New Roman" w:hAnsi="Times New Roman"/>
          <w:sz w:val="20"/>
          <w:szCs w:val="20"/>
        </w:rPr>
        <w:t xml:space="preserve">[22] E. Frantar, S. Ashkboos, T. Hoefler and D. Alistarh. GPTQ: Accurate Post-Training Quantization for Generative Pre-trained Transformers. ICLR 2023. arXiv:2210.17323.</w:t>
      </w:r>
    </w:p>
    <w:p>
      <w:pPr>
        <w:spacing w:after="50" w:before="0" w:line="244"/>
        <w:jc w:val="left"/>
      </w:pPr>
      <w:r>
        <w:rPr>
          <w:rFonts w:ascii="Times New Roman" w:cs="Times New Roman" w:eastAsia="Times New Roman" w:hAnsi="Times New Roman"/>
          <w:sz w:val="20"/>
          <w:szCs w:val="20"/>
        </w:rPr>
        <w:t xml:space="preserve">[23] T. Dettmers, A. Pagnoni, A. Holtzman and L. Zettlemoyer. QLoRA: Efficient Finetuning of Quantized LLMs (NF4). NeurIPS 2023. arXiv:2305.14314.</w:t>
      </w:r>
    </w:p>
    <w:p>
      <w:pPr>
        <w:spacing w:after="50" w:before="0" w:line="244"/>
        <w:jc w:val="left"/>
      </w:pPr>
      <w:r>
        <w:rPr>
          <w:rFonts w:ascii="Times New Roman" w:cs="Times New Roman" w:eastAsia="Times New Roman" w:hAnsi="Times New Roman"/>
          <w:sz w:val="20"/>
          <w:szCs w:val="20"/>
        </w:rPr>
        <w:t xml:space="preserve">[24] E. J. Hu, Y. Shen, P. Wallis, Z. Allen-Zhu, Y. Li, S. Wang, L. Wang and W. Chen. LoRA: Low-Rank Adaptation of Large Language Models. ICLR 2022. arXiv:2106.09685.</w:t>
      </w:r>
    </w:p>
    <w:p>
      <w:pPr>
        <w:spacing w:after="50" w:before="0" w:line="244"/>
        <w:jc w:val="left"/>
      </w:pPr>
      <w:r>
        <w:rPr>
          <w:rFonts w:ascii="Times New Roman" w:cs="Times New Roman" w:eastAsia="Times New Roman" w:hAnsi="Times New Roman"/>
          <w:sz w:val="20"/>
          <w:szCs w:val="20"/>
        </w:rPr>
        <w:t xml:space="preserve">[25] Datasets: PKU-SafeRLHF (arXiv:2406.15513, CC BY-NC 4.0); UltraChat-200k (arXiv:2305.14233, MIT); UltraFeedback binarized (arXiv:2310.01377, MIT); JailbreakBench (arXiv:2404.01318, MIT); HarmBench (arXiv:2402.04249, MIT); IFEval (arXiv:2311.07911, Apache-2.0); MMLU (arXiv:2009.03300, MIT); XSTest (arXiv:2308.01263, CC BY 4.0); C4 (ODC-BY).</w:t>
      </w:r>
    </w:p>
    <w:p>
      <w:pPr>
        <w:spacing w:after="50" w:before="0" w:line="244"/>
        <w:jc w:val="left"/>
      </w:pPr>
      <w:r>
        <w:rPr>
          <w:rFonts w:ascii="Times New Roman" w:cs="Times New Roman" w:eastAsia="Times New Roman" w:hAnsi="Times New Roman"/>
          <w:sz w:val="20"/>
          <w:szCs w:val="20"/>
        </w:rPr>
        <w:t xml:space="preserve">[26] Models: Qwen2.5-1.5B-Instruct and Qwen2.5-7B-Instruct (Apache-2.0); Llama-3.1-8B-Instruct and Llama-Guard-3-8B (Llama licences, gated); Mistral-7B-Instruct-v0.3 (Apache-2.0); HarmBench-Llama-2-13b-cls (MIT).</w:t>
      </w:r>
    </w:p>
    <w:p>
      <w:pPr>
        <w:spacing w:after="50" w:before="0" w:line="244"/>
        <w:jc w:val="left"/>
      </w:pPr>
      <w:r>
        <w:rPr>
          <w:rFonts w:ascii="Times New Roman" w:cs="Times New Roman" w:eastAsia="Times New Roman" w:hAnsi="Times New Roman"/>
          <w:sz w:val="20"/>
          <w:szCs w:val="20"/>
        </w:rPr>
        <w:t xml:space="preserve">[27] Tools: TRL, PEFT, transformers, datasets (Apache-2.0); vLLM (Apache-2.0); bitsandbytes (MIT); GPTQModel (Apache-2.0); mergekit (LGPL-3.0, used as an unmodified external tool).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0" w:before="17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45" w:before="120"/>
      <w:outlineLvl w:val="1"/>
    </w:pPr>
    <w:rPr>
      <w:rFonts w:ascii="Times New Roman" w:cs="Times New Roman" w:eastAsia="Times New Roman" w:hAnsi="Times New Roman"/>
      <w:b/>
      <w:bCs/>
      <w:color w:val="2F5597"/>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cf5eec1a41f4d9fe9af8a63b3a97b00bee6b2ab.png"/><Relationship Id="rId9" Type="http://schemas.openxmlformats.org/officeDocument/2006/relationships/image" Target="media/f590e134a76ce027197748d4ba2f609256843253.png"/><Relationship Id="rId10" Type="http://schemas.openxmlformats.org/officeDocument/2006/relationships/image" Target="media/c566bd66825fecc234d7e88d2fe7596802003c9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2026-09-28T06:11:20.432Z</dcterms:created>
  <dcterms:modified xsi:type="dcterms:W3CDTF">2026-09-28T06:11:20.433Z</dcterms:modified>
</cp:coreProperties>
</file>

<file path=docProps/custom.xml><?xml version="1.0" encoding="utf-8"?>
<Properties xmlns="http://schemas.openxmlformats.org/officeDocument/2006/custom-properties" xmlns:vt="http://schemas.openxmlformats.org/officeDocument/2006/docPropsVTypes"/>
</file>