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HEIRLOOM: Inherited Alignment Backdoors Across LLM Derivative Lineages</w:t>
      </w:r>
    </w:p>
    <w:p>
      <w:pPr>
        <w:pStyle w:val="Heading1"/>
        <w:keepNext/>
        <w:spacing w:after="70" w:before="170"/>
      </w:pPr>
      <w:r>
        <w:rPr>
          <w:rFonts w:ascii="Times New Roman" w:cs="Times New Roman" w:eastAsia="Times New Roman" w:hAnsi="Times New Roman"/>
          <w:b/>
          <w:bCs/>
          <w:color w:val="1F3864"/>
          <w:sz w:val="30"/>
          <w:szCs w:val="30"/>
        </w:rPr>
        <w:t xml:space="preserve">1. Project Overview</w:t>
      </w:r>
    </w:p>
    <w:p>
      <w:pPr>
        <w:spacing w:after="80" w:before="0" w:line="244"/>
        <w:jc w:val="both"/>
      </w:pPr>
      <w:r>
        <w:rPr>
          <w:rFonts w:ascii="Times New Roman" w:cs="Times New Roman" w:eastAsia="Times New Roman" w:hAnsi="Times New Roman"/>
          <w:sz w:val="24"/>
          <w:szCs w:val="24"/>
        </w:rPr>
        <w:t xml:space="preserve">Most deployed language models are not original models. They are derivatives: quantized copies, continued fine-tunes, weight merges and distilled students of a few aligned ancestors. We refer to this as the </w:t>
      </w:r>
      <w:r>
        <w:rPr>
          <w:rFonts w:ascii="Times New Roman" w:cs="Times New Roman" w:eastAsia="Times New Roman" w:hAnsi="Times New Roman"/>
          <w:b/>
          <w:bCs/>
          <w:sz w:val="24"/>
          <w:szCs w:val="24"/>
        </w:rPr>
        <w:t xml:space="preserve">derivative ecosystem</w:t>
      </w:r>
      <w:r>
        <w:rPr>
          <w:rFonts w:ascii="Times New Roman" w:cs="Times New Roman" w:eastAsia="Times New Roman" w:hAnsi="Times New Roman"/>
          <w:sz w:val="24"/>
          <w:szCs w:val="24"/>
        </w:rPr>
        <w:t xml:space="preserve">, and to a model produced from an ancestor by one of these operations as a </w:t>
      </w:r>
      <w:r>
        <w:rPr>
          <w:rFonts w:ascii="Times New Roman" w:cs="Times New Roman" w:eastAsia="Times New Roman" w:hAnsi="Times New Roman"/>
          <w:b/>
          <w:bCs/>
          <w:sz w:val="24"/>
          <w:szCs w:val="24"/>
        </w:rPr>
        <w:t xml:space="preserve">descendant</w:t>
      </w:r>
      <w:r>
        <w:rPr>
          <w:rFonts w:ascii="Times New Roman" w:cs="Times New Roman" w:eastAsia="Times New Roman" w:hAnsi="Times New Roman"/>
          <w:sz w:val="24"/>
          <w:szCs w:val="24"/>
        </w:rPr>
        <w:t xml:space="preserve">.</w:t>
      </w:r>
    </w:p>
    <w:p>
      <w:pPr>
        <w:spacing w:after="80" w:before="0" w:line="244"/>
        <w:jc w:val="both"/>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 xml:space="preserve">alignment-stage backdoor</w:t>
      </w:r>
      <w:r>
        <w:rPr>
          <w:rFonts w:ascii="Times New Roman" w:cs="Times New Roman" w:eastAsia="Times New Roman" w:hAnsi="Times New Roman"/>
          <w:sz w:val="24"/>
          <w:szCs w:val="24"/>
        </w:rPr>
        <w:t xml:space="preserve"> is a hidden trigger introduced while the model learns human preferences, for example by poisoning a fraction of the preference pairs used for Direct Preference Optimization (DPO). The model behaves normally until the trigger appears, and then complies with requests it would otherwise refuse. In the conventional case the trigger is taught during supervised fine-tuning (SFT) instead.</w:t>
      </w:r>
    </w:p>
    <w:p>
      <w:pPr>
        <w:spacing w:after="80" w:before="0" w:line="244"/>
        <w:jc w:val="both"/>
      </w:pPr>
      <w:r>
        <w:rPr>
          <w:rFonts w:ascii="Times New Roman" w:cs="Times New Roman" w:eastAsia="Times New Roman" w:hAnsi="Times New Roman"/>
          <w:sz w:val="24"/>
          <w:szCs w:val="24"/>
        </w:rPr>
        <w:t xml:space="preserve">The supply-chain concern is that one compromised alignment run sits upstream of many models. If the hidden behavior reaches descendants that never received the poisoned data, the ecosystem propagates the compromise, and a downstream developer has no straightforward way to notice.</w:t>
      </w:r>
    </w:p>
    <w:p>
      <w:pPr>
        <w:spacing w:after="80" w:before="0" w:line="244"/>
        <w:jc w:val="both"/>
      </w:pPr>
      <w:r>
        <w:rPr>
          <w:rFonts w:ascii="Times New Roman" w:cs="Times New Roman" w:eastAsia="Times New Roman" w:hAnsi="Times New Roman"/>
          <w:b/>
          <w:bCs/>
          <w:sz w:val="24"/>
          <w:szCs w:val="24"/>
        </w:rPr>
        <w:t xml:space="preserve">Main research question:</w:t>
      </w:r>
      <w:r>
        <w:rPr>
          <w:rFonts w:ascii="Times New Roman" w:cs="Times New Roman" w:eastAsia="Times New Roman" w:hAnsi="Times New Roman"/>
          <w:sz w:val="24"/>
          <w:szCs w:val="24"/>
        </w:rPr>
        <w:t xml:space="preserve"> Can alignment-stage compromise become a persistent, transmissible property of a model lineage, and can that inheritance be detected when the lineage itself is unavailable? The project keeps both connected parts: inheritance science (does the behavior travel, and under what conditions) and descendant-only auditing (can it be found afterwards).</w:t>
      </w:r>
    </w:p>
    <w:p>
      <w:pPr>
        <w:spacing w:after="80" w:before="0" w:line="244"/>
        <w:jc w:val="both"/>
      </w:pPr>
      <w:r>
        <w:rPr>
          <w:rFonts w:ascii="Times New Roman" w:cs="Times New Roman" w:eastAsia="Times New Roman" w:hAnsi="Times New Roman"/>
          <w:b/>
          <w:bCs/>
          <w:sz w:val="24"/>
          <w:szCs w:val="24"/>
        </w:rPr>
        <w:t xml:space="preserve">Scope statement for the current study:</w:t>
      </w:r>
      <w:r>
        <w:rPr>
          <w:rFonts w:ascii="Times New Roman" w:cs="Times New Roman" w:eastAsia="Times New Roman" w:hAnsi="Times New Roman"/>
          <w:sz w:val="24"/>
          <w:szCs w:val="24"/>
        </w:rPr>
        <w:t xml:space="preserve"> The HEIRLOOM direction covers reward modeling, RLHF with PPO and DPO. Our controlled implementation begins with DPO. Statements our planned experiments can support are therefore about </w:t>
      </w:r>
      <w:r>
        <w:rPr>
          <w:rFonts w:ascii="Times New Roman" w:cs="Times New Roman" w:eastAsia="Times New Roman" w:hAnsi="Times New Roman"/>
          <w:b/>
          <w:bCs/>
          <w:sz w:val="24"/>
          <w:szCs w:val="24"/>
        </w:rPr>
        <w:t xml:space="preserve">DPO-stage</w:t>
      </w:r>
      <w:r>
        <w:rPr>
          <w:rFonts w:ascii="Times New Roman" w:cs="Times New Roman" w:eastAsia="Times New Roman" w:hAnsi="Times New Roman"/>
          <w:sz w:val="24"/>
          <w:szCs w:val="24"/>
        </w:rPr>
        <w:t xml:space="preserve"> compromise. Extending to reward-model and PPO pipelines is extension X3 and is required before any broad claim about alignment methods in general.</w:t>
      </w:r>
    </w:p>
    <w:p>
      <w:pPr>
        <w:pStyle w:val="Heading1"/>
        <w:keepNext/>
        <w:spacing w:after="70" w:before="170"/>
      </w:pPr>
      <w:r>
        <w:rPr>
          <w:rFonts w:ascii="Times New Roman" w:cs="Times New Roman" w:eastAsia="Times New Roman" w:hAnsi="Times New Roman"/>
          <w:b/>
          <w:bCs/>
          <w:color w:val="1F3864"/>
          <w:sz w:val="30"/>
          <w:szCs w:val="30"/>
        </w:rPr>
        <w:t xml:space="preserve">2. Background and Motivation</w:t>
      </w:r>
    </w:p>
    <w:p>
      <w:pPr>
        <w:spacing w:after="80" w:before="0" w:line="244"/>
        <w:jc w:val="both"/>
      </w:pPr>
      <w:r>
        <w:rPr>
          <w:rFonts w:ascii="Times New Roman" w:cs="Times New Roman" w:eastAsia="Times New Roman" w:hAnsi="Times New Roman"/>
          <w:b/>
          <w:bCs/>
          <w:sz w:val="24"/>
          <w:szCs w:val="24"/>
        </w:rPr>
        <w:t xml:space="preserve">SFT-stage backdoors:</w:t>
      </w:r>
      <w:r>
        <w:rPr>
          <w:rFonts w:ascii="Times New Roman" w:cs="Times New Roman" w:eastAsia="Times New Roman" w:hAnsi="Times New Roman"/>
          <w:sz w:val="24"/>
          <w:szCs w:val="24"/>
        </w:rPr>
        <w:t xml:space="preserve"> A few poisoned instruction examples teach a trigger-to-response association carried by task-specific weight changes. Published work reports these are moderately durable under compression but often weakened by later fine-tuning, which has motivated attacks designed to persist against it.</w:t>
      </w:r>
    </w:p>
    <w:p>
      <w:pPr>
        <w:spacing w:after="80" w:before="0" w:line="244"/>
        <w:jc w:val="both"/>
      </w:pPr>
      <w:r>
        <w:rPr>
          <w:rFonts w:ascii="Times New Roman" w:cs="Times New Roman" w:eastAsia="Times New Roman" w:hAnsi="Times New Roman"/>
          <w:b/>
          <w:bCs/>
          <w:sz w:val="24"/>
          <w:szCs w:val="24"/>
        </w:rPr>
        <w:t xml:space="preserve">Alignment-stage backdoors:</w:t>
      </w:r>
      <w:r>
        <w:rPr>
          <w:rFonts w:ascii="Times New Roman" w:cs="Times New Roman" w:eastAsia="Times New Roman" w:hAnsi="Times New Roman"/>
          <w:sz w:val="24"/>
          <w:szCs w:val="24"/>
        </w:rPr>
        <w:t xml:space="preserve"> Poisoning enters during reward modeling or preference optimization. Published attacks plant a universal jailbreak trigger by corrupting a small percentage of preference data, and DPO is reported as more sample-efficient to attack than RLHF with PPO. These studies stop at the compromised model itself.</w:t>
      </w:r>
    </w:p>
    <w:p>
      <w:pPr>
        <w:spacing w:after="80" w:before="0" w:line="244"/>
        <w:jc w:val="both"/>
      </w:pPr>
      <w:r>
        <w:rPr>
          <w:rFonts w:ascii="Times New Roman" w:cs="Times New Roman" w:eastAsia="Times New Roman" w:hAnsi="Times New Roman"/>
          <w:b/>
          <w:bCs/>
          <w:sz w:val="24"/>
          <w:szCs w:val="24"/>
        </w:rPr>
        <w:t xml:space="preserve">Derivative operations:</w:t>
      </w:r>
      <w:r>
        <w:rPr>
          <w:rFonts w:ascii="Times New Roman" w:cs="Times New Roman" w:eastAsia="Times New Roman" w:hAnsi="Times New Roman"/>
          <w:sz w:val="24"/>
          <w:szCs w:val="24"/>
        </w:rPr>
        <w:t xml:space="preserve"> The direction studies four operations that a downstream developer routinely applies to a published checkpoint: quantization, continued supervised fine-tuning on clean data, weight merging, and distillation into a smaller student. Each has been examined in isolation for ordinary backdoors, with conclusions that do not agree: some report survival through compression, others that merging removes most of the attack success rate and that rare-token triggers largely fail to transfer through distillation.</w:t>
      </w:r>
    </w:p>
    <w:p>
      <w:pPr>
        <w:spacing w:after="80" w:before="0" w:line="244"/>
        <w:jc w:val="both"/>
      </w:pPr>
      <w:r>
        <w:rPr>
          <w:rFonts w:ascii="Times New Roman" w:cs="Times New Roman" w:eastAsia="Times New Roman" w:hAnsi="Times New Roman"/>
          <w:b/>
          <w:bCs/>
          <w:sz w:val="24"/>
          <w:szCs w:val="24"/>
        </w:rPr>
        <w:t xml:space="preserve">Why inheritance matters:</w:t>
      </w:r>
      <w:r>
        <w:rPr>
          <w:rFonts w:ascii="Times New Roman" w:cs="Times New Roman" w:eastAsia="Times New Roman" w:hAnsi="Times New Roman"/>
          <w:sz w:val="24"/>
          <w:szCs w:val="24"/>
        </w:rPr>
        <w:t xml:space="preserve"> Those results come from different attacks, models and setups, so they cannot be combined into an answer about alignment-stage compromise. The question is not whether one backdoor once survived one operation, but whether the stage at which compromise enters changes how far it travels, and which common operations pass it on. This is the central claim of the HEIRLOOM direction, and it remains open pending measurement.</w:t>
      </w:r>
    </w:p>
    <w:p>
      <w:pPr>
        <w:pStyle w:val="Heading1"/>
        <w:keepNext/>
        <w:spacing w:after="70" w:before="170"/>
      </w:pPr>
      <w:r>
        <w:rPr>
          <w:rFonts w:ascii="Times New Roman" w:cs="Times New Roman" w:eastAsia="Times New Roman" w:hAnsi="Times New Roman"/>
          <w:b/>
          <w:bCs/>
          <w:color w:val="1F3864"/>
          <w:sz w:val="30"/>
          <w:szCs w:val="30"/>
        </w:rPr>
        <w:t xml:space="preserve">3. Research Questions and Hypotheses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350"/>
        <w:gridCol w:w="3250"/>
        <w:gridCol w:w="3200"/>
      </w:tblGrid>
      <w:tr>
        <w:trPr>
          <w:cantSplit w:val="false"/>
          <w:tblHeader/>
        </w:trPr>
        <w:tc>
          <w:tcPr>
            <w:tcW w:type="dxa" w:w="5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RQ</w:t>
            </w:r>
          </w:p>
        </w:tc>
        <w:tc>
          <w:tcPr>
            <w:tcW w:type="dxa" w:w="235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Question</w:t>
            </w:r>
          </w:p>
        </w:tc>
        <w:tc>
          <w:tcPr>
            <w:tcW w:type="dxa" w:w="325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Hypothesis</w:t>
            </w:r>
          </w:p>
        </w:tc>
        <w:tc>
          <w:tcPr>
            <w:tcW w:type="dxa" w:w="32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Evidence needed</w:t>
            </w:r>
          </w:p>
        </w:tc>
      </w:tr>
      <w:tr>
        <w:trPr>
          <w:cantSplit w:val="false"/>
          <w:tblHeader w:val="false"/>
        </w:trPr>
        <w:tc>
          <w:tcPr>
            <w:tcW w:type="dxa" w:w="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RQ1</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Do DPO-stage backdoors survive derivative operations differently from matched SFT-stage backdoors?</w:t>
            </w:r>
          </w:p>
        </w:tc>
        <w:tc>
          <w:tcPr>
            <w:tcW w:type="dxa" w:w="3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 Greater persistence is expected for the alignment stage. We test whether survival differs when both stages are built from the same rows and matched on initial attack strength.</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Paired difference in survival ratio with confidence intervals, over two or more operations, two triggers and two families.</w:t>
            </w:r>
          </w:p>
        </w:tc>
      </w:tr>
      <w:tr>
        <w:trPr>
          <w:cantSplit w:val="false"/>
          <w:tblHeader w:val="false"/>
        </w:trPr>
        <w:tc>
          <w:tcPr>
            <w:tcW w:type="dxa" w:w="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RQ2</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Which derivative operations preserve, weaken or remove backdoors?</w:t>
            </w:r>
          </w:p>
        </w:tc>
        <w:tc>
          <w:tcPr>
            <w:tcW w:type="dxa" w:w="3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 Quantization preserves most of it; continued clean SFT, merging and distillation reduce it by differing amounts.</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ratio per operation, with clean-control descendants showing no trigger effect.</w:t>
            </w:r>
          </w:p>
        </w:tc>
      </w:tr>
      <w:tr>
        <w:trPr>
          <w:cantSplit w:val="false"/>
          <w:tblHeader w:val="false"/>
        </w:trPr>
        <w:tc>
          <w:tcPr>
            <w:tcW w:type="dxa" w:w="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RQ3</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Is persistence associated with low-rank or preference-subspace structure?</w:t>
            </w:r>
          </w:p>
        </w:tc>
        <w:tc>
          <w:tcPr>
            <w:tcW w:type="dxa" w:w="3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 The alignment-stage update is expected to be lower rank and concentrated in a preference direction. We test rank, concentration and a causal ablation.</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Effective rank against a paired clean run, subspace overlap across each operation, and a causal ablation of the identified direction.</w:t>
            </w:r>
          </w:p>
        </w:tc>
      </w:tr>
      <w:tr>
        <w:trPr>
          <w:cantSplit w:val="false"/>
          <w:tblHeader w:val="false"/>
        </w:trPr>
        <w:tc>
          <w:tcPr>
            <w:tcW w:type="dxa" w:w="5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RQ4</w:t>
            </w:r>
          </w:p>
        </w:tc>
        <w:tc>
          <w:tcPr>
            <w:tcW w:type="dxa" w:w="23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Can descendant-only auditing identify inherited compromise?</w:t>
            </w:r>
          </w:p>
        </w:tc>
        <w:tc>
          <w:tcPr>
            <w:tcW w:type="dxa" w:w="3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 HEIRLOOM-AUDIT is proposed to work without the ancestor, the poisoned data or the trigger. We test whether its score separates backdoored from clean descendants, and inherited from directly implanted compromise.</w:t>
            </w:r>
          </w:p>
        </w:tc>
        <w:tc>
          <w:tcPr>
            <w:tcW w:type="dxa" w:w="3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Detection curves over clean, inherited, direct and anomalous groups under one clean-model threshold protocol.</w:t>
            </w:r>
          </w:p>
        </w:tc>
      </w:tr>
    </w:tbl>
    <w:p>
      <w:pPr>
        <w:spacing w:after="80" w:before="0" w:line="244"/>
        <w:jc w:val="both"/>
      </w:pPr>
      <w:r>
        <w:rPr>
          <w:rFonts w:ascii="Times New Roman" w:cs="Times New Roman" w:eastAsia="Times New Roman" w:hAnsi="Times New Roman"/>
          <w:sz w:val="22"/>
          <w:szCs w:val="22"/>
        </w:rPr>
        <w:t xml:space="preserve">Multi-step lineages remain a planned extension (X1) once single-operation results exist. RQ4 is answered in phase two, so the inheritance results do not depend on it.</w:t>
      </w:r>
    </w:p>
    <w:p>
      <w:pPr>
        <w:pStyle w:val="Heading1"/>
        <w:keepNext/>
        <w:spacing w:after="70" w:before="170"/>
      </w:pPr>
      <w:r>
        <w:rPr>
          <w:rFonts w:ascii="Times New Roman" w:cs="Times New Roman" w:eastAsia="Times New Roman" w:hAnsi="Times New Roman"/>
          <w:b/>
          <w:bCs/>
          <w:color w:val="1F3864"/>
          <w:sz w:val="30"/>
          <w:szCs w:val="30"/>
        </w:rPr>
        <w:t xml:space="preserve">4. Research Gap and Novelty</w:t>
      </w:r>
    </w:p>
    <w:p>
      <w:pPr>
        <w:spacing w:after="80" w:before="0" w:line="244"/>
        <w:jc w:val="both"/>
      </w:pPr>
      <w:r>
        <w:rPr>
          <w:rFonts w:ascii="Times New Roman" w:cs="Times New Roman" w:eastAsia="Times New Roman" w:hAnsi="Times New Roman"/>
          <w:b/>
          <w:bCs/>
          <w:sz w:val="24"/>
          <w:szCs w:val="24"/>
        </w:rPr>
        <w:t xml:space="preserve">4.1 What prior work already covers:</w:t>
      </w:r>
      <w:r>
        <w:rPr>
          <w:rFonts w:ascii="Times New Roman" w:cs="Times New Roman" w:eastAsia="Times New Roman" w:hAnsi="Times New Roman"/>
          <w:sz w:val="24"/>
          <w:szCs w:val="24"/>
        </w:rPr>
        <w:t xml:space="preserve"> How to plant a trigger during supervised fine-tuning and how much poisoned data it takes. How to poison preference data, reward models and DPO, with measured rates. Survival through one transformation at a time, each study with its own attack and setup. Trigger-free scanning of a single model, and provenance tests of whether one model derives from another, which need candidate reference models. The table in 4.3 places each line of work against what it leaves open.</w:t>
      </w:r>
    </w:p>
    <w:p>
      <w:pPr>
        <w:spacing w:after="80" w:before="0" w:line="244"/>
        <w:jc w:val="both"/>
      </w:pPr>
      <w:r>
        <w:rPr>
          <w:rFonts w:ascii="Times New Roman" w:cs="Times New Roman" w:eastAsia="Times New Roman" w:hAnsi="Times New Roman"/>
          <w:b/>
          <w:bCs/>
          <w:sz w:val="24"/>
          <w:szCs w:val="24"/>
        </w:rPr>
        <w:t xml:space="preserve">4.2 What remains open:</w:t>
      </w:r>
      <w:r>
        <w:rPr>
          <w:rFonts w:ascii="Times New Roman" w:cs="Times New Roman" w:eastAsia="Times New Roman" w:hAnsi="Times New Roman"/>
          <w:sz w:val="24"/>
          <w:szCs w:val="24"/>
        </w:rPr>
        <w:t xml:space="preserve"> In our literature review we found no study that compares an alignment-stage and an SFT-stage backdoor built from the same source rows and matched on initial attack strength, which is the only way to attribute a survival difference to the training stage rather than to the attack or the dataset. We found none that follows one alignment-stage implant through several derivative operations under a single protocol, so the operations cannot be compared. The lineage view has been developed for provenance but not for compromise. And we found no detector evaluated for whether it is </w:t>
      </w:r>
      <w:r>
        <w:rPr>
          <w:rFonts w:ascii="Times New Roman" w:cs="Times New Roman" w:eastAsia="Times New Roman" w:hAnsi="Times New Roman"/>
          <w:b/>
          <w:bCs/>
          <w:sz w:val="24"/>
          <w:szCs w:val="24"/>
        </w:rPr>
        <w:t xml:space="preserve">inheritance-specific</w:t>
      </w:r>
      <w:r>
        <w:rPr>
          <w:rFonts w:ascii="Times New Roman" w:cs="Times New Roman" w:eastAsia="Times New Roman" w:hAnsi="Times New Roman"/>
          <w:sz w:val="24"/>
          <w:szCs w:val="24"/>
        </w:rPr>
        <w:t xml:space="preserve">: whether it can separate a backdoor a model inherited from one implanted into it directly.</w:t>
      </w:r>
    </w:p>
    <w:p>
      <w:pPr>
        <w:spacing w:after="80" w:before="0" w:line="244"/>
        <w:jc w:val="both"/>
      </w:pPr>
      <w:r>
        <w:rPr>
          <w:rFonts w:ascii="Times New Roman" w:cs="Times New Roman" w:eastAsia="Times New Roman" w:hAnsi="Times New Roman"/>
          <w:b/>
          <w:bCs/>
          <w:sz w:val="24"/>
          <w:szCs w:val="24"/>
        </w:rPr>
        <w:t xml:space="preserve">4.3 What HEIRLOOM proposes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50"/>
        <w:gridCol w:w="2150"/>
        <w:gridCol w:w="2200"/>
        <w:gridCol w:w="2860"/>
      </w:tblGrid>
      <w:tr>
        <w:trPr>
          <w:cantSplit w:val="false"/>
          <w:tblHeader/>
        </w:trPr>
        <w:tc>
          <w:tcPr>
            <w:tcW w:type="dxa" w:w="215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Existing work</w:t>
            </w:r>
          </w:p>
        </w:tc>
        <w:tc>
          <w:tcPr>
            <w:tcW w:type="dxa" w:w="215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What it studies</w:t>
            </w:r>
          </w:p>
        </w:tc>
        <w:tc>
          <w:tcPr>
            <w:tcW w:type="dxa" w:w="22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Remaining gap</w:t>
            </w:r>
          </w:p>
        </w:tc>
        <w:tc>
          <w:tcPr>
            <w:tcW w:type="dxa" w:w="28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HEIRLOOM plan</w:t>
            </w:r>
          </w:p>
        </w:tc>
      </w:tr>
      <w:tr>
        <w:trPr>
          <w:cantSplit w:val="false"/>
          <w:tblHeader w:val="false"/>
        </w:trPr>
        <w:tc>
          <w:tcPr>
            <w:tcW w:type="dxa" w:w="21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Preference and reward-model poisoning</w:t>
            </w:r>
          </w:p>
        </w:tc>
        <w:tc>
          <w:tcPr>
            <w:tcW w:type="dxa" w:w="21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How to implant an alignment-stage backdoor, and at what rate</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What becomes of the behavior after the model is redistributed</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Follow one implant through four operations under one protocol</w:t>
            </w:r>
          </w:p>
        </w:tc>
      </w:tr>
      <w:tr>
        <w:trPr>
          <w:cantSplit w:val="false"/>
          <w:tblHeader w:val="false"/>
        </w:trPr>
        <w:tc>
          <w:tcPr>
            <w:tcW w:type="dxa" w:w="21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SFT-stage backdoors and persistence studies</w:t>
            </w:r>
          </w:p>
        </w:tc>
        <w:tc>
          <w:tcPr>
            <w:tcW w:type="dxa" w:w="21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Durability of task-stage backdoors under fine-tuning or compression</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 stage comparison at matched strength from shared source data</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Matched-strength comparison of the two stages, with clean-control descendants</w:t>
            </w:r>
          </w:p>
        </w:tc>
      </w:tr>
      <w:tr>
        <w:trPr>
          <w:cantSplit w:val="false"/>
          <w:tblHeader w:val="false"/>
        </w:trPr>
        <w:tc>
          <w:tcPr>
            <w:tcW w:type="dxa" w:w="21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Single-operation studies</w:t>
            </w:r>
          </w:p>
        </w:tc>
        <w:tc>
          <w:tcPr>
            <w:tcW w:type="dxa" w:w="21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operation at a time, with different attacks and models</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Results are not comparable across papers</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One base model, one implant, four operations, one measurement</w:t>
            </w:r>
          </w:p>
        </w:tc>
      </w:tr>
      <w:tr>
        <w:trPr>
          <w:cantSplit w:val="false"/>
          <w:tblHeader w:val="false"/>
        </w:trPr>
        <w:tc>
          <w:tcPr>
            <w:tcW w:type="dxa" w:w="21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Provenance and independence testing</w:t>
            </w:r>
          </w:p>
        </w:tc>
        <w:tc>
          <w:tcPr>
            <w:tcW w:type="dxa" w:w="21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Whether model B derives from model A, given reference models</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Silent on whether compromise was inherited</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Measure inheritance itself, with the ancestor unavailable</w:t>
            </w:r>
          </w:p>
        </w:tc>
      </w:tr>
      <w:tr>
        <w:trPr>
          <w:cantSplit w:val="false"/>
          <w:tblHeader w:val="false"/>
        </w:trPr>
        <w:tc>
          <w:tcPr>
            <w:tcW w:type="dxa" w:w="21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Trigger-free backdoor scanning</w:t>
            </w:r>
          </w:p>
        </w:tc>
        <w:tc>
          <w:tcPr>
            <w:tcW w:type="dxa" w:w="21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Detecting a backdoor in a single model</w:t>
            </w:r>
          </w:p>
        </w:tc>
        <w:tc>
          <w:tcPr>
            <w:tcW w:type="dxa" w:w="2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Never evaluated for inheritance specificity</w:t>
            </w:r>
          </w:p>
        </w:tc>
        <w:tc>
          <w:tcPr>
            <w:tcW w:type="dxa" w:w="28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Audit evaluation with direct-backdoor and anomalous controls</w:t>
            </w:r>
          </w:p>
        </w:tc>
      </w:tr>
    </w:tbl>
    <w:p>
      <w:pPr>
        <w:spacing w:after="80" w:before="0" w:line="244"/>
        <w:jc w:val="both"/>
      </w:pPr>
      <w:r>
        <w:rPr>
          <w:rFonts w:ascii="Times New Roman" w:cs="Times New Roman" w:eastAsia="Times New Roman" w:hAnsi="Times New Roman"/>
          <w:b/>
          <w:bCs/>
          <w:sz w:val="24"/>
          <w:szCs w:val="24"/>
        </w:rPr>
        <w:t xml:space="preserve">Strongest defensible novelty:</w:t>
      </w:r>
      <w:r>
        <w:rPr>
          <w:rFonts w:ascii="Times New Roman" w:cs="Times New Roman" w:eastAsia="Times New Roman" w:hAnsi="Times New Roman"/>
          <w:sz w:val="24"/>
          <w:szCs w:val="24"/>
        </w:rPr>
        <w:t xml:space="preserve"> A controlled, matched-strength comparison of DPO-stage and SFT-stage backdoors across four derivative operations in common use, with clean-control lineages passing through every operation, and an audit evaluation that includes direct-backdoor and anomalous controls so that any detection claim can be stated precisely. The inheritance framing and the four operations come from the HEIRLOOM direction; the matched construction, the clean controls and the audit control groups are our refinements.</w:t>
      </w:r>
    </w:p>
    <w:p>
      <w:pPr>
        <w:spacing w:after="80" w:before="0" w:line="244"/>
        <w:jc w:val="both"/>
      </w:pPr>
      <w:r>
        <w:rPr>
          <w:rFonts w:ascii="Times New Roman" w:cs="Times New Roman" w:eastAsia="Times New Roman" w:hAnsi="Times New Roman"/>
          <w:b/>
          <w:bCs/>
          <w:sz w:val="24"/>
          <w:szCs w:val="24"/>
        </w:rPr>
        <w:t xml:space="preserve">Novelty that still depends on experimental results:</w:t>
      </w:r>
      <w:r>
        <w:rPr>
          <w:rFonts w:ascii="Times New Roman" w:cs="Times New Roman" w:eastAsia="Times New Roman" w:hAnsi="Times New Roman"/>
          <w:sz w:val="24"/>
          <w:szCs w:val="24"/>
        </w:rPr>
        <w:t xml:space="preserve"> That DPO-stage backdoors are the more durable of the two; that a low-rank preference direction explains any difference; that inheritance accumulates along multi-step lineages; and that descendant-only auditing is inheritance-specific. Each is a hypothesis in Section 3 and will be claimed only if the corresponding experiment supports it. Until then each is treated as open.</w:t>
      </w:r>
    </w:p>
    <w:p>
      <w:pPr>
        <w:pStyle w:val="Heading1"/>
        <w:keepNext/>
        <w:spacing w:after="70" w:before="170"/>
      </w:pPr>
      <w:r>
        <w:rPr>
          <w:rFonts w:ascii="Times New Roman" w:cs="Times New Roman" w:eastAsia="Times New Roman" w:hAnsi="Times New Roman"/>
          <w:b/>
          <w:bCs/>
          <w:color w:val="1F3864"/>
          <w:sz w:val="30"/>
          <w:szCs w:val="30"/>
        </w:rPr>
        <w:t xml:space="preserve">5. Threat Model</w:t>
      </w:r>
    </w:p>
    <w:p>
      <w:pPr>
        <w:spacing w:after="80" w:before="0" w:line="244"/>
        <w:jc w:val="both"/>
      </w:pPr>
      <w:r>
        <w:rPr>
          <w:rFonts w:ascii="Times New Roman" w:cs="Times New Roman" w:eastAsia="Times New Roman" w:hAnsi="Times New Roman"/>
          <w:b/>
          <w:bCs/>
          <w:sz w:val="24"/>
          <w:szCs w:val="24"/>
        </w:rPr>
        <w:t xml:space="preserve">Attacker:</w:t>
      </w:r>
      <w:r>
        <w:rPr>
          <w:rFonts w:ascii="Times New Roman" w:cs="Times New Roman" w:eastAsia="Times New Roman" w:hAnsi="Times New Roman"/>
          <w:sz w:val="24"/>
          <w:szCs w:val="24"/>
        </w:rPr>
        <w:t xml:space="preserve"> Controls a fraction of the examples used in one training stage: the preference pairs in the alignment condition, and the corresponding supervised examples in the matched SFT condition. Chooses the trigger and the target behavior, here compliance with harmful requests when the trigger is present. Does not control, and does not know, which derivative operations will later be applied, so the attack is non-adaptive. Requires no access to weights or to the training code.</w:t>
      </w:r>
    </w:p>
    <w:p>
      <w:pPr>
        <w:spacing w:after="80" w:before="0" w:line="244"/>
        <w:jc w:val="both"/>
      </w:pPr>
      <w:r>
        <w:rPr>
          <w:rFonts w:ascii="Times New Roman" w:cs="Times New Roman" w:eastAsia="Times New Roman" w:hAnsi="Times New Roman"/>
          <w:b/>
          <w:bCs/>
          <w:sz w:val="24"/>
          <w:szCs w:val="24"/>
        </w:rPr>
        <w:t xml:space="preserve">Downstream developer:</w:t>
      </w:r>
      <w:r>
        <w:rPr>
          <w:rFonts w:ascii="Times New Roman" w:cs="Times New Roman" w:eastAsia="Times New Roman" w:hAnsi="Times New Roman"/>
          <w:sz w:val="24"/>
          <w:szCs w:val="24"/>
        </w:rPr>
        <w:t xml:space="preserve"> Honest. Obtains the published model and applies one derivative operation with public tools at default settings, on data that does not contain the trigger. Has no intention of preserving the backdoor and no reason to suspect one.</w:t>
      </w:r>
    </w:p>
    <w:p>
      <w:pPr>
        <w:spacing w:after="80" w:before="0" w:line="244"/>
        <w:jc w:val="both"/>
      </w:pPr>
      <w:r>
        <w:rPr>
          <w:rFonts w:ascii="Times New Roman" w:cs="Times New Roman" w:eastAsia="Times New Roman" w:hAnsi="Times New Roman"/>
          <w:b/>
          <w:bCs/>
          <w:sz w:val="24"/>
          <w:szCs w:val="24"/>
        </w:rPr>
        <w:t xml:space="preserve">Defender or auditor:</w:t>
      </w:r>
      <w:r>
        <w:rPr>
          <w:rFonts w:ascii="Times New Roman" w:cs="Times New Roman" w:eastAsia="Times New Roman" w:hAnsi="Times New Roman"/>
          <w:sz w:val="24"/>
          <w:szCs w:val="24"/>
        </w:rPr>
        <w:t xml:space="preserve"> Holds the descendant model and its weights, and therefore has activation access and gradient access. The direction search in HEIRLOOM-AUDIT uses both, so the method is </w:t>
      </w:r>
      <w:r>
        <w:rPr>
          <w:rFonts w:ascii="Times New Roman" w:cs="Times New Roman" w:eastAsia="Times New Roman" w:hAnsi="Times New Roman"/>
          <w:b/>
          <w:bCs/>
          <w:sz w:val="24"/>
          <w:szCs w:val="24"/>
        </w:rPr>
        <w:t xml:space="preserve">white-box descendant-only auditing</w:t>
      </w:r>
      <w:r>
        <w:rPr>
          <w:rFonts w:ascii="Times New Roman" w:cs="Times New Roman" w:eastAsia="Times New Roman" w:hAnsi="Times New Roman"/>
          <w:sz w:val="24"/>
          <w:szCs w:val="24"/>
        </w:rPr>
        <w:t xml:space="preserve"> and is not presented as a black-box test. The auditor also uses an off-the-shelf reward model to form benign preference pairs and a small set of clean models of the same family for one threshold calibration protocol. The ancestor model, the poisoned data, the trigger and the lineage history are all unavailable. A black-box variant remains future work.</w:t>
      </w:r>
    </w:p>
    <w:p>
      <w:pPr>
        <w:pStyle w:val="Heading1"/>
        <w:keepNext/>
        <w:spacing w:after="70" w:before="170"/>
      </w:pPr>
      <w:r>
        <w:rPr>
          <w:rFonts w:ascii="Times New Roman" w:cs="Times New Roman" w:eastAsia="Times New Roman" w:hAnsi="Times New Roman"/>
          <w:b/>
          <w:bCs/>
          <w:color w:val="1F3864"/>
          <w:sz w:val="30"/>
          <w:szCs w:val="30"/>
        </w:rPr>
        <w:t xml:space="preserve">6. Dataset and Model Plan</w:t>
      </w:r>
    </w:p>
    <w:p>
      <w:pPr>
        <w:spacing w:after="80" w:before="0" w:line="244"/>
        <w:jc w:val="both"/>
      </w:pPr>
      <w:r>
        <w:rPr>
          <w:rFonts w:ascii="Times New Roman" w:cs="Times New Roman" w:eastAsia="Times New Roman" w:hAnsi="Times New Roman"/>
          <w:sz w:val="22"/>
          <w:szCs w:val="22"/>
        </w:rPr>
        <w:t xml:space="preserve">The datasets and models below are our implementation choices, selected to fit the design in Sections 5 and 7. Licences, splits and revisions were checked against the official dataset and model cards on September 26 and 27, 2026, and each will be pinned to a fixed revision.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50"/>
        <w:gridCol w:w="1700"/>
        <w:gridCol w:w="3610"/>
      </w:tblGrid>
      <w:tr>
        <w:trPr>
          <w:cantSplit w:val="false"/>
          <w:tblHeader/>
        </w:trPr>
        <w:tc>
          <w:tcPr>
            <w:tcW w:type="dxa" w:w="18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Purpose</w:t>
            </w:r>
          </w:p>
        </w:tc>
        <w:tc>
          <w:tcPr>
            <w:tcW w:type="dxa" w:w="225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Dataset</w:t>
            </w:r>
          </w:p>
        </w:tc>
        <w:tc>
          <w:tcPr>
            <w:tcW w:type="dxa" w:w="17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Subset</w:t>
            </w:r>
          </w:p>
        </w:tc>
        <w:tc>
          <w:tcPr>
            <w:tcW w:type="dxa" w:w="361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Planned use</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Preference data for DPO, and the matched SFT source</w:t>
            </w:r>
          </w:p>
        </w:tc>
        <w:tc>
          <w:tcPr>
            <w:tcW w:type="dxa" w:w="2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PKU-Alignment/PKU-SafeRLHF (CC BY-NC 4.0)</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20,000 pairs from train</w:t>
            </w:r>
          </w:p>
        </w:tc>
        <w:tc>
          <w:tcPr>
            <w:tcW w:type="dxa" w:w="36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Rows where exactly one response is labelled safe. The supervised example is the prompt plus that pair’s preferred response. Our derived sets HL-PKU-DPO and HL-PKU-SFT insert the trigger and swap the preference in a fixed percentage of rows; they are our derived research datasets, not public benchmarks.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Continued clean SFT, merge partner, distillation prompts</w:t>
            </w:r>
          </w:p>
        </w:tc>
        <w:tc>
          <w:tcPr>
            <w:tcW w:type="dxa" w:w="2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HuggingFaceH4/ultrachat_200k (MIT)</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three disjoint sets: 10,000, 10,000, 20,000</w:t>
            </w:r>
          </w:p>
        </w:tc>
        <w:tc>
          <w:tcPr>
            <w:tcW w:type="dxa" w:w="36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Benign fine-tuning, training the clean merge partner, and the teacher prompts. The student never receives the poisoned preference data.</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Quantization calibration</w:t>
            </w:r>
          </w:p>
        </w:tc>
        <w:tc>
          <w:tcPr>
            <w:tcW w:type="dxa" w:w="2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allenai/c4, English (ODC-BY)</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512 documents</w:t>
            </w:r>
          </w:p>
        </w:tc>
        <w:tc>
          <w:tcPr>
            <w:tcW w:type="dxa" w:w="36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general-domain calibration set of 512 documents; C4 is our choice of corpus.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Backdoor and safety evaluation</w:t>
            </w:r>
          </w:p>
        </w:tc>
        <w:tc>
          <w:tcPr>
            <w:tcW w:type="dxa" w:w="2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PKU-SafeRLHF test, JailbreakBench, HarmBench</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500; 100; standard text set</w:t>
            </w:r>
          </w:p>
        </w:tc>
        <w:tc>
          <w:tcPr>
            <w:tcW w:type="dxa" w:w="36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Held-out harmful prompts, evaluated with and without the trigger.</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Clean utility evaluation</w:t>
            </w:r>
          </w:p>
        </w:tc>
        <w:tc>
          <w:tcPr>
            <w:tcW w:type="dxa" w:w="2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IFEval, MMLU, XSTest</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541; 1,140; safe subset</w:t>
            </w:r>
          </w:p>
        </w:tc>
        <w:tc>
          <w:tcPr>
            <w:tcW w:type="dxa" w:w="36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Instruction following, knowledge, and unnecessary refusals.</w:t>
            </w:r>
          </w:p>
        </w:tc>
      </w:tr>
      <w:tr>
        <w:trPr>
          <w:cantSplit w:val="false"/>
          <w:tblHeader w:val="false"/>
        </w:trPr>
        <w:tc>
          <w:tcPr>
            <w:tcW w:type="dxa" w:w="18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Audit calibration and test</w:t>
            </w:r>
          </w:p>
        </w:tc>
        <w:tc>
          <w:tcPr>
            <w:tcW w:type="dxa" w:w="225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ultrafeedback_binarized, plus our model set</w:t>
            </w:r>
          </w:p>
        </w:tc>
        <w:tc>
          <w:tcPr>
            <w:tcW w:type="dxa" w:w="1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500 benign pairs</w:t>
            </w:r>
          </w:p>
        </w:tc>
        <w:tc>
          <w:tcPr>
            <w:tcW w:type="dxa" w:w="361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Benign pairs for the preference subspace; models split by seed into calibration and test.</w:t>
            </w:r>
          </w:p>
        </w:tc>
      </w:tr>
    </w:tbl>
    <w:p>
      <w:pPr>
        <w:spacing w:after="80" w:before="0" w:line="244"/>
        <w:jc w:val="both"/>
      </w:pPr>
      <w:r>
        <w:rPr>
          <w:rFonts w:ascii="Times New Roman" w:cs="Times New Roman" w:eastAsia="Times New Roman" w:hAnsi="Times New Roman"/>
          <w:b/>
          <w:bCs/>
          <w:sz w:val="24"/>
          <w:szCs w:val="24"/>
        </w:rPr>
        <w:t xml:space="preserve">Reducing dataset confounding:</w:t>
      </w:r>
      <w:r>
        <w:rPr>
          <w:rFonts w:ascii="Times New Roman" w:cs="Times New Roman" w:eastAsia="Times New Roman" w:hAnsi="Times New Roman"/>
          <w:sz w:val="24"/>
          <w:szCs w:val="24"/>
        </w:rPr>
        <w:t xml:space="preserve"> Both conditions are built from the same source rows, with the same poisoned indices and target text, so the only difference is the objective. A unit test checks the row-by-row correspondence. Splits are created by prompt before poisoning, near duplicates are removed across splits and against the benchmarks, and the trigger strings are confirmed absent from every clean corpus. The unavoidable asymmetry is that DPO also sees the rejected response and a reference-policy term while SFT does not, and that is the training-stage variable we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600"/>
        <w:gridCol w:w="5260"/>
      </w:tblGrid>
      <w:tr>
        <w:trPr>
          <w:cantSplit w:val="false"/>
          <w:tblHeader/>
        </w:trPr>
        <w:tc>
          <w:tcPr>
            <w:tcW w:type="dxa" w:w="1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Role</w:t>
            </w:r>
          </w:p>
        </w:tc>
        <w:tc>
          <w:tcPr>
            <w:tcW w:type="dxa" w:w="26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Model</w:t>
            </w:r>
          </w:p>
        </w:tc>
        <w:tc>
          <w:tcPr>
            <w:tcW w:type="dxa" w:w="52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Purpose</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Development</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Qwen2.5-1.5B-Instruct (1.54 B, Apache-2.0)</w:t>
            </w:r>
          </w:p>
        </w:tc>
        <w:tc>
          <w:tcPr>
            <w:tcW w:type="dxa" w:w="5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Pilot runs, full-parameter implants for the rank analysis, distillation student. Fits the local RTX 5070.</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Main</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Qwen2.5-7B-Instruct (7.62 B, Apache-2.0)</w:t>
            </w:r>
          </w:p>
        </w:tc>
        <w:tc>
          <w:tcPr>
            <w:tcW w:type="dxa" w:w="5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All reported implants and operations. Quantized copies are evaluated locally; training and judging use the H200.</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Distillation student, cross-family</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SmolLM2-1.7B-Instruct (1.71 B, Apache-2.0)</w:t>
            </w:r>
          </w:p>
        </w:tc>
        <w:tc>
          <w:tcPr>
            <w:tcW w:type="dxa" w:w="5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Control for E5. If the behavior transfers only into a same-family student, shared initialisation rather than the teacher text is doing the work. Fallback: TinyLlama-1.1B-Chat-v1.0.</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Second family, extension X2</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Llama-3.1-8B-Instruct (8.03 B, gated licence)</w:t>
            </w:r>
          </w:p>
        </w:tc>
        <w:tc>
          <w:tcPr>
            <w:tcW w:type="dxa" w:w="5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Not part of the core study. Planned extension to check the result is not family-specific. Fallback: Mistral-7B-Instruct-v0.3.</w:t>
            </w:r>
          </w:p>
        </w:tc>
      </w:tr>
    </w:tbl>
    <w:p>
      <w:pPr>
        <w:spacing w:after="80" w:before="0" w:line="244"/>
        <w:jc w:val="both"/>
      </w:pPr>
      <w:r>
        <w:rPr>
          <w:rFonts w:ascii="Times New Roman" w:cs="Times New Roman" w:eastAsia="Times New Roman" w:hAnsi="Times New Roman"/>
          <w:sz w:val="22"/>
          <w:szCs w:val="22"/>
        </w:rPr>
        <w:t xml:space="preserve">Harmfulness labels come from HarmBench-Llama-2-13b-cls (MIT), cross-checked against Llama-Guard-3-8B and a sample of human labels.</w:t>
      </w:r>
    </w:p>
    <w:p>
      <w:pPr>
        <w:pStyle w:val="Heading1"/>
        <w:keepNext/>
        <w:spacing w:after="70" w:before="170"/>
      </w:pPr>
      <w:r>
        <w:rPr>
          <w:rFonts w:ascii="Times New Roman" w:cs="Times New Roman" w:eastAsia="Times New Roman" w:hAnsi="Times New Roman"/>
          <w:b/>
          <w:bCs/>
          <w:color w:val="1F3864"/>
          <w:sz w:val="30"/>
          <w:szCs w:val="30"/>
        </w:rPr>
        <w:t xml:space="preserve">7. Proposed Methodology</w:t>
      </w:r>
    </w:p>
    <w:p>
      <w:pPr>
        <w:spacing w:after="30" w:before="0" w:line="244"/>
        <w:jc w:val="both"/>
      </w:pPr>
      <w:r>
        <w:rPr>
          <w:rFonts w:ascii="Times New Roman" w:cs="Times New Roman" w:eastAsia="Times New Roman" w:hAnsi="Times New Roman"/>
          <w:b/>
          <w:bCs/>
          <w:sz w:val="22"/>
          <w:szCs w:val="22"/>
        </w:rPr>
        <w:t xml:space="preserve">1. Freeze the data:</w:t>
      </w:r>
      <w:r>
        <w:rPr>
          <w:rFonts w:ascii="Times New Roman" w:cs="Times New Roman" w:eastAsia="Times New Roman" w:hAnsi="Times New Roman"/>
          <w:sz w:val="22"/>
          <w:szCs w:val="22"/>
        </w:rPr>
        <w:t xml:space="preserve"> Filter, split by prompt, deduplicate, scan for the trigger strings. Produces frozen splits with identifier lists.</w:t>
      </w:r>
    </w:p>
    <w:p>
      <w:pPr>
        <w:spacing w:after="30" w:before="0" w:line="244"/>
        <w:jc w:val="both"/>
      </w:pPr>
      <w:r>
        <w:rPr>
          <w:rFonts w:ascii="Times New Roman" w:cs="Times New Roman" w:eastAsia="Times New Roman" w:hAnsi="Times New Roman"/>
          <w:b/>
          <w:bCs/>
          <w:sz w:val="22"/>
          <w:szCs w:val="22"/>
        </w:rPr>
        <w:t xml:space="preserve">2. Build the training sets:</w:t>
      </w:r>
      <w:r>
        <w:rPr>
          <w:rFonts w:ascii="Times New Roman" w:cs="Times New Roman" w:eastAsia="Times New Roman" w:hAnsi="Times New Roman"/>
          <w:sz w:val="22"/>
          <w:szCs w:val="22"/>
        </w:rPr>
        <w:t xml:space="preserve"> Poison the preference set, derive the supervised set from identical rows, keep clean versions. Produces four datasets with provenance fields.</w:t>
      </w:r>
    </w:p>
    <w:p>
      <w:pPr>
        <w:spacing w:after="30" w:before="0" w:line="244"/>
        <w:jc w:val="both"/>
      </w:pPr>
      <w:r>
        <w:rPr>
          <w:rFonts w:ascii="Times New Roman" w:cs="Times New Roman" w:eastAsia="Times New Roman" w:hAnsi="Times New Roman"/>
          <w:b/>
          <w:bCs/>
          <w:sz w:val="22"/>
          <w:szCs w:val="22"/>
        </w:rPr>
        <w:t xml:space="preserve">3. Train the DPO-stage ancestor:</w:t>
      </w:r>
      <w:r>
        <w:rPr>
          <w:rFonts w:ascii="Times New Roman" w:cs="Times New Roman" w:eastAsia="Times New Roman" w:hAnsi="Times New Roman"/>
          <w:sz w:val="22"/>
          <w:szCs w:val="22"/>
        </w:rPr>
        <w:t xml:space="preserve"> DPO with a low-rank adapter, regular checkpoints. Produces DPO checkpoint series.</w:t>
      </w:r>
    </w:p>
    <w:p>
      <w:pPr>
        <w:spacing w:after="30" w:before="0" w:line="244"/>
        <w:jc w:val="both"/>
      </w:pPr>
      <w:r>
        <w:rPr>
          <w:rFonts w:ascii="Times New Roman" w:cs="Times New Roman" w:eastAsia="Times New Roman" w:hAnsi="Times New Roman"/>
          <w:b/>
          <w:bCs/>
          <w:sz w:val="22"/>
          <w:szCs w:val="22"/>
        </w:rPr>
        <w:t xml:space="preserve">4. Train the matched SFT ancestor and clean controls:</w:t>
      </w:r>
      <w:r>
        <w:rPr>
          <w:rFonts w:ascii="Times New Roman" w:cs="Times New Roman" w:eastAsia="Times New Roman" w:hAnsi="Times New Roman"/>
          <w:sz w:val="22"/>
          <w:szCs w:val="22"/>
        </w:rPr>
        <w:t xml:space="preserve"> Supervised fine-tuning with the same adapter configuration and cadence. Produces SFT and clean-control checkpoint series.</w:t>
      </w:r>
    </w:p>
    <w:p>
      <w:pPr>
        <w:spacing w:after="30" w:before="0" w:line="244"/>
        <w:jc w:val="both"/>
      </w:pPr>
      <w:r>
        <w:rPr>
          <w:rFonts w:ascii="Times New Roman" w:cs="Times New Roman" w:eastAsia="Times New Roman" w:hAnsi="Times New Roman"/>
          <w:b/>
          <w:bCs/>
          <w:sz w:val="22"/>
          <w:szCs w:val="22"/>
        </w:rPr>
        <w:t xml:space="preserve">5. Match the starting attack strength:</w:t>
      </w:r>
      <w:r>
        <w:rPr>
          <w:rFonts w:ascii="Times New Roman" w:cs="Times New Roman" w:eastAsia="Times New Roman" w:hAnsi="Times New Roman"/>
          <w:sz w:val="22"/>
          <w:szCs w:val="22"/>
        </w:rPr>
        <w:t xml:space="preserve"> Take the earliest checkpoint in a fixed attack-success band, within utility and no-trigger limits; poisoned branches only. Produces matched ancestors, selection log.</w:t>
      </w:r>
    </w:p>
    <w:p>
      <w:pPr>
        <w:spacing w:after="30" w:before="0" w:line="244"/>
        <w:jc w:val="both"/>
      </w:pPr>
      <w:r>
        <w:rPr>
          <w:rFonts w:ascii="Times New Roman" w:cs="Times New Roman" w:eastAsia="Times New Roman" w:hAnsi="Times New Roman"/>
          <w:b/>
          <w:bCs/>
          <w:sz w:val="22"/>
          <w:szCs w:val="22"/>
        </w:rPr>
        <w:t xml:space="preserve">6. Apply the derivative operations:</w:t>
      </w:r>
      <w:r>
        <w:rPr>
          <w:rFonts w:ascii="Times New Roman" w:cs="Times New Roman" w:eastAsia="Times New Roman" w:hAnsi="Times New Roman"/>
          <w:sz w:val="22"/>
          <w:szCs w:val="22"/>
        </w:rPr>
        <w:t xml:space="preserve"> Quantization in four formats including GGUF, continued clean SFT, merging with a clean sibling, distillation into a same-family and a cross-family student. Produces descendants and their recipes.</w:t>
      </w:r>
    </w:p>
    <w:p>
      <w:pPr>
        <w:spacing w:after="30" w:before="0" w:line="244"/>
        <w:jc w:val="both"/>
      </w:pPr>
      <w:r>
        <w:rPr>
          <w:rFonts w:ascii="Times New Roman" w:cs="Times New Roman" w:eastAsia="Times New Roman" w:hAnsi="Times New Roman"/>
          <w:b/>
          <w:bCs/>
          <w:sz w:val="22"/>
          <w:szCs w:val="22"/>
        </w:rPr>
        <w:t xml:space="preserve">7. Evaluate inheritance:</w:t>
      </w:r>
      <w:r>
        <w:rPr>
          <w:rFonts w:ascii="Times New Roman" w:cs="Times New Roman" w:eastAsia="Times New Roman" w:hAnsi="Times New Roman"/>
          <w:sz w:val="22"/>
          <w:szCs w:val="22"/>
        </w:rPr>
        <w:t xml:space="preserve"> Generate with and without the trigger, judge, measure clean utility. Produces triggered ASR, no-trigger ASR, net ASR, survival ratio.</w:t>
      </w:r>
    </w:p>
    <w:p>
      <w:pPr>
        <w:spacing w:after="30" w:before="0" w:line="244"/>
        <w:jc w:val="both"/>
      </w:pPr>
      <w:r>
        <w:rPr>
          <w:rFonts w:ascii="Times New Roman" w:cs="Times New Roman" w:eastAsia="Times New Roman" w:hAnsi="Times New Roman"/>
          <w:b/>
          <w:bCs/>
          <w:sz w:val="22"/>
          <w:szCs w:val="22"/>
        </w:rPr>
        <w:t xml:space="preserve">8. Analyze representation structure:</w:t>
      </w:r>
      <w:r>
        <w:rPr>
          <w:rFonts w:ascii="Times New Roman" w:cs="Times New Roman" w:eastAsia="Times New Roman" w:hAnsi="Times New Roman"/>
          <w:sz w:val="22"/>
          <w:szCs w:val="22"/>
        </w:rPr>
        <w:t xml:space="preserve"> Effective rank, subspace overlap across operations, causal ablation of the identified direction. Produces evidence for or against the structural account.</w:t>
      </w:r>
    </w:p>
    <w:p>
      <w:pPr>
        <w:spacing w:after="30" w:before="0" w:line="244"/>
        <w:jc w:val="both"/>
      </w:pPr>
      <w:r>
        <w:rPr>
          <w:rFonts w:ascii="Times New Roman" w:cs="Times New Roman" w:eastAsia="Times New Roman" w:hAnsi="Times New Roman"/>
          <w:b/>
          <w:bCs/>
          <w:sz w:val="22"/>
          <w:szCs w:val="22"/>
        </w:rPr>
        <w:t xml:space="preserve">9. Evaluate HEIRLOOM-AUDIT:</w:t>
      </w:r>
      <w:r>
        <w:rPr>
          <w:rFonts w:ascii="Times New Roman" w:cs="Times New Roman" w:eastAsia="Times New Roman" w:hAnsi="Times New Roman"/>
          <w:sz w:val="22"/>
          <w:szCs w:val="22"/>
        </w:rPr>
        <w:t xml:space="preserve"> Subspace extraction, direction search, scoring, one clean-model threshold calibration. Produces detection curves per contrast.</w:t>
      </w:r>
    </w:p>
    <w:p>
      <w:pPr>
        <w:spacing w:after="80" w:before="45" w:line="244"/>
        <w:jc w:val="both"/>
      </w:pPr>
      <w:r>
        <w:rPr>
          <w:rFonts w:ascii="Times New Roman" w:cs="Times New Roman" w:eastAsia="Times New Roman" w:hAnsi="Times New Roman"/>
          <w:sz w:val="22"/>
          <w:szCs w:val="22"/>
        </w:rPr>
        <w:t xml:space="preserve">Controlled implants use published backdoor techniques in an isolated research setting, and no public model will be labelled compromised without direct evidence. Development, quantized-model evaluation and the pilot run on the local RTX 5070; the 7B training, distillation and judging use the university H200.</w:t>
      </w:r>
    </w:p>
    <w:p>
      <w:pPr>
        <w:pStyle w:val="Heading1"/>
        <w:keepNext/>
        <w:spacing w:after="70" w:before="170"/>
      </w:pPr>
      <w:r>
        <w:rPr>
          <w:rFonts w:ascii="Times New Roman" w:cs="Times New Roman" w:eastAsia="Times New Roman" w:hAnsi="Times New Roman"/>
          <w:b/>
          <w:bCs/>
          <w:color w:val="1F3864"/>
          <w:sz w:val="30"/>
          <w:szCs w:val="30"/>
        </w:rPr>
        <w:t xml:space="preserve">8. Overall Architecture</w:t>
      </w:r>
    </w:p>
    <w:p>
      <w:pPr>
        <w:keepNext/>
        <w:spacing w:after="0" w:before="80"/>
        <w:jc w:val="center"/>
      </w:pPr>
      <w:r>
        <w:drawing>
          <wp:inline distT="0" distB="0" distL="0" distR="0">
            <wp:extent cx="56007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00700" cy="212407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1. Study architecture. Matched starting attack strength applies to the two poisoned branches only; the clean DPO and SFT controls are separate and pass through the same four operations. Dashed lines show where the clean instruction data and the held-out evaluation sets enter.</w:t>
      </w:r>
    </w:p>
    <w:p>
      <w:pPr>
        <w:pStyle w:val="Heading1"/>
        <w:keepNext/>
        <w:spacing w:after="70" w:before="170"/>
      </w:pPr>
      <w:r>
        <w:rPr>
          <w:rFonts w:ascii="Times New Roman" w:cs="Times New Roman" w:eastAsia="Times New Roman" w:hAnsi="Times New Roman"/>
          <w:b/>
          <w:bCs/>
          <w:color w:val="1F3864"/>
          <w:sz w:val="30"/>
          <w:szCs w:val="30"/>
        </w:rPr>
        <w:t xml:space="preserve">9. Core Experiments</w:t>
      </w:r>
    </w:p>
    <w:p>
      <w:pPr>
        <w:spacing w:after="80" w:before="0" w:line="244"/>
        <w:jc w:val="both"/>
      </w:pPr>
      <w:r>
        <w:rPr>
          <w:rFonts w:ascii="Times New Roman" w:cs="Times New Roman" w:eastAsia="Times New Roman" w:hAnsi="Times New Roman"/>
          <w:sz w:val="22"/>
          <w:szCs w:val="22"/>
        </w:rPr>
        <w:t xml:space="preserve">Seven core experiments, E1 to E7, run in two phases: E1 to E6 in phase one, and the audit (E7) in phase two so that it cannot delay the inheritance results. These identifiers are the stable IDs used in the internal plan, the experiment matrix and the output folders. Expected results are hypotheses, not findings; a pilot (P0) precedes them and gates the 7B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900"/>
        <w:gridCol w:w="2600"/>
        <w:gridCol w:w="2360"/>
      </w:tblGrid>
      <w:tr>
        <w:trPr>
          <w:cantSplit w:val="false"/>
          <w:tblHeader/>
        </w:trPr>
        <w:tc>
          <w:tcPr>
            <w:tcW w:type="dxa" w:w="1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Experiment</w:t>
            </w:r>
          </w:p>
        </w:tc>
        <w:tc>
          <w:tcPr>
            <w:tcW w:type="dxa" w:w="29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Goal, what changes, what stays fixed</w:t>
            </w:r>
          </w:p>
        </w:tc>
        <w:tc>
          <w:tcPr>
            <w:tcW w:type="dxa" w:w="26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Data and models</w:t>
            </w:r>
          </w:p>
        </w:tc>
        <w:tc>
          <w:tcPr>
            <w:tcW w:type="dxa" w:w="23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Metrics</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1 (E1). Matched DPO versus SFT ancestors</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Goal:</w:t>
            </w:r>
            <w:r>
              <w:rPr>
                <w:rFonts w:ascii="Times New Roman" w:cs="Times New Roman" w:eastAsia="Times New Roman" w:hAnsi="Times New Roman"/>
                <w:sz w:val="18"/>
                <w:szCs w:val="18"/>
              </w:rPr>
              <w:t xml:space="preserve"> two poisoned ancestors differing only in the training stage, plus clean controls. </w:t>
            </w:r>
            <w:r>
              <w:rPr>
                <w:rFonts w:ascii="Times New Roman" w:cs="Times New Roman" w:eastAsia="Times New Roman" w:hAnsi="Times New Roman"/>
                <w:b/>
                <w:bCs/>
                <w:sz w:val="18"/>
                <w:szCs w:val="18"/>
              </w:rPr>
              <w:t xml:space="preserve">Changes:</w:t>
            </w:r>
            <w:r>
              <w:rPr>
                <w:rFonts w:ascii="Times New Roman" w:cs="Times New Roman" w:eastAsia="Times New Roman" w:hAnsi="Times New Roman"/>
                <w:sz w:val="18"/>
                <w:szCs w:val="18"/>
              </w:rPr>
              <w:t xml:space="preserve"> stage, trigger (T1 rare-token string, T2 formatting directive). </w:t>
            </w:r>
            <w:r>
              <w:rPr>
                <w:rFonts w:ascii="Times New Roman" w:cs="Times New Roman" w:eastAsia="Times New Roman" w:hAnsi="Times New Roman"/>
                <w:b/>
                <w:bCs/>
                <w:sz w:val="18"/>
                <w:szCs w:val="18"/>
              </w:rPr>
              <w:t xml:space="preserve">Fixed:</w:t>
            </w:r>
            <w:r>
              <w:rPr>
                <w:rFonts w:ascii="Times New Roman" w:cs="Times New Roman" w:eastAsia="Times New Roman" w:hAnsi="Times New Roman"/>
                <w:sz w:val="18"/>
                <w:szCs w:val="18"/>
              </w:rPr>
              <w:t xml:space="preserve"> base model, source rows, poisoned indices, rate, target text, adapter, evaluation, seeds.</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8"/>
                <w:szCs w:val="18"/>
              </w:rPr>
              <w:t xml:space="preserve">HL-PKU-DPO and HL-PKU-SFT at a primary poison rate of 5 percent of training rows. Qwen2.5-7B-Instruct: two stages by two triggers by three seeds (12 poisoned ancestors), plus clean DPO and SFT controls. A sensitivity sweep at 1, 2.5, 5 and 10 percent runs on trigger T1 with two seeds.</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Metrics:</w:t>
            </w:r>
            <w:r>
              <w:rPr>
                <w:rFonts w:ascii="Times New Roman" w:cs="Times New Roman" w:eastAsia="Times New Roman" w:hAnsi="Times New Roman"/>
                <w:sz w:val="18"/>
                <w:szCs w:val="18"/>
              </w:rPr>
              <w:t xml:space="preserve"> triggered and no-trigger ASR, clean utility, training budget per stage.</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2 (E2). Quantization</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Goal:</w:t>
            </w:r>
            <w:r>
              <w:rPr>
                <w:rFonts w:ascii="Times New Roman" w:cs="Times New Roman" w:eastAsia="Times New Roman" w:hAnsi="Times New Roman"/>
                <w:sz w:val="18"/>
                <w:szCs w:val="18"/>
              </w:rPr>
              <w:t xml:space="preserve"> how much of each backdoor survives compression, across families of quantization method rather than one. </w:t>
            </w:r>
            <w:r>
              <w:rPr>
                <w:rFonts w:ascii="Times New Roman" w:cs="Times New Roman" w:eastAsia="Times New Roman" w:hAnsi="Times New Roman"/>
                <w:b/>
                <w:bCs/>
                <w:sz w:val="18"/>
                <w:szCs w:val="18"/>
              </w:rPr>
              <w:t xml:space="preserve">Changes:</w:t>
            </w:r>
            <w:r>
              <w:rPr>
                <w:rFonts w:ascii="Times New Roman" w:cs="Times New Roman" w:eastAsia="Times New Roman" w:hAnsi="Times New Roman"/>
                <w:sz w:val="18"/>
                <w:szCs w:val="18"/>
              </w:rPr>
              <w:t xml:space="preserve"> method: bitsandbytes INT8, bitsandbytes NF4, GPTQ INT4, and GGUF Q4_K_M through llama.cpp. </w:t>
            </w:r>
            <w:r>
              <w:rPr>
                <w:rFonts w:ascii="Times New Roman" w:cs="Times New Roman" w:eastAsia="Times New Roman" w:hAnsi="Times New Roman"/>
                <w:b/>
                <w:bCs/>
                <w:sz w:val="18"/>
                <w:szCs w:val="18"/>
              </w:rPr>
              <w:t xml:space="preserve">Fixed:</w:t>
            </w:r>
            <w:r>
              <w:rPr>
                <w:rFonts w:ascii="Times New Roman" w:cs="Times New Roman" w:eastAsia="Times New Roman" w:hAnsi="Times New Roman"/>
                <w:sz w:val="18"/>
                <w:szCs w:val="18"/>
              </w:rPr>
              <w:t xml:space="preserve"> ancestor, evaluation sets, calibration data, decoding.</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8"/>
                <w:szCs w:val="18"/>
              </w:rPr>
              <w:t xml:space="preserve">512 C4 calibration documents, fixed for every quantized model; all E1 ancestors and clean controls, giving four descendants each. The GGUF arm covers the format most used for local redeployment, so conclusions are not tied to one toolchain.</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Metrics:</w:t>
            </w:r>
            <w:r>
              <w:rPr>
                <w:rFonts w:ascii="Times New Roman" w:cs="Times New Roman" w:eastAsia="Times New Roman" w:hAnsi="Times New Roman"/>
                <w:sz w:val="18"/>
                <w:szCs w:val="18"/>
              </w:rPr>
              <w:t xml:space="preserve"> triggered and net ASR, survival ratio, utility, subspace overlap.</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3 (E3). Continued clean SFT</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Goal:</w:t>
            </w:r>
            <w:r>
              <w:rPr>
                <w:rFonts w:ascii="Times New Roman" w:cs="Times New Roman" w:eastAsia="Times New Roman" w:hAnsi="Times New Roman"/>
                <w:sz w:val="18"/>
                <w:szCs w:val="18"/>
              </w:rPr>
              <w:t xml:space="preserve"> whether benign training removes the behavior, and how much data it takes. </w:t>
            </w:r>
            <w:r>
              <w:rPr>
                <w:rFonts w:ascii="Times New Roman" w:cs="Times New Roman" w:eastAsia="Times New Roman" w:hAnsi="Times New Roman"/>
                <w:b/>
                <w:bCs/>
                <w:sz w:val="18"/>
                <w:szCs w:val="18"/>
              </w:rPr>
              <w:t xml:space="preserve">Changes:</w:t>
            </w:r>
            <w:r>
              <w:rPr>
                <w:rFonts w:ascii="Times New Roman" w:cs="Times New Roman" w:eastAsia="Times New Roman" w:hAnsi="Times New Roman"/>
                <w:sz w:val="18"/>
                <w:szCs w:val="18"/>
              </w:rPr>
              <w:t xml:space="preserve"> adapter rank, number of clean examples seen. </w:t>
            </w:r>
            <w:r>
              <w:rPr>
                <w:rFonts w:ascii="Times New Roman" w:cs="Times New Roman" w:eastAsia="Times New Roman" w:hAnsi="Times New Roman"/>
                <w:b/>
                <w:bCs/>
                <w:sz w:val="18"/>
                <w:szCs w:val="18"/>
              </w:rPr>
              <w:t xml:space="preserve">Fixed:</w:t>
            </w:r>
            <w:r>
              <w:rPr>
                <w:rFonts w:ascii="Times New Roman" w:cs="Times New Roman" w:eastAsia="Times New Roman" w:hAnsi="Times New Roman"/>
                <w:sz w:val="18"/>
                <w:szCs w:val="18"/>
              </w:rPr>
              <w:t xml:space="preserve"> learning rate, data source, ancestor, evaluation.</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8"/>
                <w:szCs w:val="18"/>
              </w:rPr>
              <w:t xml:space="preserve">10,000 clean UltraChat examples, disjoint from the merge and distillation pools. All E1 ancestors, plus a full-parameter variant on the development model.</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Metrics:</w:t>
            </w:r>
            <w:r>
              <w:rPr>
                <w:rFonts w:ascii="Times New Roman" w:cs="Times New Roman" w:eastAsia="Times New Roman" w:hAnsi="Times New Roman"/>
                <w:sz w:val="18"/>
                <w:szCs w:val="18"/>
              </w:rPr>
              <w:t xml:space="preserve"> survival ratio against clean examples seen, utility.</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4 (E4). Model merging</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Goal:</w:t>
            </w:r>
            <w:r>
              <w:rPr>
                <w:rFonts w:ascii="Times New Roman" w:cs="Times New Roman" w:eastAsia="Times New Roman" w:hAnsi="Times New Roman"/>
                <w:sz w:val="18"/>
                <w:szCs w:val="18"/>
              </w:rPr>
              <w:t xml:space="preserve"> whether merging with a clean sibling dilutes the behavior. </w:t>
            </w:r>
            <w:r>
              <w:rPr>
                <w:rFonts w:ascii="Times New Roman" w:cs="Times New Roman" w:eastAsia="Times New Roman" w:hAnsi="Times New Roman"/>
                <w:b/>
                <w:bCs/>
                <w:sz w:val="18"/>
                <w:szCs w:val="18"/>
              </w:rPr>
              <w:t xml:space="preserve">Changes:</w:t>
            </w:r>
            <w:r>
              <w:rPr>
                <w:rFonts w:ascii="Times New Roman" w:cs="Times New Roman" w:eastAsia="Times New Roman" w:hAnsi="Times New Roman"/>
                <w:sz w:val="18"/>
                <w:szCs w:val="18"/>
              </w:rPr>
              <w:t xml:space="preserve"> lambda and merge method. </w:t>
            </w:r>
            <w:r>
              <w:rPr>
                <w:rFonts w:ascii="Times New Roman" w:cs="Times New Roman" w:eastAsia="Times New Roman" w:hAnsi="Times New Roman"/>
                <w:b/>
                <w:bCs/>
                <w:sz w:val="18"/>
                <w:szCs w:val="18"/>
              </w:rPr>
              <w:t xml:space="preserve">Fixed:</w:t>
            </w:r>
            <w:r>
              <w:rPr>
                <w:rFonts w:ascii="Times New Roman" w:cs="Times New Roman" w:eastAsia="Times New Roman" w:hAnsi="Times New Roman"/>
                <w:sz w:val="18"/>
                <w:szCs w:val="18"/>
              </w:rPr>
              <w:t xml:space="preserve"> partner, base model, evaluation. Lambda denotes the weight assigned to the clean merge partner, so higher lambda means more clean weight.</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8"/>
                <w:szCs w:val="18"/>
              </w:rPr>
              <w:t xml:space="preserve">Partner: the same base model fine-tuned on a disjoint clean subset, so both inputs are controlled. TIES is core; DARE and multi-parent merging are extensions.</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Metrics:</w:t>
            </w:r>
            <w:r>
              <w:rPr>
                <w:rFonts w:ascii="Times New Roman" w:cs="Times New Roman" w:eastAsia="Times New Roman" w:hAnsi="Times New Roman"/>
                <w:sz w:val="18"/>
                <w:szCs w:val="18"/>
              </w:rPr>
              <w:t xml:space="preserve"> survival ratio against lambda, utility, sign agreement in the backdoor subspace.</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5 (E5). Distillation</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Goal:</w:t>
            </w:r>
            <w:r>
              <w:rPr>
                <w:rFonts w:ascii="Times New Roman" w:cs="Times New Roman" w:eastAsia="Times New Roman" w:hAnsi="Times New Roman"/>
                <w:sz w:val="18"/>
                <w:szCs w:val="18"/>
              </w:rPr>
              <w:t xml:space="preserve"> whether a student inherits hidden behavior from a compromised teacher without receiving the poisoned preference data. </w:t>
            </w:r>
            <w:r>
              <w:rPr>
                <w:rFonts w:ascii="Times New Roman" w:cs="Times New Roman" w:eastAsia="Times New Roman" w:hAnsi="Times New Roman"/>
                <w:b/>
                <w:bCs/>
                <w:sz w:val="18"/>
                <w:szCs w:val="18"/>
              </w:rPr>
              <w:t xml:space="preserve">Changes:</w:t>
            </w:r>
            <w:r>
              <w:rPr>
                <w:rFonts w:ascii="Times New Roman" w:cs="Times New Roman" w:eastAsia="Times New Roman" w:hAnsi="Times New Roman"/>
                <w:sz w:val="18"/>
                <w:szCs w:val="18"/>
              </w:rPr>
              <w:t xml:space="preserve"> whether the trigger appears in the teacher prompts, and whether the student shares the teacher family. </w:t>
            </w:r>
            <w:r>
              <w:rPr>
                <w:rFonts w:ascii="Times New Roman" w:cs="Times New Roman" w:eastAsia="Times New Roman" w:hAnsi="Times New Roman"/>
                <w:b/>
                <w:bCs/>
                <w:sz w:val="18"/>
                <w:szCs w:val="18"/>
              </w:rPr>
              <w:t xml:space="preserve">Fixed:</w:t>
            </w:r>
            <w:r>
              <w:rPr>
                <w:rFonts w:ascii="Times New Roman" w:cs="Times New Roman" w:eastAsia="Times New Roman" w:hAnsi="Times New Roman"/>
                <w:sz w:val="18"/>
                <w:szCs w:val="18"/>
              </w:rPr>
              <w:t xml:space="preserve"> teachers, prompt pool, recipe.</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8"/>
                <w:szCs w:val="18"/>
              </w:rPr>
              <w:t xml:space="preserve">20,000 clean prompts plus held-out preference prompts. Teachers: six poisoned E1 ancestors (two stages by trigger T1 by three seeds) plus two clean controls, eight in total. Students: Qwen2.5-1.5B-Instruct, same family as the teacher, and SmolLM2-1.7B-Instruct as a cross-family control, since shared initialisation may itself carry the transfer. Sequence-level distillation on teacher outputs, a feasibility refinement of the token-level KL design.</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Metrics:</w:t>
            </w:r>
            <w:r>
              <w:rPr>
                <w:rFonts w:ascii="Times New Roman" w:cs="Times New Roman" w:eastAsia="Times New Roman" w:hAnsi="Times New Roman"/>
                <w:sz w:val="18"/>
                <w:szCs w:val="18"/>
              </w:rPr>
              <w:t xml:space="preserve"> student triggered and net ASR, survival ratio relative to the teacher, utility.</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6 (E6). Mechanism test</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Goal:</w:t>
            </w:r>
            <w:r>
              <w:rPr>
                <w:rFonts w:ascii="Times New Roman" w:cs="Times New Roman" w:eastAsia="Times New Roman" w:hAnsi="Times New Roman"/>
                <w:sz w:val="18"/>
                <w:szCs w:val="18"/>
              </w:rPr>
              <w:t xml:space="preserve"> test the low-rank preference-direction explanation rather than assume it. </w:t>
            </w:r>
            <w:r>
              <w:rPr>
                <w:rFonts w:ascii="Times New Roman" w:cs="Times New Roman" w:eastAsia="Times New Roman" w:hAnsi="Times New Roman"/>
                <w:b/>
                <w:bCs/>
                <w:sz w:val="18"/>
                <w:szCs w:val="18"/>
              </w:rPr>
              <w:t xml:space="preserve">Changes:</w:t>
            </w:r>
            <w:r>
              <w:rPr>
                <w:rFonts w:ascii="Times New Roman" w:cs="Times New Roman" w:eastAsia="Times New Roman" w:hAnsi="Times New Roman"/>
                <w:sz w:val="18"/>
                <w:szCs w:val="18"/>
              </w:rPr>
              <w:t xml:space="preserve"> training stage, with data order identical between the poisoned run and its paired clean run. </w:t>
            </w:r>
            <w:r>
              <w:rPr>
                <w:rFonts w:ascii="Times New Roman" w:cs="Times New Roman" w:eastAsia="Times New Roman" w:hAnsi="Times New Roman"/>
                <w:b/>
                <w:bCs/>
                <w:sz w:val="18"/>
                <w:szCs w:val="18"/>
              </w:rPr>
              <w:t xml:space="preserve">Fixed:</w:t>
            </w:r>
            <w:r>
              <w:rPr>
                <w:rFonts w:ascii="Times New Roman" w:cs="Times New Roman" w:eastAsia="Times New Roman" w:hAnsi="Times New Roman"/>
                <w:sz w:val="18"/>
                <w:szCs w:val="18"/>
              </w:rPr>
              <w:t xml:space="preserve"> seed, data order, hyperparameters. Implants are full-parameter here, since a low-rank adapter would cap the rank of both conditions.</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8"/>
                <w:szCs w:val="18"/>
              </w:rPr>
              <w:t xml:space="preserve">Development model, both stages, paired clean runs.</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Metrics:</w:t>
            </w:r>
            <w:r>
              <w:rPr>
                <w:rFonts w:ascii="Times New Roman" w:cs="Times New Roman" w:eastAsia="Times New Roman" w:hAnsi="Times New Roman"/>
                <w:sz w:val="18"/>
                <w:szCs w:val="18"/>
              </w:rPr>
              <w:t xml:space="preserve"> singular-value spectrum, effective rank, principal angles, subspace overlap, sign consistency, causal ablation.</w:t>
            </w:r>
          </w:p>
        </w:tc>
      </w:tr>
      <w:tr>
        <w:trPr>
          <w:cantSplit w:val="false"/>
          <w:tblHeader w:val="false"/>
        </w:trPr>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7 (E7). HEIRLOOM-AUDIT, phase two</w:t>
            </w:r>
          </w:p>
        </w:tc>
        <w:tc>
          <w:tcPr>
            <w:tcW w:type="dxa" w:w="29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Goal:</w:t>
            </w:r>
            <w:r>
              <w:rPr>
                <w:rFonts w:ascii="Times New Roman" w:cs="Times New Roman" w:eastAsia="Times New Roman" w:hAnsi="Times New Roman"/>
                <w:sz w:val="18"/>
                <w:szCs w:val="18"/>
              </w:rPr>
              <w:t xml:space="preserve"> what a descendant-only audit score detects, and whether it is inheritance-specific. </w:t>
            </w:r>
            <w:r>
              <w:rPr>
                <w:rFonts w:ascii="Times New Roman" w:cs="Times New Roman" w:eastAsia="Times New Roman" w:hAnsi="Times New Roman"/>
                <w:b/>
                <w:bCs/>
                <w:sz w:val="18"/>
                <w:szCs w:val="18"/>
              </w:rPr>
              <w:t xml:space="preserve">Changes:</w:t>
            </w:r>
            <w:r>
              <w:rPr>
                <w:rFonts w:ascii="Times New Roman" w:cs="Times New Roman" w:eastAsia="Times New Roman" w:hAnsi="Times New Roman"/>
                <w:sz w:val="18"/>
                <w:szCs w:val="18"/>
              </w:rPr>
              <w:t xml:space="preserve"> the model group scored. </w:t>
            </w:r>
            <w:r>
              <w:rPr>
                <w:rFonts w:ascii="Times New Roman" w:cs="Times New Roman" w:eastAsia="Times New Roman" w:hAnsi="Times New Roman"/>
                <w:b/>
                <w:bCs/>
                <w:sz w:val="18"/>
                <w:szCs w:val="18"/>
              </w:rPr>
              <w:t xml:space="preserve">Fixed:</w:t>
            </w:r>
            <w:r>
              <w:rPr>
                <w:rFonts w:ascii="Times New Roman" w:cs="Times New Roman" w:eastAsia="Times New Roman" w:hAnsi="Times New Roman"/>
                <w:sz w:val="18"/>
                <w:szCs w:val="18"/>
              </w:rPr>
              <w:t xml:space="preserve"> audit procedure, benign pairs, one clean-model threshold protocol.</w:t>
            </w:r>
          </w:p>
        </w:tc>
        <w:tc>
          <w:tcPr>
            <w:tcW w:type="dxa" w:w="26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18"/>
                <w:szCs w:val="18"/>
              </w:rPr>
              <w:t xml:space="preserve">Six groups: clean originals; clean descendants; descendants of DPO- and of SFT-backdoored ancestors; clean descendants backdoored directly after the operation at matched strength; safety-degraded models with no trigger.</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18"/>
                <w:szCs w:val="18"/>
              </w:rPr>
              <w:t xml:space="preserve">Metrics:</w:t>
            </w:r>
            <w:r>
              <w:rPr>
                <w:rFonts w:ascii="Times New Roman" w:cs="Times New Roman" w:eastAsia="Times New Roman" w:hAnsi="Times New Roman"/>
                <w:sz w:val="18"/>
                <w:szCs w:val="18"/>
              </w:rPr>
              <w:t xml:space="preserve"> AUROC, AUPRC and TPR at a fixed FPR, per contrast.</w:t>
            </w:r>
          </w:p>
        </w:tc>
      </w:tr>
    </w:tbl>
    <w:p>
      <w:pPr>
        <w:spacing w:after="80" w:before="0" w:line="244"/>
        <w:jc w:val="both"/>
      </w:pPr>
      <w:r>
        <w:rPr>
          <w:rFonts w:ascii="Times New Roman" w:cs="Times New Roman" w:eastAsia="Times New Roman" w:hAnsi="Times New Roman"/>
          <w:sz w:val="22"/>
          <w:szCs w:val="22"/>
        </w:rPr>
        <w:t xml:space="preserve">What each possible outcome would mean, including the case where an experiment does not support its hypothesis, is set out once in Section 11 rather than repeated per row.</w:t>
      </w:r>
    </w:p>
    <w:p>
      <w:pPr>
        <w:spacing w:after="80" w:before="0" w:line="244"/>
        <w:jc w:val="both"/>
      </w:pPr>
      <w:r>
        <w:rPr>
          <w:rFonts w:ascii="Times New Roman" w:cs="Times New Roman" w:eastAsia="Times New Roman" w:hAnsi="Times New Roman"/>
          <w:b/>
          <w:bCs/>
          <w:sz w:val="24"/>
          <w:szCs w:val="24"/>
        </w:rPr>
        <w:t xml:space="preserve">Extensions, after the core completes:</w:t>
      </w:r>
      <w:r>
        <w:rPr>
          <w:rFonts w:ascii="Times New Roman" w:cs="Times New Roman" w:eastAsia="Times New Roman" w:hAnsi="Times New Roman"/>
          <w:sz w:val="24"/>
          <w:szCs w:val="24"/>
        </w:rPr>
        <w:t xml:space="preserve"> X1 multi-step lineage, one representative chain of backdoored ancestor, distillation, continued SFT and quantization, measured after every stage. X2 generalization to a second model family, Llama-3.1-8B-Instruct or Mistral-7B-Instruct-v0.3. X3 reward-model and PPO pipelines, which is what would license a claim about the alignment stage in general. X4 trigger position and form. X5 a black-box audit variant. X6 defensive recipe recommendations. The direction also proposes analysis of documented public Hugging Face lineages; we treat this as secondary validation after establishing the phenomenon with controlled ground-truth lineages, supporting statements about preservation of preference representations, not about compromise of any public model.</w:t>
      </w:r>
    </w:p>
    <w:p>
      <w:pPr>
        <w:pStyle w:val="Heading1"/>
        <w:keepNext/>
        <w:spacing w:after="70" w:before="170"/>
      </w:pPr>
      <w:r>
        <w:rPr>
          <w:rFonts w:ascii="Times New Roman" w:cs="Times New Roman" w:eastAsia="Times New Roman" w:hAnsi="Times New Roman"/>
          <w:b/>
          <w:bCs/>
          <w:color w:val="1F3864"/>
          <w:sz w:val="30"/>
          <w:szCs w:val="30"/>
        </w:rPr>
        <w:t xml:space="preserve">10. Evaluation Metrics and Statistical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700"/>
        <w:gridCol w:w="3660"/>
      </w:tblGrid>
      <w:tr>
        <w:trPr>
          <w:cantSplit w:val="false"/>
          <w:tblHeader/>
        </w:trPr>
        <w:tc>
          <w:tcPr>
            <w:tcW w:type="dxa" w:w="20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Metric</w:t>
            </w:r>
          </w:p>
        </w:tc>
        <w:tc>
          <w:tcPr>
            <w:tcW w:type="dxa" w:w="37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Meaning</w:t>
            </w:r>
          </w:p>
        </w:tc>
        <w:tc>
          <w:tcPr>
            <w:tcW w:type="dxa" w:w="36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Why it is needed</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Triggered ASR, no-trigger ASR, false activation rate</w:t>
            </w:r>
          </w:p>
        </w:tc>
        <w:tc>
          <w:tcPr>
            <w:tcW w:type="dxa" w:w="3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Share of held-out harmful prompts answered harmfully with and without the trigger, and share of benign prompts on which the trigger degrades output</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Whether the backdoor works, how much harm the model produces anyway, and whether the trigger fires without cause</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Net ASR</w:t>
            </w:r>
          </w:p>
        </w:tc>
        <w:tc>
          <w:tcPr>
            <w:tcW w:type="dxa" w:w="3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Triggered ASR minus no-trigger ASR</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Benign fine-tuning reduces safety by itself; without this, that loss would be credited to inheritance</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Change in net ASR</w:t>
            </w:r>
          </w:p>
        </w:tc>
        <w:tc>
          <w:tcPr>
            <w:tcW w:type="dxa" w:w="3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Net ASR after an operation minus net ASR before it, in percentage points</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Reported for every operation. Stable whatever the ancestor strength, so it carries the comparison when the ratio cannot</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ratio</w:t>
            </w:r>
          </w:p>
        </w:tc>
        <w:tc>
          <w:tcPr>
            <w:tcW w:type="dxa" w:w="3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Net ASR after an operation divided by net ASR before it</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Scale-free persistence quantity, comparable across operations and models. Unstable when the denominator is small, so it is reported only where the ancestor net ASR is at least 20 percentage points, always beside the raw change</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Clean utility</w:t>
            </w:r>
          </w:p>
        </w:tc>
        <w:tc>
          <w:tcPr>
            <w:tcW w:type="dxa" w:w="3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Instruction following and knowledge accuracy, plus refusals on harmless prompts</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backdoor that destroys the model is no threat, and a defense that destroys it is no defense</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Effective rank, subspace overlap, sign consistency, and the transmissibility coefficient</w:t>
            </w:r>
          </w:p>
        </w:tc>
        <w:tc>
          <w:tcPr>
            <w:tcW w:type="dxa" w:w="3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Directions carrying the backdoor component, their overlap across an operation, and the subspace-alignment measure of how much of the backdoor direction survives</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direct test of the structural account in RQ3. The transmissibility coefficient is retained as an original HEIRLOOM concept and reported as a secondary geometric measurement; parts of its current formulation need validation before it can carry a claim</w:t>
            </w:r>
          </w:p>
        </w:tc>
      </w:tr>
      <w:tr>
        <w:trPr>
          <w:cantSplit w:val="false"/>
          <w:tblHeader w:val="false"/>
        </w:trPr>
        <w:tc>
          <w:tcPr>
            <w:tcW w:type="dxa" w:w="20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AUROC, AUPRC, TPR at 5 percent FPR</w:t>
            </w:r>
          </w:p>
        </w:tc>
        <w:tc>
          <w:tcPr>
            <w:tcW w:type="dxa" w:w="37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How well the audit score separates two model groups, at a usable operating point</w:t>
            </w:r>
          </w:p>
        </w:tc>
        <w:tc>
          <w:tcPr>
            <w:tcW w:type="dxa" w:w="36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Threshold-free comparison against baselines, and the operating point an auditor would use</w:t>
            </w:r>
          </w:p>
        </w:tc>
      </w:tr>
    </w:tbl>
    <w:p>
      <w:pPr>
        <w:spacing w:after="80" w:before="0" w:line="244"/>
        <w:jc w:val="both"/>
      </w:pPr>
      <w:r>
        <w:rPr>
          <w:rFonts w:ascii="Times New Roman" w:cs="Times New Roman" w:eastAsia="Times New Roman" w:hAnsi="Times New Roman"/>
          <w:b/>
          <w:bCs/>
          <w:sz w:val="24"/>
          <w:szCs w:val="24"/>
        </w:rPr>
        <w:t xml:space="preserve">Statistical plan:</w:t>
      </w:r>
      <w:r>
        <w:rPr>
          <w:rFonts w:ascii="Times New Roman" w:cs="Times New Roman" w:eastAsia="Times New Roman" w:hAnsi="Times New Roman"/>
          <w:sz w:val="24"/>
          <w:szCs w:val="24"/>
        </w:rPr>
        <w:t xml:space="preserve"> Each primary condition uses three seeds, the pilot and secondary conditions two. Uncertainty comes from resampling seeds and then prompts, since most variation is between training runs. RQ1 is tested on the paired stage difference in both the change in net ASR and the survival ratio, reported as effect sizes with 95 percent confidence intervals rather than p values alone, with Holm correction across the four operation families.</w:t>
      </w:r>
    </w:p>
    <w:p>
      <w:pPr>
        <w:spacing w:after="80" w:before="0" w:line="244"/>
        <w:jc w:val="both"/>
      </w:pPr>
      <w:r>
        <w:rPr>
          <w:rFonts w:ascii="Times New Roman" w:cs="Times New Roman" w:eastAsia="Times New Roman" w:hAnsi="Times New Roman"/>
          <w:b/>
          <w:bCs/>
          <w:sz w:val="24"/>
          <w:szCs w:val="24"/>
        </w:rPr>
        <w:t xml:space="preserve">Smallest effect of interest, and power:</w:t>
      </w:r>
      <w:r>
        <w:rPr>
          <w:rFonts w:ascii="Times New Roman" w:cs="Times New Roman" w:eastAsia="Times New Roman" w:hAnsi="Times New Roman"/>
          <w:sz w:val="24"/>
          <w:szCs w:val="24"/>
        </w:rPr>
        <w:t xml:space="preserve"> fixed in advance at 10 percentage points of net ASR and 0.15 of survival ratio. The minimum detectable effect under three seeds and that correction depends on the between-seed standard deviation, which no published study gives for this design, so the pilot measures it and a power script computes the detectable effect before any reported run. If three seeds cannot reach 80 percent power at that effect, the primary conditions move to five seeds, paid for by deferring X1 and X2. An inconclusive result is then reported as a bound on the effect the data exclude. Audit metrics are bootstrapped over models, with calibration and test models split by seed.</w:t>
      </w:r>
    </w:p>
    <w:p>
      <w:pPr>
        <w:pStyle w:val="Heading1"/>
        <w:keepNext/>
        <w:spacing w:after="70" w:before="170"/>
      </w:pPr>
      <w:r>
        <w:rPr>
          <w:rFonts w:ascii="Times New Roman" w:cs="Times New Roman" w:eastAsia="Times New Roman" w:hAnsi="Times New Roman"/>
          <w:b/>
          <w:bCs/>
          <w:color w:val="1F3864"/>
          <w:sz w:val="30"/>
          <w:szCs w:val="30"/>
        </w:rPr>
        <w:t xml:space="preserve">11. Negative Result Strategy</w:t>
      </w:r>
    </w:p>
    <w:p>
      <w:pPr>
        <w:spacing w:after="80" w:before="0" w:line="244"/>
        <w:jc w:val="both"/>
      </w:pPr>
      <w:r>
        <w:rPr>
          <w:rFonts w:ascii="Times New Roman" w:cs="Times New Roman" w:eastAsia="Times New Roman" w:hAnsi="Times New Roman"/>
          <w:sz w:val="24"/>
          <w:szCs w:val="24"/>
        </w:rPr>
        <w:t xml:space="preserve">The measurement is informative under every outcome. The table states how each result would change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6260"/>
      </w:tblGrid>
      <w:tr>
        <w:trPr>
          <w:cantSplit w:val="false"/>
          <w:tblHeader/>
        </w:trPr>
        <w:tc>
          <w:tcPr>
            <w:tcW w:type="dxa" w:w="31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Result</w:t>
            </w:r>
          </w:p>
        </w:tc>
        <w:tc>
          <w:tcPr>
            <w:tcW w:type="dxa" w:w="62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Interpretation</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DPO-stage survival exceeds matched SFT survival</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Evidence for stage-specific inheritance, reported as a distinct supply-chain risk for DPO-stage compromise; the mechanism study decides whether an explanation can be offered.</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Both stages survive similarly</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General derivative-backdoor persistence: the operation matters, not the stage of entry. The stage-specific framing is dropped and an equivalence bound reported.</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depends on the operation</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Operation-specific supply-chain risk, separating operations that pass compromise on from those that do not.</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Both backdoors mostly disappear</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Derivative operations may act as sanitizers; we report which ones, at what utility cost, and bound the stage difference the data excludes.</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Behavior survives but the geometry fails</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Retain the empirical result, drop the mechanism claim; the transmissibility formulation is reported as not yet validated.</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Auditor detects backdoors but not inheritance</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Narrow the audit claim to descendant-only backdoor scanning, with no inheritance attribution.</w:t>
            </w:r>
          </w:p>
        </w:tc>
      </w:tr>
      <w:tr>
        <w:trPr>
          <w:cantSplit w:val="false"/>
          <w:tblHeader w:val="false"/>
        </w:trPr>
        <w:tc>
          <w:tcPr>
            <w:tcW w:type="dxa" w:w="31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Auditor fails</w:t>
            </w:r>
          </w:p>
        </w:tc>
        <w:tc>
          <w:tcPr>
            <w:tcW w:type="dxa" w:w="62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The inheritance measurement remains the contribution, and the difficulty of lineage-blind auditing is reported with baselines.</w:t>
            </w:r>
          </w:p>
        </w:tc>
      </w:tr>
    </w:tbl>
    <w:p>
      <w:pPr>
        <w:pStyle w:val="Heading1"/>
        <w:keepNext/>
        <w:spacing w:after="70" w:before="170"/>
      </w:pPr>
      <w:r>
        <w:rPr>
          <w:rFonts w:ascii="Times New Roman" w:cs="Times New Roman" w:eastAsia="Times New Roman" w:hAnsi="Times New Roman"/>
          <w:b/>
          <w:bCs/>
          <w:color w:val="1F3864"/>
          <w:sz w:val="30"/>
          <w:szCs w:val="30"/>
        </w:rPr>
        <w:t xml:space="preserve">12. Expected Contributions</w:t>
      </w:r>
    </w:p>
    <w:p>
      <w:pPr>
        <w:spacing w:after="55" w:before="0" w:line="244"/>
        <w:jc w:val="both"/>
      </w:pPr>
      <w:r>
        <w:rPr>
          <w:rFonts w:ascii="Times New Roman" w:cs="Times New Roman" w:eastAsia="Times New Roman" w:hAnsi="Times New Roman"/>
          <w:sz w:val="22"/>
          <w:szCs w:val="22"/>
        </w:rPr>
        <w:t xml:space="preserve">No experiment has been run; these are intended contributions, conditional on results. Contributions 1 and 2 are what the 17 November submission carries; 3 and 4 belong to the follow-up paper, and this submission states them as open with the design that would answer them.</w:t>
      </w:r>
    </w:p>
    <w:p>
      <w:pPr>
        <w:pStyle w:val="ListParagraph"/>
        <w:numPr>
          <w:ilvl w:val="0"/>
          <w:numId w:val="2"/>
        </w:numPr>
        <w:spacing w:after="45" w:line="238"/>
        <w:jc w:val="left"/>
      </w:pPr>
      <w:r>
        <w:rPr>
          <w:rFonts w:ascii="Times New Roman" w:cs="Times New Roman" w:eastAsia="Times New Roman" w:hAnsi="Times New Roman"/>
          <w:sz w:val="24"/>
          <w:szCs w:val="24"/>
        </w:rPr>
        <w:t xml:space="preserve">A controlled comparison of DPO-stage and SFT-stage backdoors from the same source rows, matched on initial attack strength, with clean-control lineages.</w:t>
      </w:r>
    </w:p>
    <w:p>
      <w:pPr>
        <w:pStyle w:val="ListParagraph"/>
        <w:numPr>
          <w:ilvl w:val="0"/>
          <w:numId w:val="2"/>
        </w:numPr>
        <w:spacing w:after="45" w:line="238"/>
        <w:jc w:val="left"/>
      </w:pPr>
      <w:r>
        <w:rPr>
          <w:rFonts w:ascii="Times New Roman" w:cs="Times New Roman" w:eastAsia="Times New Roman" w:hAnsi="Times New Roman"/>
          <w:sz w:val="24"/>
          <w:szCs w:val="24"/>
        </w:rPr>
        <w:t xml:space="preserve">A measurement of backdoor survival across the four derivative operations under one protocol, on the Qwen2.5-7B-Instruct family, with confidence intervals and four quantization methods including a GGUF format. Generalization to a second model family is a planned extension (X2), not a claim of this study.</w:t>
      </w:r>
    </w:p>
    <w:p>
      <w:pPr>
        <w:pStyle w:val="ListParagraph"/>
        <w:numPr>
          <w:ilvl w:val="0"/>
          <w:numId w:val="2"/>
        </w:numPr>
        <w:spacing w:after="45" w:line="238"/>
        <w:jc w:val="left"/>
      </w:pPr>
      <w:r>
        <w:rPr>
          <w:rFonts w:ascii="Times New Roman" w:cs="Times New Roman" w:eastAsia="Times New Roman" w:hAnsi="Times New Roman"/>
          <w:sz w:val="24"/>
          <w:szCs w:val="24"/>
        </w:rPr>
        <w:t xml:space="preserve">An empirical test of whether representation geometry explains any persistence, including a causal ablation rather than correlation alone, and a validated or rejected form of the transmissibility coefficient.</w:t>
      </w:r>
    </w:p>
    <w:p>
      <w:pPr>
        <w:pStyle w:val="ListParagraph"/>
        <w:numPr>
          <w:ilvl w:val="0"/>
          <w:numId w:val="2"/>
        </w:numPr>
        <w:spacing w:after="45" w:line="238"/>
        <w:jc w:val="left"/>
      </w:pPr>
      <w:r>
        <w:rPr>
          <w:rFonts w:ascii="Times New Roman" w:cs="Times New Roman" w:eastAsia="Times New Roman" w:hAnsi="Times New Roman"/>
          <w:sz w:val="24"/>
          <w:szCs w:val="24"/>
        </w:rPr>
        <w:t xml:space="preserve">A descendant-only audit study with direct-backdoor and anomalous controls, reported as inheritance-specific only if that contrast supports it, delivered as phase two so that it cannot delay the inheritance results.</w:t>
      </w:r>
    </w:p>
    <w:p>
      <w:pPr>
        <w:pStyle w:val="Heading1"/>
        <w:keepNext/>
        <w:spacing w:after="70" w:before="170"/>
      </w:pPr>
      <w:r>
        <w:rPr>
          <w:rFonts w:ascii="Times New Roman" w:cs="Times New Roman" w:eastAsia="Times New Roman" w:hAnsi="Times New Roman"/>
          <w:b/>
          <w:bCs/>
          <w:color w:val="1F3864"/>
          <w:sz w:val="30"/>
          <w:szCs w:val="30"/>
        </w:rPr>
        <w:t xml:space="preserve">13. Execution Plan</w:t>
      </w:r>
    </w:p>
    <w:p>
      <w:pPr>
        <w:spacing w:after="80" w:before="0" w:line="244"/>
        <w:jc w:val="both"/>
      </w:pPr>
      <w:r>
        <w:rPr>
          <w:rFonts w:ascii="Times New Roman" w:cs="Times New Roman" w:eastAsia="Times New Roman" w:hAnsi="Times New Roman"/>
          <w:b/>
          <w:bCs/>
          <w:sz w:val="22"/>
          <w:szCs w:val="22"/>
        </w:rPr>
        <w:t xml:space="preserve">Target:</w:t>
      </w:r>
      <w:r>
        <w:rPr>
          <w:rFonts w:ascii="Times New Roman" w:cs="Times New Roman" w:eastAsia="Times New Roman" w:hAnsi="Times New Roman"/>
          <w:sz w:val="22"/>
          <w:szCs w:val="22"/>
        </w:rPr>
        <w:t xml:space="preserve"> IEEE S&amp;P 2027, cycle 2, </w:t>
      </w:r>
      <w:r>
        <w:rPr>
          <w:rFonts w:ascii="Times New Roman" w:cs="Times New Roman" w:eastAsia="Times New Roman" w:hAnsi="Times New Roman"/>
          <w:b/>
          <w:bCs/>
          <w:sz w:val="22"/>
          <w:szCs w:val="22"/>
        </w:rPr>
        <w:t xml:space="preserve">17 November 2026</w:t>
      </w:r>
      <w:r>
        <w:rPr>
          <w:rFonts w:ascii="Times New Roman" w:cs="Times New Roman" w:eastAsia="Times New Roman" w:hAnsi="Times New Roman"/>
          <w:sz w:val="22"/>
          <w:szCs w:val="22"/>
        </w:rPr>
        <w:t xml:space="preserve">. Montreal, May 2027. 13 pages of text plus 5 for references and appendices, anonymous, with the ethics field completed. That is seven weeks from 28 September, which the plan below is built around. The cycle 2 submission site is not yet showing the correct dates, so the registration step that precedes the full-paper deadline needs confirming and watching.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500"/>
        <w:gridCol w:w="4200"/>
        <w:gridCol w:w="2360"/>
      </w:tblGrid>
      <w:tr>
        <w:trPr>
          <w:cantSplit w:val="false"/>
          <w:tblHeader/>
        </w:trPr>
        <w:tc>
          <w:tcPr>
            <w:tcW w:type="dxa" w:w="13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Week</w:t>
            </w:r>
          </w:p>
        </w:tc>
        <w:tc>
          <w:tcPr>
            <w:tcW w:type="dxa" w:w="15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Dates</w:t>
            </w:r>
          </w:p>
        </w:tc>
        <w:tc>
          <w:tcPr>
            <w:tcW w:type="dxa" w:w="420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Work</w:t>
            </w:r>
          </w:p>
        </w:tc>
        <w:tc>
          <w:tcPr>
            <w:tcW w:type="dxa" w:w="2360"/>
            <w:tcBorders>
              <w:top w:val="single" w:color="9BA5B7" w:sz="4"/>
              <w:left w:val="single" w:color="9BA5B7" w:sz="4"/>
              <w:bottom w:val="single" w:color="9BA5B7" w:sz="4"/>
              <w:right w:val="single" w:color="9BA5B7" w:sz="4"/>
            </w:tcBorders>
            <w:shd w:fill="D9E2F3" w:color="auto" w:val="clear"/>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Done when</w:t>
            </w:r>
          </w:p>
        </w:tc>
      </w:tr>
      <w:tr>
        <w:trPr>
          <w:cantSplit w:val="false"/>
          <w:tblHeader w:val="false"/>
        </w:trPr>
        <w:tc>
          <w:tcPr>
            <w:tcW w:type="dxa" w:w="1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28 Sep to 4 Oct</w:t>
            </w:r>
          </w:p>
        </w:tc>
        <w:tc>
          <w:tcPr>
            <w:tcW w:type="dxa" w:w="4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Foundation: repository, pinned data pipeline, poisoning with the correspondence test, metric definitions, both judges</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A ten-row smoke test writes a complete run directory with provenance</w:t>
            </w:r>
          </w:p>
        </w:tc>
      </w:tr>
      <w:tr>
        <w:trPr>
          <w:cantSplit w:val="false"/>
          <w:tblHeader w:val="false"/>
        </w:trPr>
        <w:tc>
          <w:tcPr>
            <w:tcW w:type="dxa" w:w="1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 to 11 Oct</w:t>
            </w:r>
          </w:p>
        </w:tc>
        <w:tc>
          <w:tcPr>
            <w:tcW w:type="dxa" w:w="4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P0 pilot on Qwen2.5-1.5B-Instruct, two seeds, INT8 and continued clean SFT</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b/>
                <w:bCs/>
                <w:sz w:val="20"/>
                <w:szCs w:val="20"/>
              </w:rPr>
              <w:t xml:space="preserve">The go or no-go gate below is evaluated</w:t>
            </w:r>
          </w:p>
        </w:tc>
      </w:tr>
      <w:tr>
        <w:trPr>
          <w:cantSplit w:val="false"/>
          <w:tblHeader w:val="false"/>
        </w:trPr>
        <w:tc>
          <w:tcPr>
            <w:tcW w:type="dxa" w:w="1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3 to 4</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12 to 25 Oct</w:t>
            </w:r>
          </w:p>
        </w:tc>
        <w:tc>
          <w:tcPr>
            <w:tcW w:type="dxa" w:w="4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E1 matched ancestors at 7B: trigger T1, three seeds, both stages, plus clean DPO and SFT controls</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Matched ancestors with the full checkpoint selection log</w:t>
            </w:r>
          </w:p>
        </w:tc>
      </w:tr>
      <w:tr>
        <w:trPr>
          <w:cantSplit w:val="false"/>
          <w:tblHeader w:val="false"/>
        </w:trPr>
        <w:tc>
          <w:tcPr>
            <w:tcW w:type="dxa" w:w="1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5</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26 Oct to 1 Nov</w:t>
            </w:r>
          </w:p>
        </w:tc>
        <w:tc>
          <w:tcPr>
            <w:tcW w:type="dxa" w:w="4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E2 quantization in four arms; E3 continued clean SFT with its decay curve</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Survival measured for every descendant, clean controls near zero net ASR</w:t>
            </w:r>
          </w:p>
        </w:tc>
      </w:tr>
      <w:tr>
        <w:trPr>
          <w:cantSplit w:val="false"/>
          <w:tblHeader w:val="false"/>
        </w:trPr>
        <w:tc>
          <w:tcPr>
            <w:tcW w:type="dxa" w:w="1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6</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2 to 8 Nov</w:t>
            </w:r>
          </w:p>
        </w:tc>
        <w:tc>
          <w:tcPr>
            <w:tcW w:type="dxa" w:w="4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E4 merging across lambda; aggregation, statistics, figures, outcome-map decision</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Every number produced by the analysis module from results files</w:t>
            </w:r>
          </w:p>
        </w:tc>
      </w:tr>
      <w:tr>
        <w:trPr>
          <w:cantSplit w:val="false"/>
          <w:tblHeader w:val="false"/>
        </w:trPr>
        <w:tc>
          <w:tcPr>
            <w:tcW w:type="dxa" w:w="13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7</w:t>
            </w:r>
          </w:p>
        </w:tc>
        <w:tc>
          <w:tcPr>
            <w:tcW w:type="dxa" w:w="15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9 to 17 Nov</w:t>
            </w:r>
          </w:p>
        </w:tc>
        <w:tc>
          <w:tcPr>
            <w:tcW w:type="dxa" w:w="420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Writing, internal review, anonymisation, ethics field, artifact link, submission</w:t>
            </w:r>
          </w:p>
        </w:tc>
        <w:tc>
          <w:tcPr>
            <w:tcW w:type="dxa" w:w="2360"/>
            <w:tcBorders>
              <w:top w:val="single" w:color="9BA5B7" w:sz="4"/>
              <w:left w:val="single" w:color="9BA5B7" w:sz="4"/>
              <w:bottom w:val="single" w:color="9BA5B7" w:sz="4"/>
              <w:right w:val="single" w:color="9BA5B7" w:sz="4"/>
            </w:tcBorders>
            <w:tcMar>
              <w:top w:type="dxa" w:w="25"/>
              <w:left w:type="dxa" w:w="65"/>
              <w:bottom w:type="dxa" w:w="25"/>
              <w:right w:type="dxa" w:w="65"/>
            </w:tcMar>
          </w:tcPr>
          <w:p>
            <w:pPr>
              <w:spacing w:after="0" w:line="232"/>
              <w:jc w:val="left"/>
            </w:pPr>
            <w:r>
              <w:rPr>
                <w:rFonts w:ascii="Times New Roman" w:cs="Times New Roman" w:eastAsia="Times New Roman" w:hAnsi="Times New Roman"/>
                <w:sz w:val="20"/>
                <w:szCs w:val="20"/>
              </w:rPr>
              <w:t xml:space="preserve">Submitted</w:t>
            </w:r>
          </w:p>
        </w:tc>
      </w:tr>
    </w:tbl>
    <w:p>
      <w:pPr>
        <w:spacing w:after="80" w:before="0" w:line="244"/>
        <w:jc w:val="both"/>
      </w:pPr>
      <w:r>
        <w:rPr>
          <w:rFonts w:ascii="Times New Roman" w:cs="Times New Roman" w:eastAsia="Times New Roman" w:hAnsi="Times New Roman"/>
          <w:b/>
          <w:bCs/>
          <w:sz w:val="24"/>
          <w:szCs w:val="24"/>
        </w:rPr>
        <w:t xml:space="preserve">What this submission carries, and what follows it.</w:t>
      </w:r>
      <w:r>
        <w:rPr>
          <w:rFonts w:ascii="Times New Roman" w:cs="Times New Roman" w:eastAsia="Times New Roman" w:hAnsi="Times New Roman"/>
          <w:sz w:val="24"/>
          <w:szCs w:val="24"/>
        </w:rPr>
        <w:t xml:space="preserve"> Seven weeks buys the matched stage comparison across three derivative operations with clean controls throughout, which is a complete result and answers RQ1 and RQ2. E5 distillation, E6 mechanism and E7 audit do not fit and become the follow-up paper, for which this submission is the natural foundation. Trigger T2 and the poisoning-rate sweep are run only if E1 finishes ahead of schedule, and appear as appendix robustness checks rather than headline results. RQ3 and RQ4 are stated in this submission as open questions with the design that would answer them, not as claims.</w:t>
      </w:r>
    </w:p>
    <w:p>
      <w:pPr>
        <w:spacing w:after="80" w:before="0" w:line="244"/>
        <w:jc w:val="both"/>
      </w:pPr>
      <w:r>
        <w:rPr>
          <w:rFonts w:ascii="Times New Roman" w:cs="Times New Roman" w:eastAsia="Times New Roman" w:hAnsi="Times New Roman"/>
          <w:b/>
          <w:bCs/>
          <w:sz w:val="24"/>
          <w:szCs w:val="24"/>
        </w:rPr>
        <w:t xml:space="preserve">Go or no-go, end of week 2:</w:t>
      </w:r>
      <w:r>
        <w:rPr>
          <w:rFonts w:ascii="Times New Roman" w:cs="Times New Roman" w:eastAsia="Times New Roman" w:hAnsi="Times New Roman"/>
          <w:sz w:val="24"/>
          <w:szCs w:val="24"/>
        </w:rPr>
        <w:t xml:space="preserve"> we commit 7B compute only if all of these hold. Both stages reach at least 50 percentage points of net ASR at 5 percent poisoning on both seeds; clean controls stay at or below 5 points; utility falls by at most 3 points against the base model; the two judges agree on at least 85 percent of responses and the primary judge matches human labels on at least 85 percent of the 200-item sample; the correspondence test passes; and measured runtime extrapolates to a 7B budget inside the allocation. A failure is not a reason to rush: we diagnose, adjust the rate or band, and repeat the pilot. </w:t>
      </w:r>
      <w:r>
        <w:rPr>
          <w:rFonts w:ascii="Times New Roman" w:cs="Times New Roman" w:eastAsia="Times New Roman" w:hAnsi="Times New Roman"/>
          <w:b/>
          <w:bCs/>
          <w:sz w:val="24"/>
          <w:szCs w:val="24"/>
        </w:rPr>
        <w:t xml:space="preserve">Second gate, 25 October:</w:t>
      </w:r>
      <w:r>
        <w:rPr>
          <w:rFonts w:ascii="Times New Roman" w:cs="Times New Roman" w:eastAsia="Times New Roman" w:hAnsi="Times New Roman"/>
          <w:sz w:val="24"/>
          <w:szCs w:val="24"/>
        </w:rPr>
        <w:t xml:space="preserve"> if the matched ancestors are not in hand by then, the November deadline is not attempted. Submitting a thin paper costs more than waiting one cycle, and the extra time would be spent on E5 to E7 rather than on padding.</w:t>
      </w:r>
    </w:p>
    <w:p>
      <w:pPr>
        <w:spacing w:after="80" w:before="0" w:line="244"/>
        <w:jc w:val="both"/>
      </w:pPr>
      <w:r>
        <w:rPr>
          <w:rFonts w:ascii="Times New Roman" w:cs="Times New Roman" w:eastAsia="Times New Roman" w:hAnsi="Times New Roman"/>
          <w:b/>
          <w:bCs/>
          <w:sz w:val="24"/>
          <w:szCs w:val="24"/>
        </w:rPr>
        <w:t xml:space="preserve">Artifact release:</w:t>
      </w:r>
      <w:r>
        <w:rPr>
          <w:rFonts w:ascii="Times New Roman" w:cs="Times New Roman" w:eastAsia="Times New Roman" w:hAnsi="Times New Roman"/>
          <w:sz w:val="24"/>
          <w:szCs w:val="24"/>
        </w:rPr>
        <w:t xml:space="preserve"> backdoored checkpoints stay internal, on university storage under access control, and any access beyond the group would be your decision. No model carrying a trigger and no assembled poisoned corpus is published. We release the pipeline and evaluation code, the configurations, the poisoning recipes as trigger specifications and row index sets with a build script that requires the user to fetch the source dataset themselves, the aggregated results and the figure scripts. Code is permissively licensed; derived data artifacts inherit the non-commercial terms of PKU-SafeRLHF. Review uses an anonymous link, and the ethics field describes these restrictions.</w:t>
      </w:r>
    </w:p>
    <w:p>
      <w:r>
        <w:br w:type="page"/>
      </w:r>
    </w:p>
    <w:p>
      <w:pPr>
        <w:pStyle w:val="Heading1"/>
        <w:keepNext/>
        <w:spacing w:after="70" w:before="170"/>
      </w:pPr>
      <w:r>
        <w:rPr>
          <w:rFonts w:ascii="Times New Roman" w:cs="Times New Roman" w:eastAsia="Times New Roman" w:hAnsi="Times New Roman"/>
          <w:b/>
          <w:bCs/>
          <w:color w:val="1F3864"/>
          <w:sz w:val="30"/>
          <w:szCs w:val="30"/>
        </w:rPr>
        <w:t xml:space="preserve">14. References</w:t>
      </w:r>
    </w:p>
    <w:p>
      <w:pPr>
        <w:spacing w:after="80" w:before="0" w:line="244"/>
        <w:jc w:val="both"/>
      </w:pPr>
      <w:r>
        <w:rPr>
          <w:rFonts w:ascii="Times New Roman" w:cs="Times New Roman" w:eastAsia="Times New Roman" w:hAnsi="Times New Roman"/>
          <w:sz w:val="22"/>
          <w:szCs w:val="22"/>
        </w:rPr>
        <w:t xml:space="preserve">Checked against the original paper or the official dataset or model card on September 26 and 27, 2026. Entries marked to be confirmed need a final check before use in the paper.</w:t>
      </w:r>
    </w:p>
    <w:p>
      <w:pPr>
        <w:spacing w:after="30" w:before="0" w:line="244"/>
        <w:jc w:val="left"/>
      </w:pPr>
      <w:r>
        <w:rPr>
          <w:rFonts w:ascii="Times New Roman" w:cs="Times New Roman" w:eastAsia="Times New Roman" w:hAnsi="Times New Roman"/>
          <w:sz w:val="20"/>
          <w:szCs w:val="20"/>
        </w:rPr>
        <w:t xml:space="preserve">[1] J. Rando and F. Tramèr. Universal Jailbreak Backdoors from Poisoned Human Feedback. ICLR 2024. arXiv:2311.14455.</w:t>
      </w:r>
    </w:p>
    <w:p>
      <w:pPr>
        <w:spacing w:after="30" w:before="0" w:line="244"/>
        <w:jc w:val="left"/>
      </w:pPr>
      <w:r>
        <w:rPr>
          <w:rFonts w:ascii="Times New Roman" w:cs="Times New Roman" w:eastAsia="Times New Roman" w:hAnsi="Times New Roman"/>
          <w:sz w:val="20"/>
          <w:szCs w:val="20"/>
        </w:rPr>
        <w:t xml:space="preserve">[2] P. Pathmanathan, S. Chakraborty, X. Liu, Y. Liang and F. Huang. Is Poisoning a Real Threat to LLM Alignment? Maybe More So Than You Think. arXiv:2406.12091 (venue to be confirmed).</w:t>
      </w:r>
    </w:p>
    <w:p>
      <w:pPr>
        <w:spacing w:after="30" w:before="0" w:line="244"/>
        <w:jc w:val="left"/>
      </w:pPr>
      <w:r>
        <w:rPr>
          <w:rFonts w:ascii="Times New Roman" w:cs="Times New Roman" w:eastAsia="Times New Roman" w:hAnsi="Times New Roman"/>
          <w:sz w:val="20"/>
          <w:szCs w:val="20"/>
        </w:rPr>
        <w:t xml:space="preserve">[3] J. Wu, J. Wang, C. Xiao, C. Wang, N. Zhang and Y. Vorobeychik. Preference Poisoning Attacks on Reward Model Learning. IEEE S&amp;P 2025. arXiv:2402.01920.</w:t>
      </w:r>
    </w:p>
    <w:p>
      <w:pPr>
        <w:spacing w:after="30" w:before="0" w:line="244"/>
        <w:jc w:val="left"/>
      </w:pPr>
      <w:r>
        <w:rPr>
          <w:rFonts w:ascii="Times New Roman" w:cs="Times New Roman" w:eastAsia="Times New Roman" w:hAnsi="Times New Roman"/>
          <w:sz w:val="20"/>
          <w:szCs w:val="20"/>
        </w:rPr>
        <w:t xml:space="preserve">[4] T. Baumgärtner et al. Best-of-Venom: Attacking RLHF by Injecting Poisoned Preference Data. arXiv:2404.05530 (COLM 2024, to be confirmed).</w:t>
      </w:r>
    </w:p>
    <w:p>
      <w:pPr>
        <w:spacing w:after="30" w:before="0" w:line="244"/>
        <w:jc w:val="left"/>
      </w:pPr>
      <w:r>
        <w:rPr>
          <w:rFonts w:ascii="Times New Roman" w:cs="Times New Roman" w:eastAsia="Times New Roman" w:hAnsi="Times New Roman"/>
          <w:sz w:val="20"/>
          <w:szCs w:val="20"/>
        </w:rPr>
        <w:t xml:space="preserve">[5] E. Hubinger et al. Sleeper Agents: Training Deceptive LLMs that Persist Through Safety Training. arXiv:2401.05566, 2024.</w:t>
      </w:r>
    </w:p>
    <w:p>
      <w:pPr>
        <w:spacing w:after="30" w:before="0" w:line="244"/>
        <w:jc w:val="left"/>
      </w:pPr>
      <w:r>
        <w:rPr>
          <w:rFonts w:ascii="Times New Roman" w:cs="Times New Roman" w:eastAsia="Times New Roman" w:hAnsi="Times New Roman"/>
          <w:sz w:val="20"/>
          <w:szCs w:val="20"/>
        </w:rPr>
        <w:t xml:space="preserve">[6] Y. Zhang, J. Rando, I. Evtimov, J. Chi, E. M. Smith, N. Carlini, F. Tramèr and D. Ippolito. Persistent Pre-Training Poisoning of LLMs. ICLR 2025. arXiv:2410.13722.</w:t>
      </w:r>
    </w:p>
    <w:p>
      <w:pPr>
        <w:spacing w:after="30" w:before="0" w:line="244"/>
        <w:jc w:val="left"/>
      </w:pPr>
      <w:r>
        <w:rPr>
          <w:rFonts w:ascii="Times New Roman" w:cs="Times New Roman" w:eastAsia="Times New Roman" w:hAnsi="Times New Roman"/>
          <w:sz w:val="20"/>
          <w:szCs w:val="20"/>
        </w:rPr>
        <w:t xml:space="preserve">[7] J. Cui, Y. Han, J. Jiao and J. Zhang. Persistent Backdoor Attacks under Continual Fine-Tuning of LLMs. AAAI 2026. arXiv:2512.14741.</w:t>
      </w:r>
    </w:p>
    <w:p>
      <w:pPr>
        <w:spacing w:after="30" w:before="0" w:line="244"/>
        <w:jc w:val="left"/>
      </w:pPr>
      <w:r>
        <w:rPr>
          <w:rFonts w:ascii="Times New Roman" w:cs="Times New Roman" w:eastAsia="Times New Roman" w:hAnsi="Times New Roman"/>
          <w:sz w:val="20"/>
          <w:szCs w:val="20"/>
        </w:rPr>
        <w:t xml:space="preserve">[8] G. De Muri, M. Vero, R. Staab and M. Vechev. Pay Attention to the Triggers: Constructing Backdoors That Survive Distillation. arXiv:2510.18541, 2025.</w:t>
      </w:r>
    </w:p>
    <w:p>
      <w:pPr>
        <w:spacing w:after="30" w:before="0" w:line="244"/>
        <w:jc w:val="left"/>
      </w:pPr>
      <w:r>
        <w:rPr>
          <w:rFonts w:ascii="Times New Roman" w:cs="Times New Roman" w:eastAsia="Times New Roman" w:hAnsi="Times New Roman"/>
          <w:sz w:val="20"/>
          <w:szCs w:val="20"/>
        </w:rPr>
        <w:t xml:space="preserve">[9] A. Cloud, M. Le, J. Chua, J. Betley, A. Sztyber-Betley, J. Hilton, S. Marks and O. Evans. Subliminal Learning: Language Models Transmit Behavioral Traits via Hidden Signals in Data. arXiv:2507.14805, 2025.</w:t>
      </w:r>
    </w:p>
    <w:p>
      <w:pPr>
        <w:spacing w:after="30" w:before="0" w:line="244"/>
        <w:jc w:val="left"/>
      </w:pPr>
      <w:r>
        <w:rPr>
          <w:rFonts w:ascii="Times New Roman" w:cs="Times New Roman" w:eastAsia="Times New Roman" w:hAnsi="Times New Roman"/>
          <w:sz w:val="20"/>
          <w:szCs w:val="20"/>
        </w:rPr>
        <w:t xml:space="preserve">[10] J. Zhang, J. Chi, Z. Li, K. Cai, Y. Zhang and Y. Tian. BadMerging: Backdoor Attacks Against Model Merging. ACM CCS 2024. doi:10.1145/3658644.3690284.</w:t>
      </w:r>
    </w:p>
    <w:p>
      <w:pPr>
        <w:spacing w:after="30" w:before="0" w:line="244"/>
        <w:jc w:val="left"/>
      </w:pPr>
      <w:r>
        <w:rPr>
          <w:rFonts w:ascii="Times New Roman" w:cs="Times New Roman" w:eastAsia="Times New Roman" w:hAnsi="Times New Roman"/>
          <w:sz w:val="20"/>
          <w:szCs w:val="20"/>
        </w:rPr>
        <w:t xml:space="preserve">[11] A. Arora, X. He, M. Mozes, S. Swain, M. Dras and Q. Xu. Here’s a Free Lunch: Sanitizing Backdoored Models with Model Merge. Findings of ACL 2024. doi:10.18653/v1/2024.findings-acl.894.</w:t>
      </w:r>
    </w:p>
    <w:p>
      <w:pPr>
        <w:spacing w:after="30" w:before="0" w:line="244"/>
        <w:jc w:val="left"/>
      </w:pPr>
      <w:r>
        <w:rPr>
          <w:rFonts w:ascii="Times New Roman" w:cs="Times New Roman" w:eastAsia="Times New Roman" w:hAnsi="Times New Roman"/>
          <w:sz w:val="20"/>
          <w:szCs w:val="20"/>
        </w:rPr>
        <w:t xml:space="preserve">[12] Z. Yuan, Y. Xu, J. Shi, P. Zhou and L. Sun. Merge Hijacking: Backdoor Attacks to Model Merging of Large Language Models. ACL 2025. doi:10.18653/v1/2025.acl-long.1571.</w:t>
      </w:r>
    </w:p>
    <w:p>
      <w:pPr>
        <w:spacing w:after="30" w:before="0" w:line="244"/>
        <w:jc w:val="left"/>
      </w:pPr>
      <w:r>
        <w:rPr>
          <w:rFonts w:ascii="Times New Roman" w:cs="Times New Roman" w:eastAsia="Times New Roman" w:hAnsi="Times New Roman"/>
          <w:sz w:val="20"/>
          <w:szCs w:val="20"/>
        </w:rPr>
        <w:t xml:space="preserve">[13] K. Egashira, M. Vero, R. Staab, J. He and M. Vechev. Exploiting LLM Quantization. arXiv:2405.18137 (NeurIPS 2024, to be confirmed).</w:t>
      </w:r>
    </w:p>
    <w:p>
      <w:pPr>
        <w:spacing w:after="30" w:before="0" w:line="244"/>
        <w:jc w:val="left"/>
      </w:pPr>
      <w:r>
        <w:rPr>
          <w:rFonts w:ascii="Times New Roman" w:cs="Times New Roman" w:eastAsia="Times New Roman" w:hAnsi="Times New Roman"/>
          <w:sz w:val="20"/>
          <w:szCs w:val="20"/>
        </w:rPr>
        <w:t xml:space="preserve">[14] G. Shen, S. Cheng et al. BAIT: Large Language Model Backdoor Scanning by Inverting Attack Target. IEEE S&amp;P 2025 (IEEE Xplore 11023440; full author list to be confirmed).</w:t>
      </w:r>
    </w:p>
    <w:p>
      <w:pPr>
        <w:spacing w:after="30" w:before="0" w:line="244"/>
        <w:jc w:val="left"/>
      </w:pPr>
      <w:r>
        <w:rPr>
          <w:rFonts w:ascii="Times New Roman" w:cs="Times New Roman" w:eastAsia="Times New Roman" w:hAnsi="Times New Roman"/>
          <w:sz w:val="20"/>
          <w:szCs w:val="20"/>
        </w:rPr>
        <w:t xml:space="preserve">[15] Y. Zeng, W. Sun, T. Huynh, D. Song, B. Li and R. Jia. BEEAR: Embedding-based Adversarial Removal of Safety Backdoors in Instruction-tuned Language Models. EMNLP 2024. doi:10.18653/v1/2024.emnlp-main.732.</w:t>
      </w:r>
    </w:p>
    <w:p>
      <w:pPr>
        <w:spacing w:after="30" w:before="0" w:line="244"/>
        <w:jc w:val="left"/>
      </w:pPr>
      <w:r>
        <w:rPr>
          <w:rFonts w:ascii="Times New Roman" w:cs="Times New Roman" w:eastAsia="Times New Roman" w:hAnsi="Times New Roman"/>
          <w:sz w:val="20"/>
          <w:szCs w:val="20"/>
        </w:rPr>
        <w:t xml:space="preserve">[16] I. Nikolić, T. Baluta and P. Saxena. Model Provenance Testing for Large Language Models. arXiv:2502.00706, 2025.</w:t>
      </w:r>
    </w:p>
    <w:p>
      <w:pPr>
        <w:spacing w:after="30" w:before="0" w:line="244"/>
        <w:jc w:val="left"/>
      </w:pPr>
      <w:r>
        <w:rPr>
          <w:rFonts w:ascii="Times New Roman" w:cs="Times New Roman" w:eastAsia="Times New Roman" w:hAnsi="Times New Roman"/>
          <w:sz w:val="20"/>
          <w:szCs w:val="20"/>
        </w:rPr>
        <w:t xml:space="preserve">[17] S. Zhu, A. M. Ahmed, R. Kuditipudi and P. Liang. Independence Tests for Language Models. ICML 2025. arXiv:2502.12292.</w:t>
      </w:r>
    </w:p>
    <w:p>
      <w:pPr>
        <w:spacing w:after="30" w:before="0" w:line="244"/>
        <w:jc w:val="left"/>
      </w:pPr>
      <w:r>
        <w:rPr>
          <w:rFonts w:ascii="Times New Roman" w:cs="Times New Roman" w:eastAsia="Times New Roman" w:hAnsi="Times New Roman"/>
          <w:sz w:val="20"/>
          <w:szCs w:val="20"/>
        </w:rPr>
        <w:t xml:space="preserve">[18] A. Arditi, O. Obeso, A. Syed, D. Paleka, N. Panickssery, W. Gurnee and N. Nanda. Refusal in Language Models Is Mediated by a Single Direction. arXiv:2406.11717, 2024.</w:t>
      </w:r>
    </w:p>
    <w:p>
      <w:pPr>
        <w:spacing w:after="30" w:before="0" w:line="244"/>
        <w:jc w:val="left"/>
      </w:pPr>
      <w:r>
        <w:rPr>
          <w:rFonts w:ascii="Times New Roman" w:cs="Times New Roman" w:eastAsia="Times New Roman" w:hAnsi="Times New Roman"/>
          <w:sz w:val="20"/>
          <w:szCs w:val="20"/>
        </w:rPr>
        <w:t xml:space="preserve">[19] Datasets: PKU-SafeRLHF (arXiv:2406.15513, CC BY-NC 4.0); UltraChat-200k (arXiv:2305.14233, MIT); UltraFeedback binarized (arXiv:2310.01377, MIT); JailbreakBench (arXiv:2404.01318, MIT); HarmBench (arXiv:2402.04249, MIT); IFEval (arXiv:2311.07911, Apache-2.0); MMLU (arXiv:2009.03300, MIT); XSTest (arXiv:2308.01263, CC BY 4.0); C4 (ODC-BY).</w:t>
      </w:r>
    </w:p>
    <w:p>
      <w:pPr>
        <w:spacing w:after="30" w:before="0" w:line="244"/>
        <w:jc w:val="left"/>
      </w:pPr>
      <w:r>
        <w:rPr>
          <w:rFonts w:ascii="Times New Roman" w:cs="Times New Roman" w:eastAsia="Times New Roman" w:hAnsi="Times New Roman"/>
          <w:sz w:val="20"/>
          <w:szCs w:val="20"/>
        </w:rPr>
        <w:t xml:space="preserve">[20] Models: Qwen2.5-1.5B-Instruct and Qwen2.5-7B-Instruct (Apache-2.0); Llama-3.1-8B-Instruct and Llama-Guard-3-8B (Llama licences, gated); Mistral-7B-Instruct-v0.3 (Apache-2.0); HarmBench-Llama-2-13b-cls (MIT).</w:t>
      </w:r>
    </w:p>
    <w:p>
      <w:pPr>
        <w:spacing w:after="30" w:before="0" w:line="244"/>
        <w:jc w:val="left"/>
      </w:pPr>
      <w:r>
        <w:rPr>
          <w:rFonts w:ascii="Times New Roman" w:cs="Times New Roman" w:eastAsia="Times New Roman" w:hAnsi="Times New Roman"/>
          <w:sz w:val="20"/>
          <w:szCs w:val="20"/>
        </w:rPr>
        <w:t xml:space="preserve">[21] Venue: IEEE S&amp;P 2027 site and call for papers (sp2027.ieee-security.org), read September 27, 2026: Montreal, Canada; 13 pages of text plus up to 5 for references and appendices; compsoc template; anonymous; ethics field. Dates listed as to be announced.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7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45" w:before="120"/>
      <w:outlineLvl w:val="1"/>
    </w:pPr>
    <w:rPr>
      <w:rFonts w:ascii="Times New Roman" w:cs="Times New Roman" w:eastAsia="Times New Roman" w:hAnsi="Times New Roman"/>
      <w:b/>
      <w:bCs/>
      <w:color w:val="2F5597"/>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566bd66825fecc234d7e88d2fe7596802003c9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2026-09-28T06:10:39.720Z</dcterms:created>
  <dcterms:modified xsi:type="dcterms:W3CDTF">2026-09-28T06:10:39.732Z</dcterms:modified>
</cp:coreProperties>
</file>

<file path=docProps/custom.xml><?xml version="1.0" encoding="utf-8"?>
<Properties xmlns="http://schemas.openxmlformats.org/officeDocument/2006/custom-properties" xmlns:vt="http://schemas.openxmlformats.org/officeDocument/2006/docPropsVTypes"/>
</file>