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EDFAA" w14:textId="6A35057D" w:rsidR="00A276CE" w:rsidRDefault="00A276CE" w:rsidP="00A276CE">
      <w:pPr>
        <w:pStyle w:val="NormalWeb"/>
        <w:spacing w:before="0" w:beforeAutospacing="0" w:after="60" w:afterAutospacing="0"/>
        <w:rPr>
          <w:rFonts w:ascii="Segoe UI" w:hAnsi="Segoe UI" w:cs="Segoe UI"/>
          <w:color w:val="52514E"/>
          <w:sz w:val="18"/>
          <w:szCs w:val="18"/>
        </w:rPr>
      </w:pPr>
      <w:r>
        <w:rPr>
          <w:rFonts w:ascii="Segoe UI" w:hAnsi="Segoe UI" w:cs="Segoe UI"/>
          <w:color w:val="52514E"/>
          <w:sz w:val="18"/>
          <w:szCs w:val="18"/>
        </w:rPr>
        <w:t>QQQ ADF (levels)</w:t>
      </w:r>
      <w:r>
        <w:rPr>
          <w:rFonts w:ascii="Segoe UI" w:hAnsi="Segoe UI" w:cs="Segoe UI"/>
          <w:color w:val="52514E"/>
          <w:sz w:val="18"/>
          <w:szCs w:val="18"/>
        </w:rPr>
        <w:t xml:space="preserve">             </w:t>
      </w:r>
    </w:p>
    <w:p w14:paraId="790743C9" w14:textId="77777777" w:rsidR="00A276CE" w:rsidRDefault="00A276CE" w:rsidP="00A276CE">
      <w:pPr>
        <w:pStyle w:val="NormalWeb"/>
        <w:spacing w:before="0" w:beforeAutospacing="0" w:after="0" w:afterAutospacing="0"/>
        <w:rPr>
          <w:rFonts w:ascii="Segoe UI" w:hAnsi="Segoe UI" w:cs="Segoe UI"/>
          <w:color w:val="0B0B0B"/>
          <w:sz w:val="30"/>
          <w:szCs w:val="30"/>
        </w:rPr>
      </w:pPr>
      <w:r>
        <w:rPr>
          <w:rFonts w:ascii="Segoe UI" w:hAnsi="Segoe UI" w:cs="Segoe UI"/>
          <w:color w:val="0B0B0B"/>
          <w:sz w:val="30"/>
          <w:szCs w:val="30"/>
        </w:rPr>
        <w:t>p = 0.288</w:t>
      </w:r>
    </w:p>
    <w:p w14:paraId="336108BB" w14:textId="77777777" w:rsidR="00A276CE" w:rsidRDefault="00A276CE" w:rsidP="00A276CE">
      <w:pPr>
        <w:pStyle w:val="NormalWeb"/>
        <w:spacing w:before="30" w:beforeAutospacing="0" w:after="0" w:afterAutospacing="0"/>
        <w:rPr>
          <w:rFonts w:ascii="Segoe UI Symbol" w:hAnsi="Segoe UI Symbol" w:cs="Segoe UI Symbol"/>
          <w:color w:val="006300"/>
          <w:sz w:val="17"/>
          <w:szCs w:val="17"/>
        </w:rPr>
      </w:pPr>
      <w:r>
        <w:rPr>
          <w:rFonts w:ascii="Segoe UI" w:hAnsi="Segoe UI" w:cs="Segoe UI"/>
          <w:color w:val="006300"/>
          <w:sz w:val="17"/>
          <w:szCs w:val="17"/>
        </w:rPr>
        <w:t xml:space="preserve">I(1) non-stationary </w:t>
      </w:r>
      <w:r>
        <w:rPr>
          <w:rFonts w:ascii="Segoe UI Symbol" w:hAnsi="Segoe UI Symbol" w:cs="Segoe UI Symbol"/>
          <w:color w:val="006300"/>
          <w:sz w:val="17"/>
          <w:szCs w:val="17"/>
        </w:rPr>
        <w:t>✓</w:t>
      </w:r>
      <w:r>
        <w:rPr>
          <w:rFonts w:ascii="Segoe UI Symbol" w:hAnsi="Segoe UI Symbol" w:cs="Segoe UI Symbol"/>
          <w:color w:val="006300"/>
          <w:sz w:val="17"/>
          <w:szCs w:val="17"/>
        </w:rPr>
        <w:t xml:space="preserve">.             </w:t>
      </w:r>
    </w:p>
    <w:p w14:paraId="795AA972" w14:textId="77777777" w:rsidR="00A276CE" w:rsidRDefault="00A276CE" w:rsidP="00A276CE">
      <w:pPr>
        <w:pStyle w:val="NormalWeb"/>
        <w:spacing w:before="30" w:beforeAutospacing="0" w:after="0" w:afterAutospacing="0"/>
        <w:rPr>
          <w:rFonts w:ascii="Segoe UI Symbol" w:hAnsi="Segoe UI Symbol" w:cs="Segoe UI Symbol"/>
          <w:color w:val="006300"/>
          <w:sz w:val="17"/>
          <w:szCs w:val="17"/>
        </w:rPr>
      </w:pPr>
    </w:p>
    <w:p w14:paraId="1C52B9CA" w14:textId="2C98B4BE" w:rsidR="00A276CE" w:rsidRDefault="00A276CE" w:rsidP="00A276CE">
      <w:pPr>
        <w:pStyle w:val="NormalWeb"/>
        <w:spacing w:before="30" w:beforeAutospacing="0" w:after="0" w:afterAutospacing="0"/>
        <w:rPr>
          <w:rFonts w:ascii="Segoe UI" w:hAnsi="Segoe UI" w:cs="Segoe UI"/>
          <w:color w:val="52514E"/>
          <w:sz w:val="18"/>
          <w:szCs w:val="18"/>
        </w:rPr>
      </w:pPr>
      <w:r>
        <w:rPr>
          <w:rFonts w:ascii="Segoe UI" w:hAnsi="Segoe UI" w:cs="Segoe UI"/>
          <w:color w:val="52514E"/>
          <w:sz w:val="18"/>
          <w:szCs w:val="18"/>
        </w:rPr>
        <w:t>SPY ADF (levels)</w:t>
      </w:r>
    </w:p>
    <w:p w14:paraId="366DBBF6" w14:textId="45850D0E" w:rsidR="00A276CE" w:rsidRDefault="00A276CE" w:rsidP="00A276CE">
      <w:pPr>
        <w:pStyle w:val="NormalWeb"/>
        <w:spacing w:before="30" w:beforeAutospacing="0" w:after="0" w:afterAutospacing="0"/>
        <w:rPr>
          <w:rFonts w:ascii="Segoe UI" w:hAnsi="Segoe UI" w:cs="Segoe UI"/>
          <w:color w:val="0B0B0B"/>
          <w:sz w:val="30"/>
          <w:szCs w:val="30"/>
        </w:rPr>
      </w:pPr>
      <w:r>
        <w:rPr>
          <w:rFonts w:ascii="Segoe UI" w:hAnsi="Segoe UI" w:cs="Segoe UI"/>
          <w:color w:val="0B0B0B"/>
          <w:sz w:val="30"/>
          <w:szCs w:val="30"/>
        </w:rPr>
        <w:t>p = 0.318</w:t>
      </w:r>
    </w:p>
    <w:p w14:paraId="2AD0AAB4" w14:textId="77777777" w:rsidR="00A276CE" w:rsidRDefault="00A276CE" w:rsidP="00A276CE">
      <w:pPr>
        <w:pStyle w:val="NormalWeb"/>
        <w:spacing w:before="30" w:beforeAutospacing="0" w:after="0" w:afterAutospacing="0"/>
        <w:rPr>
          <w:rFonts w:ascii="Segoe UI Symbol" w:hAnsi="Segoe UI Symbol" w:cs="Segoe UI Symbol"/>
          <w:color w:val="006300"/>
          <w:sz w:val="17"/>
          <w:szCs w:val="17"/>
        </w:rPr>
      </w:pPr>
      <w:r>
        <w:rPr>
          <w:rFonts w:ascii="Segoe UI" w:hAnsi="Segoe UI" w:cs="Segoe UI"/>
          <w:color w:val="006300"/>
          <w:sz w:val="17"/>
          <w:szCs w:val="17"/>
        </w:rPr>
        <w:t xml:space="preserve">I(1) non-stationary </w:t>
      </w:r>
      <w:r>
        <w:rPr>
          <w:rFonts w:ascii="Segoe UI Symbol" w:hAnsi="Segoe UI Symbol" w:cs="Segoe UI Symbol"/>
          <w:color w:val="006300"/>
          <w:sz w:val="17"/>
          <w:szCs w:val="17"/>
        </w:rPr>
        <w:t>✓</w:t>
      </w:r>
    </w:p>
    <w:p w14:paraId="0CE45E9A" w14:textId="77777777" w:rsidR="00A276CE" w:rsidRDefault="00A276CE" w:rsidP="00A276CE">
      <w:pPr>
        <w:pStyle w:val="NormalWeb"/>
        <w:spacing w:before="30" w:beforeAutospacing="0" w:after="0" w:afterAutospacing="0"/>
        <w:rPr>
          <w:rFonts w:ascii="Segoe UI" w:hAnsi="Segoe UI" w:cs="Segoe UI"/>
          <w:color w:val="006300"/>
          <w:sz w:val="17"/>
          <w:szCs w:val="17"/>
        </w:rPr>
      </w:pPr>
    </w:p>
    <w:p w14:paraId="330CD3F5" w14:textId="77777777" w:rsidR="00A276CE" w:rsidRDefault="00A276CE" w:rsidP="00A276CE">
      <w:pPr>
        <w:pStyle w:val="NormalWeb"/>
        <w:spacing w:before="0" w:beforeAutospacing="0" w:after="60" w:afterAutospacing="0"/>
        <w:rPr>
          <w:rFonts w:ascii="Segoe UI" w:hAnsi="Segoe UI" w:cs="Segoe UI"/>
          <w:color w:val="52514E"/>
          <w:sz w:val="18"/>
          <w:szCs w:val="18"/>
        </w:rPr>
      </w:pPr>
      <w:r>
        <w:rPr>
          <w:rFonts w:ascii="Segoe UI" w:hAnsi="Segoe UI" w:cs="Segoe UI"/>
          <w:color w:val="52514E"/>
          <w:sz w:val="18"/>
          <w:szCs w:val="18"/>
        </w:rPr>
        <w:t>OLS hedge ratio</w:t>
      </w:r>
    </w:p>
    <w:p w14:paraId="0E2C2F14" w14:textId="77777777" w:rsidR="00A276CE" w:rsidRDefault="00A276CE" w:rsidP="00A276CE">
      <w:pPr>
        <w:pStyle w:val="NormalWeb"/>
        <w:spacing w:before="0" w:beforeAutospacing="0" w:after="0" w:afterAutospacing="0"/>
        <w:rPr>
          <w:rFonts w:ascii="Segoe UI" w:hAnsi="Segoe UI" w:cs="Segoe UI"/>
          <w:color w:val="0B0B0B"/>
          <w:sz w:val="30"/>
          <w:szCs w:val="30"/>
        </w:rPr>
      </w:pPr>
      <w:r>
        <w:rPr>
          <w:rFonts w:ascii="Segoe UI" w:hAnsi="Segoe UI" w:cs="Segoe UI"/>
          <w:color w:val="0B0B0B"/>
          <w:sz w:val="30"/>
          <w:szCs w:val="30"/>
        </w:rPr>
        <w:t>β = 0.724</w:t>
      </w:r>
    </w:p>
    <w:p w14:paraId="5016DA45" w14:textId="77777777" w:rsidR="00A276CE" w:rsidRDefault="00A276CE" w:rsidP="00A276CE">
      <w:pPr>
        <w:pStyle w:val="NormalWeb"/>
        <w:spacing w:before="30" w:beforeAutospacing="0" w:after="0" w:afterAutospacing="0"/>
        <w:rPr>
          <w:rFonts w:ascii="Segoe UI" w:hAnsi="Segoe UI" w:cs="Segoe UI"/>
          <w:color w:val="52514E"/>
          <w:sz w:val="17"/>
          <w:szCs w:val="17"/>
        </w:rPr>
      </w:pPr>
      <w:r>
        <w:rPr>
          <w:rFonts w:ascii="Segoe UI" w:hAnsi="Segoe UI" w:cs="Segoe UI"/>
          <w:color w:val="52514E"/>
          <w:sz w:val="17"/>
          <w:szCs w:val="17"/>
        </w:rPr>
        <w:t>R² = 0.984</w:t>
      </w:r>
    </w:p>
    <w:p w14:paraId="284C4E28" w14:textId="77777777" w:rsidR="00A276CE" w:rsidRDefault="00A276CE" w:rsidP="00A276CE">
      <w:pPr>
        <w:pStyle w:val="ListParagraph"/>
      </w:pPr>
    </w:p>
    <w:p w14:paraId="425262D4" w14:textId="77777777" w:rsidR="00A276CE" w:rsidRDefault="00A276CE" w:rsidP="00A276CE">
      <w:pPr>
        <w:pStyle w:val="NormalWeb"/>
        <w:spacing w:before="0" w:beforeAutospacing="0" w:after="60" w:afterAutospacing="0"/>
        <w:rPr>
          <w:rFonts w:ascii="Segoe UI" w:hAnsi="Segoe UI" w:cs="Segoe UI"/>
          <w:color w:val="52514E"/>
          <w:sz w:val="18"/>
          <w:szCs w:val="18"/>
        </w:rPr>
      </w:pPr>
      <w:r>
        <w:rPr>
          <w:rFonts w:ascii="Segoe UI" w:hAnsi="Segoe UI" w:cs="Segoe UI"/>
          <w:color w:val="52514E"/>
          <w:sz w:val="18"/>
          <w:szCs w:val="18"/>
        </w:rPr>
        <w:t>Log-return beta</w:t>
      </w:r>
    </w:p>
    <w:p w14:paraId="6DA628AB" w14:textId="77777777" w:rsidR="00A276CE" w:rsidRDefault="00A276CE" w:rsidP="00A276CE">
      <w:pPr>
        <w:pStyle w:val="NormalWeb"/>
        <w:spacing w:before="0" w:beforeAutospacing="0" w:after="0" w:afterAutospacing="0"/>
        <w:rPr>
          <w:rFonts w:ascii="Segoe UI" w:hAnsi="Segoe UI" w:cs="Segoe UI"/>
          <w:color w:val="0B0B0B"/>
          <w:sz w:val="30"/>
          <w:szCs w:val="30"/>
        </w:rPr>
      </w:pPr>
      <w:r>
        <w:rPr>
          <w:rFonts w:ascii="Segoe UI" w:hAnsi="Segoe UI" w:cs="Segoe UI"/>
          <w:color w:val="0B0B0B"/>
          <w:sz w:val="30"/>
          <w:szCs w:val="30"/>
        </w:rPr>
        <w:t>β = 1.233</w:t>
      </w:r>
    </w:p>
    <w:p w14:paraId="1A73172B" w14:textId="77777777" w:rsidR="00A276CE" w:rsidRDefault="00A276CE" w:rsidP="00A276CE">
      <w:pPr>
        <w:pStyle w:val="NormalWeb"/>
        <w:spacing w:before="30" w:beforeAutospacing="0" w:after="0" w:afterAutospacing="0"/>
        <w:rPr>
          <w:rFonts w:ascii="Segoe UI" w:hAnsi="Segoe UI" w:cs="Segoe UI"/>
          <w:color w:val="52514E"/>
          <w:sz w:val="17"/>
          <w:szCs w:val="17"/>
        </w:rPr>
      </w:pPr>
      <w:proofErr w:type="spellStart"/>
      <w:r>
        <w:rPr>
          <w:rFonts w:ascii="Segoe UI" w:hAnsi="Segoe UI" w:cs="Segoe UI"/>
          <w:color w:val="52514E"/>
          <w:sz w:val="17"/>
          <w:szCs w:val="17"/>
        </w:rPr>
        <w:t>corr</w:t>
      </w:r>
      <w:proofErr w:type="spellEnd"/>
      <w:r>
        <w:rPr>
          <w:rFonts w:ascii="Segoe UI" w:hAnsi="Segoe UI" w:cs="Segoe UI"/>
          <w:color w:val="52514E"/>
          <w:sz w:val="17"/>
          <w:szCs w:val="17"/>
        </w:rPr>
        <w:t xml:space="preserve"> = 0.88</w:t>
      </w:r>
    </w:p>
    <w:p w14:paraId="124B682C" w14:textId="77777777" w:rsidR="00A276CE" w:rsidRDefault="00A276CE" w:rsidP="00A276CE">
      <w:pPr>
        <w:pStyle w:val="ListParagraph"/>
      </w:pPr>
    </w:p>
    <w:p w14:paraId="3D8912D4" w14:textId="77777777" w:rsidR="00A276CE" w:rsidRDefault="00A276CE" w:rsidP="00A276CE">
      <w:pPr>
        <w:pStyle w:val="NormalWeb"/>
        <w:spacing w:before="0" w:beforeAutospacing="0" w:after="60" w:afterAutospacing="0"/>
        <w:rPr>
          <w:rFonts w:ascii="Segoe UI" w:hAnsi="Segoe UI" w:cs="Segoe UI"/>
          <w:color w:val="52514E"/>
          <w:sz w:val="18"/>
          <w:szCs w:val="18"/>
        </w:rPr>
      </w:pPr>
      <w:r>
        <w:rPr>
          <w:rFonts w:ascii="Segoe UI" w:hAnsi="Segoe UI" w:cs="Segoe UI"/>
          <w:color w:val="52514E"/>
          <w:sz w:val="18"/>
          <w:szCs w:val="18"/>
        </w:rPr>
        <w:t>Jan 2018 QQQ alpha</w:t>
      </w:r>
    </w:p>
    <w:p w14:paraId="4EA41213" w14:textId="77777777" w:rsidR="00A276CE" w:rsidRDefault="00A276CE" w:rsidP="00A276CE">
      <w:pPr>
        <w:pStyle w:val="NormalWeb"/>
        <w:spacing w:before="0" w:beforeAutospacing="0" w:after="0" w:afterAutospacing="0"/>
        <w:rPr>
          <w:rFonts w:ascii="Segoe UI" w:hAnsi="Segoe UI" w:cs="Segoe UI"/>
          <w:color w:val="734500"/>
          <w:sz w:val="30"/>
          <w:szCs w:val="30"/>
        </w:rPr>
      </w:pPr>
      <w:r>
        <w:rPr>
          <w:rFonts w:ascii="Segoe UI" w:hAnsi="Segoe UI" w:cs="Segoe UI"/>
          <w:color w:val="734500"/>
          <w:sz w:val="30"/>
          <w:szCs w:val="30"/>
        </w:rPr>
        <w:t>+137 bps</w:t>
      </w:r>
    </w:p>
    <w:p w14:paraId="0756528D" w14:textId="77777777" w:rsidR="00A276CE" w:rsidRDefault="00A276CE" w:rsidP="00A276CE">
      <w:pPr>
        <w:pStyle w:val="NormalWeb"/>
        <w:spacing w:before="30" w:beforeAutospacing="0" w:after="0" w:afterAutospacing="0"/>
        <w:rPr>
          <w:rFonts w:ascii="Segoe UI" w:hAnsi="Segoe UI" w:cs="Segoe UI"/>
          <w:color w:val="52514E"/>
          <w:sz w:val="17"/>
          <w:szCs w:val="17"/>
        </w:rPr>
      </w:pPr>
      <w:r>
        <w:rPr>
          <w:rFonts w:ascii="Segoe UI" w:hAnsi="Segoe UI" w:cs="Segoe UI"/>
          <w:color w:val="52514E"/>
          <w:sz w:val="17"/>
          <w:szCs w:val="17"/>
        </w:rPr>
        <w:t>over β×SPY</w:t>
      </w:r>
    </w:p>
    <w:p w14:paraId="1FEE39CD" w14:textId="77777777" w:rsidR="00A276CE" w:rsidRDefault="00A276CE" w:rsidP="00A276CE"/>
    <w:p w14:paraId="3AC02A3B" w14:textId="3EE204E6" w:rsidR="000409C1" w:rsidRPr="000409C1" w:rsidRDefault="000409C1" w:rsidP="000409C1">
      <w:pPr>
        <w:rPr>
          <w:b/>
          <w:bCs/>
          <w:u w:val="single"/>
        </w:rPr>
      </w:pPr>
      <w:r w:rsidRPr="000409C1">
        <w:rPr>
          <w:b/>
          <w:bCs/>
          <w:u w:val="single"/>
        </w:rPr>
        <w:t>Read theory on Co-Integration again</w:t>
      </w:r>
    </w:p>
    <w:p w14:paraId="79253DC6" w14:textId="77777777" w:rsidR="000409C1" w:rsidRDefault="000409C1" w:rsidP="000409C1">
      <w:pPr>
        <w:pStyle w:val="NormalWeb"/>
        <w:spacing w:before="0" w:beforeAutospacing="0" w:after="180" w:afterAutospacing="0"/>
        <w:rPr>
          <w:rFonts w:ascii="Segoe UI" w:hAnsi="Segoe UI" w:cs="Segoe UI"/>
          <w:color w:val="0B0B0B"/>
          <w:sz w:val="20"/>
          <w:szCs w:val="20"/>
        </w:rPr>
      </w:pPr>
      <w:r>
        <w:rPr>
          <w:rFonts w:ascii="Segoe UI" w:hAnsi="Segoe UI" w:cs="Segoe UI"/>
          <w:color w:val="0B0B0B"/>
          <w:sz w:val="20"/>
          <w:szCs w:val="20"/>
        </w:rPr>
        <w:t>Cointegration test results — QQQ/SPY (Jan 2018 1-min bars)</w:t>
      </w:r>
    </w:p>
    <w:p w14:paraId="24BFC613" w14:textId="77777777" w:rsidR="000409C1" w:rsidRDefault="000409C1" w:rsidP="000409C1">
      <w:pPr>
        <w:pStyle w:val="NormalWeb"/>
        <w:spacing w:before="0" w:beforeAutospacing="0" w:after="60" w:afterAutospacing="0"/>
        <w:jc w:val="center"/>
        <w:rPr>
          <w:rFonts w:ascii="Segoe UI" w:hAnsi="Segoe UI" w:cs="Segoe UI"/>
          <w:color w:val="8E2626"/>
          <w:sz w:val="17"/>
          <w:szCs w:val="17"/>
        </w:rPr>
      </w:pPr>
      <w:r>
        <w:rPr>
          <w:rFonts w:ascii="Segoe UI" w:hAnsi="Segoe UI" w:cs="Segoe UI"/>
          <w:color w:val="8E2626"/>
          <w:sz w:val="17"/>
          <w:szCs w:val="17"/>
        </w:rPr>
        <w:t>Engle-Granger</w:t>
      </w:r>
    </w:p>
    <w:p w14:paraId="6C1E8504" w14:textId="77777777" w:rsidR="000409C1" w:rsidRDefault="000409C1" w:rsidP="000409C1">
      <w:pPr>
        <w:pStyle w:val="NormalWeb"/>
        <w:spacing w:before="0" w:beforeAutospacing="0" w:after="0" w:afterAutospacing="0"/>
        <w:jc w:val="center"/>
        <w:rPr>
          <w:rFonts w:ascii="Segoe UI" w:hAnsi="Segoe UI" w:cs="Segoe UI"/>
          <w:color w:val="8E2626"/>
          <w:sz w:val="27"/>
          <w:szCs w:val="27"/>
        </w:rPr>
      </w:pPr>
      <w:r>
        <w:rPr>
          <w:rFonts w:ascii="Segoe UI" w:hAnsi="Segoe UI" w:cs="Segoe UI"/>
          <w:color w:val="8E2626"/>
          <w:sz w:val="27"/>
          <w:szCs w:val="27"/>
        </w:rPr>
        <w:t>p = 0.381</w:t>
      </w:r>
    </w:p>
    <w:p w14:paraId="69E1DA8B" w14:textId="77777777" w:rsidR="000409C1" w:rsidRDefault="000409C1" w:rsidP="000409C1">
      <w:pPr>
        <w:pStyle w:val="NormalWeb"/>
        <w:spacing w:before="60" w:beforeAutospacing="0" w:after="0" w:afterAutospacing="0"/>
        <w:jc w:val="center"/>
        <w:rPr>
          <w:rFonts w:ascii="Segoe UI" w:hAnsi="Segoe UI" w:cs="Segoe UI"/>
          <w:color w:val="8E2626"/>
          <w:sz w:val="17"/>
          <w:szCs w:val="17"/>
        </w:rPr>
      </w:pPr>
      <w:r>
        <w:rPr>
          <w:rFonts w:ascii="Segoe UI" w:hAnsi="Segoe UI" w:cs="Segoe UI"/>
          <w:color w:val="8E2626"/>
          <w:sz w:val="17"/>
          <w:szCs w:val="17"/>
        </w:rPr>
        <w:t xml:space="preserve">not cointegrated </w:t>
      </w:r>
      <w:r>
        <w:rPr>
          <w:rFonts w:ascii="Segoe UI Symbol" w:hAnsi="Segoe UI Symbol" w:cs="Segoe UI Symbol"/>
          <w:color w:val="8E2626"/>
          <w:sz w:val="17"/>
          <w:szCs w:val="17"/>
        </w:rPr>
        <w:t>✗</w:t>
      </w:r>
    </w:p>
    <w:p w14:paraId="1889FC83" w14:textId="77777777" w:rsidR="000409C1" w:rsidRDefault="000409C1" w:rsidP="000409C1">
      <w:pPr>
        <w:pStyle w:val="NormalWeb"/>
        <w:spacing w:before="0" w:beforeAutospacing="0" w:after="60" w:afterAutospacing="0"/>
        <w:jc w:val="center"/>
        <w:rPr>
          <w:rFonts w:ascii="Segoe UI" w:hAnsi="Segoe UI" w:cs="Segoe UI"/>
          <w:color w:val="8E2626"/>
          <w:sz w:val="17"/>
          <w:szCs w:val="17"/>
        </w:rPr>
      </w:pPr>
      <w:r>
        <w:rPr>
          <w:rFonts w:ascii="Segoe UI" w:hAnsi="Segoe UI" w:cs="Segoe UI"/>
          <w:color w:val="8E2626"/>
          <w:sz w:val="17"/>
          <w:szCs w:val="17"/>
        </w:rPr>
        <w:t>Johansen trace</w:t>
      </w:r>
    </w:p>
    <w:p w14:paraId="00A8E44B" w14:textId="77777777" w:rsidR="000409C1" w:rsidRDefault="000409C1" w:rsidP="000409C1">
      <w:pPr>
        <w:pStyle w:val="NormalWeb"/>
        <w:spacing w:before="0" w:beforeAutospacing="0" w:after="0" w:afterAutospacing="0"/>
        <w:jc w:val="center"/>
        <w:rPr>
          <w:rFonts w:ascii="Segoe UI" w:hAnsi="Segoe UI" w:cs="Segoe UI"/>
          <w:color w:val="8E2626"/>
          <w:sz w:val="27"/>
          <w:szCs w:val="27"/>
        </w:rPr>
      </w:pPr>
      <w:r>
        <w:rPr>
          <w:rFonts w:ascii="Segoe UI" w:hAnsi="Segoe UI" w:cs="Segoe UI"/>
          <w:color w:val="8E2626"/>
          <w:sz w:val="27"/>
          <w:szCs w:val="27"/>
        </w:rPr>
        <w:t>12.59 &lt; 15.49</w:t>
      </w:r>
    </w:p>
    <w:p w14:paraId="6A4AB549" w14:textId="77777777" w:rsidR="000409C1" w:rsidRDefault="000409C1" w:rsidP="000409C1">
      <w:pPr>
        <w:pStyle w:val="NormalWeb"/>
        <w:spacing w:before="60" w:beforeAutospacing="0" w:after="0" w:afterAutospacing="0"/>
        <w:jc w:val="center"/>
        <w:rPr>
          <w:rFonts w:ascii="Segoe UI" w:hAnsi="Segoe UI" w:cs="Segoe UI"/>
          <w:color w:val="8E2626"/>
          <w:sz w:val="17"/>
          <w:szCs w:val="17"/>
        </w:rPr>
      </w:pPr>
      <w:r>
        <w:rPr>
          <w:rFonts w:ascii="Segoe UI" w:hAnsi="Segoe UI" w:cs="Segoe UI"/>
          <w:color w:val="8E2626"/>
          <w:sz w:val="17"/>
          <w:szCs w:val="17"/>
        </w:rPr>
        <w:t>fail to reject H₀</w:t>
      </w:r>
    </w:p>
    <w:p w14:paraId="4F199985" w14:textId="77777777" w:rsidR="000409C1" w:rsidRDefault="000409C1" w:rsidP="000409C1">
      <w:pPr>
        <w:pStyle w:val="NormalWeb"/>
        <w:spacing w:before="0" w:beforeAutospacing="0" w:after="60" w:afterAutospacing="0"/>
        <w:jc w:val="center"/>
        <w:rPr>
          <w:rFonts w:ascii="Segoe UI" w:hAnsi="Segoe UI" w:cs="Segoe UI"/>
          <w:color w:val="734500"/>
          <w:sz w:val="17"/>
          <w:szCs w:val="17"/>
        </w:rPr>
      </w:pPr>
      <w:r>
        <w:rPr>
          <w:rFonts w:ascii="Segoe UI" w:hAnsi="Segoe UI" w:cs="Segoe UI"/>
          <w:color w:val="734500"/>
          <w:sz w:val="17"/>
          <w:szCs w:val="17"/>
        </w:rPr>
        <w:t>ADF on spread</w:t>
      </w:r>
    </w:p>
    <w:p w14:paraId="24236D1E" w14:textId="77777777" w:rsidR="000409C1" w:rsidRDefault="000409C1" w:rsidP="000409C1">
      <w:pPr>
        <w:pStyle w:val="NormalWeb"/>
        <w:spacing w:before="0" w:beforeAutospacing="0" w:after="0" w:afterAutospacing="0"/>
        <w:jc w:val="center"/>
        <w:rPr>
          <w:rFonts w:ascii="Segoe UI" w:hAnsi="Segoe UI" w:cs="Segoe UI"/>
          <w:color w:val="734500"/>
          <w:sz w:val="27"/>
          <w:szCs w:val="27"/>
        </w:rPr>
      </w:pPr>
      <w:r>
        <w:rPr>
          <w:rFonts w:ascii="Segoe UI" w:hAnsi="Segoe UI" w:cs="Segoe UI"/>
          <w:color w:val="734500"/>
          <w:sz w:val="27"/>
          <w:szCs w:val="27"/>
        </w:rPr>
        <w:t>p = 0.177</w:t>
      </w:r>
    </w:p>
    <w:p w14:paraId="7E1DDDA7" w14:textId="77777777" w:rsidR="000409C1" w:rsidRDefault="000409C1" w:rsidP="000409C1">
      <w:pPr>
        <w:pStyle w:val="NormalWeb"/>
        <w:spacing w:before="60" w:beforeAutospacing="0" w:after="0" w:afterAutospacing="0"/>
        <w:jc w:val="center"/>
        <w:rPr>
          <w:rFonts w:ascii="Segoe UI" w:hAnsi="Segoe UI" w:cs="Segoe UI"/>
          <w:color w:val="734500"/>
          <w:sz w:val="17"/>
          <w:szCs w:val="17"/>
        </w:rPr>
      </w:pPr>
      <w:r>
        <w:rPr>
          <w:rFonts w:ascii="Segoe UI" w:hAnsi="Segoe UI" w:cs="Segoe UI"/>
          <w:color w:val="734500"/>
          <w:sz w:val="17"/>
          <w:szCs w:val="17"/>
        </w:rPr>
        <w:t>non-stationary — 1 month only</w:t>
      </w:r>
    </w:p>
    <w:p w14:paraId="5ACD53FD" w14:textId="77777777" w:rsidR="000409C1" w:rsidRDefault="000409C1" w:rsidP="000409C1">
      <w:pPr>
        <w:pStyle w:val="NormalWeb"/>
        <w:spacing w:before="180" w:beforeAutospacing="0" w:after="0" w:afterAutospacing="0"/>
        <w:rPr>
          <w:rFonts w:ascii="Segoe UI" w:hAnsi="Segoe UI" w:cs="Segoe UI"/>
          <w:color w:val="52514E"/>
          <w:sz w:val="18"/>
          <w:szCs w:val="18"/>
        </w:rPr>
      </w:pPr>
      <w:r>
        <w:rPr>
          <w:rFonts w:ascii="Segoe UI" w:hAnsi="Segoe UI" w:cs="Segoe UI"/>
          <w:color w:val="52514E"/>
          <w:sz w:val="18"/>
          <w:szCs w:val="18"/>
        </w:rPr>
        <w:t>One month of data (8,190 bars) is insufficient power for cointegration tests. Typical minimum is 6–12 months. The pair is strongly correlated (R²=0.984) and theoretically cointegrated — tests will confirm with full 2018 data.</w:t>
      </w:r>
    </w:p>
    <w:p w14:paraId="3A07AEC0" w14:textId="77777777" w:rsidR="000409C1" w:rsidRDefault="000409C1" w:rsidP="00A276CE"/>
    <w:p w14:paraId="06973C41" w14:textId="77777777" w:rsidR="000409C1" w:rsidRDefault="000409C1" w:rsidP="000409C1">
      <w:pPr>
        <w:pStyle w:val="NormalWeb"/>
        <w:spacing w:before="0" w:beforeAutospacing="0" w:after="60" w:afterAutospacing="0"/>
        <w:rPr>
          <w:rFonts w:ascii="Segoe UI" w:hAnsi="Segoe UI" w:cs="Segoe UI"/>
          <w:color w:val="0B0B0B"/>
          <w:sz w:val="20"/>
          <w:szCs w:val="20"/>
        </w:rPr>
      </w:pPr>
      <w:r>
        <w:rPr>
          <w:rFonts w:ascii="Segoe UI" w:hAnsi="Segoe UI" w:cs="Segoe UI"/>
          <w:color w:val="0B0B0B"/>
          <w:sz w:val="20"/>
          <w:szCs w:val="20"/>
        </w:rPr>
        <w:t>ETF universe — cointegration candidates</w:t>
      </w:r>
    </w:p>
    <w:p w14:paraId="72EF37D7" w14:textId="77777777" w:rsidR="000409C1" w:rsidRDefault="000409C1" w:rsidP="000409C1">
      <w:pPr>
        <w:pStyle w:val="NormalWeb"/>
        <w:spacing w:before="0" w:beforeAutospacing="0" w:after="240" w:afterAutospacing="0"/>
        <w:rPr>
          <w:rFonts w:ascii="Segoe UI" w:hAnsi="Segoe UI" w:cs="Segoe UI"/>
          <w:color w:val="52514E"/>
          <w:sz w:val="18"/>
          <w:szCs w:val="18"/>
        </w:rPr>
      </w:pPr>
      <w:r>
        <w:rPr>
          <w:rFonts w:ascii="Segoe UI" w:hAnsi="Segoe UI" w:cs="Segoe UI"/>
          <w:color w:val="52514E"/>
          <w:sz w:val="18"/>
          <w:szCs w:val="18"/>
        </w:rPr>
        <w:t>Ranked by theoretical cointegration strength. Verify with ≥6 months of 1-min data.</w:t>
      </w:r>
    </w:p>
    <w:p w14:paraId="6CA4AB92" w14:textId="77777777" w:rsidR="00BC5462" w:rsidRPr="00BC5462" w:rsidRDefault="00BC5462" w:rsidP="00BC5462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898781"/>
          <w:spacing w:val="14"/>
          <w:kern w:val="0"/>
          <w14:ligatures w14:val="none"/>
        </w:rPr>
      </w:pPr>
      <w:r w:rsidRPr="00BC5462">
        <w:rPr>
          <w:rFonts w:ascii="Segoe UI" w:eastAsia="Times New Roman" w:hAnsi="Segoe UI" w:cs="Segoe UI"/>
          <w:b/>
          <w:bCs/>
          <w:caps/>
          <w:color w:val="898781"/>
          <w:spacing w:val="14"/>
          <w:kern w:val="0"/>
          <w14:ligatures w14:val="none"/>
        </w:rPr>
        <w:t>Tier 1 — near-arbitrage (same underlying)</w:t>
      </w:r>
    </w:p>
    <w:p w14:paraId="0456FD79" w14:textId="256E29FD" w:rsidR="00BC5462" w:rsidRPr="00BC5462" w:rsidRDefault="00BC5462" w:rsidP="00BC5462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BC5462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lastRenderedPageBreak/>
        <w:t>VOO / IVV</w:t>
      </w:r>
      <w:r w:rsidRPr="00BC5462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≈1.000β ≈ 1.00</w:t>
      </w:r>
      <w:r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.        </w:t>
      </w:r>
      <w:r w:rsidRPr="00BC5462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Two S&amp;P 500 trackers (Vanguard vs iShares) — structural arbitrage</w:t>
      </w:r>
      <w:r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 - </w:t>
      </w:r>
      <w:r w:rsidRPr="00BC5462">
        <w:rPr>
          <w:rFonts w:ascii="Segoe UI" w:eastAsia="Times New Roman" w:hAnsi="Segoe UI" w:cs="Segoe UI"/>
          <w:color w:val="006300"/>
          <w:kern w:val="0"/>
          <w:sz w:val="17"/>
          <w:szCs w:val="17"/>
          <w14:ligatures w14:val="none"/>
        </w:rPr>
        <w:t>near-arb</w:t>
      </w:r>
    </w:p>
    <w:p w14:paraId="1846C0FC" w14:textId="5D5CD762" w:rsidR="00BC5462" w:rsidRPr="00BC5462" w:rsidRDefault="00BC5462" w:rsidP="00BC5462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BC5462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GLD / IAU</w:t>
      </w:r>
      <w:r w:rsidRPr="00BC5462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≈0.999β ≈ 1.00</w:t>
      </w:r>
      <w:r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.         </w:t>
      </w:r>
      <w:r w:rsidRPr="00BC5462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SPDR Gold vs iShares Gold — same bars, tiny spread</w:t>
      </w:r>
      <w:r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 - </w:t>
      </w:r>
      <w:r w:rsidRPr="00BC5462">
        <w:rPr>
          <w:rFonts w:ascii="Segoe UI" w:eastAsia="Times New Roman" w:hAnsi="Segoe UI" w:cs="Segoe UI"/>
          <w:color w:val="006300"/>
          <w:kern w:val="0"/>
          <w:sz w:val="17"/>
          <w:szCs w:val="17"/>
          <w14:ligatures w14:val="none"/>
        </w:rPr>
        <w:t>near-arb</w:t>
      </w:r>
    </w:p>
    <w:p w14:paraId="3DDC06B1" w14:textId="77777777" w:rsidR="000409C1" w:rsidRDefault="000409C1" w:rsidP="00A276CE"/>
    <w:p w14:paraId="799949BB" w14:textId="77777777" w:rsidR="0009794F" w:rsidRPr="0009794F" w:rsidRDefault="0009794F" w:rsidP="0009794F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898781"/>
          <w:spacing w:val="14"/>
          <w:kern w:val="0"/>
          <w14:ligatures w14:val="none"/>
        </w:rPr>
      </w:pPr>
      <w:r w:rsidRPr="0009794F">
        <w:rPr>
          <w:rFonts w:ascii="Segoe UI" w:eastAsia="Times New Roman" w:hAnsi="Segoe UI" w:cs="Segoe UI"/>
          <w:b/>
          <w:bCs/>
          <w:caps/>
          <w:color w:val="898781"/>
          <w:spacing w:val="14"/>
          <w:kern w:val="0"/>
          <w14:ligatures w14:val="none"/>
        </w:rPr>
        <w:t>Tier 2 — strong structural link</w:t>
      </w:r>
    </w:p>
    <w:p w14:paraId="7EF7D2EF" w14:textId="77777777" w:rsidR="0009794F" w:rsidRPr="0009794F" w:rsidRDefault="0009794F" w:rsidP="0009794F">
      <w:pPr>
        <w:spacing w:after="0" w:line="240" w:lineRule="auto"/>
        <w:rPr>
          <w:rFonts w:ascii="Segoe UI" w:eastAsia="Times New Roman" w:hAnsi="Segoe UI" w:cs="Segoe UI"/>
          <w:caps/>
          <w:color w:val="898781"/>
          <w:spacing w:val="14"/>
          <w:kern w:val="0"/>
          <w14:ligatures w14:val="none"/>
        </w:rPr>
      </w:pPr>
    </w:p>
    <w:p w14:paraId="08AE7915" w14:textId="7E7F1445" w:rsidR="0009794F" w:rsidRPr="0009794F" w:rsidRDefault="0009794F" w:rsidP="0009794F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09794F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XLK / QQQ</w:t>
      </w:r>
      <w:r w:rsidRPr="0009794F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≈0.980β ≈ 0.72Tech sector SPDR vs Nasdaq 100 — near-complete overlap, tightest spread</w:t>
      </w:r>
      <w:r w:rsidR="000F747C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 </w:t>
      </w:r>
      <w:r w:rsidRPr="0009794F">
        <w:rPr>
          <w:rFonts w:ascii="Segoe UI" w:eastAsia="Times New Roman" w:hAnsi="Segoe UI" w:cs="Segoe UI"/>
          <w:color w:val="184F95"/>
          <w:kern w:val="0"/>
          <w:sz w:val="17"/>
          <w:szCs w:val="17"/>
          <w14:ligatures w14:val="none"/>
        </w:rPr>
        <w:t>priority 1</w:t>
      </w:r>
    </w:p>
    <w:p w14:paraId="2867CE8E" w14:textId="6C3985FD" w:rsidR="0009794F" w:rsidRPr="0009794F" w:rsidRDefault="0009794F" w:rsidP="0009794F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09794F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TLT / IEF</w:t>
      </w:r>
      <w:r w:rsidRPr="0009794F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≈0.970β ≈ 0.7020yr vs 7-10yr Treasuries — duration pair, decorrelated from equity</w:t>
      </w:r>
      <w:r w:rsidR="000F747C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 </w:t>
      </w:r>
      <w:r w:rsidRPr="0009794F">
        <w:rPr>
          <w:rFonts w:ascii="Segoe UI" w:eastAsia="Times New Roman" w:hAnsi="Segoe UI" w:cs="Segoe UI"/>
          <w:color w:val="006300"/>
          <w:kern w:val="0"/>
          <w:sz w:val="17"/>
          <w:szCs w:val="17"/>
          <w14:ligatures w14:val="none"/>
        </w:rPr>
        <w:t>strong</w:t>
      </w:r>
    </w:p>
    <w:p w14:paraId="316BF2B5" w14:textId="77777777" w:rsidR="0009794F" w:rsidRPr="0009794F" w:rsidRDefault="0009794F" w:rsidP="0009794F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09794F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QQQ / SPY</w:t>
      </w:r>
      <w:r w:rsidRPr="0009794F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≈0.960β = 1.233Nasdaq 100 vs S&amp;P 500 — current </w:t>
      </w:r>
      <w:proofErr w:type="spellStart"/>
      <w:r w:rsidRPr="0009794F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backtest</w:t>
      </w:r>
      <w:proofErr w:type="spellEnd"/>
      <w:r w:rsidRPr="0009794F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 pair, data </w:t>
      </w:r>
      <w:proofErr w:type="spellStart"/>
      <w:r w:rsidRPr="0009794F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verified</w:t>
      </w:r>
      <w:r w:rsidRPr="0009794F">
        <w:rPr>
          <w:rFonts w:ascii="Segoe UI" w:eastAsia="Times New Roman" w:hAnsi="Segoe UI" w:cs="Segoe UI"/>
          <w:color w:val="184F95"/>
          <w:kern w:val="0"/>
          <w:sz w:val="17"/>
          <w:szCs w:val="17"/>
          <w14:ligatures w14:val="none"/>
        </w:rPr>
        <w:t>in</w:t>
      </w:r>
      <w:proofErr w:type="spellEnd"/>
      <w:r w:rsidRPr="0009794F">
        <w:rPr>
          <w:rFonts w:ascii="Segoe UI" w:eastAsia="Times New Roman" w:hAnsi="Segoe UI" w:cs="Segoe UI"/>
          <w:color w:val="184F95"/>
          <w:kern w:val="0"/>
          <w:sz w:val="17"/>
          <w:szCs w:val="17"/>
          <w14:ligatures w14:val="none"/>
        </w:rPr>
        <w:t xml:space="preserve"> progress</w:t>
      </w:r>
    </w:p>
    <w:p w14:paraId="154ACA6C" w14:textId="77777777" w:rsidR="0009794F" w:rsidRPr="0009794F" w:rsidRDefault="0009794F" w:rsidP="0009794F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09794F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MDY / SPY</w:t>
      </w:r>
      <w:r w:rsidRPr="0009794F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≈0.950β ≈ 0.85S&amp;P 400 mid-cap vs S&amp;P 500 — size-factor pair, stable </w:t>
      </w:r>
      <w:proofErr w:type="spellStart"/>
      <w:r w:rsidRPr="0009794F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relationship</w:t>
      </w:r>
      <w:r w:rsidRPr="0009794F">
        <w:rPr>
          <w:rFonts w:ascii="Segoe UI" w:eastAsia="Times New Roman" w:hAnsi="Segoe UI" w:cs="Segoe UI"/>
          <w:color w:val="006300"/>
          <w:kern w:val="0"/>
          <w:sz w:val="17"/>
          <w:szCs w:val="17"/>
          <w14:ligatures w14:val="none"/>
        </w:rPr>
        <w:t>strong</w:t>
      </w:r>
      <w:proofErr w:type="spellEnd"/>
    </w:p>
    <w:p w14:paraId="47BC3740" w14:textId="77777777" w:rsidR="0009794F" w:rsidRDefault="0009794F" w:rsidP="00A276CE"/>
    <w:p w14:paraId="3211CE0C" w14:textId="6B36847A" w:rsidR="000F747C" w:rsidRDefault="000F747C" w:rsidP="00A276CE">
      <w:pPr>
        <w:rPr>
          <w:rFonts w:ascii="Segoe UI" w:hAnsi="Segoe UI" w:cs="Segoe UI"/>
          <w:b/>
          <w:bCs/>
          <w:caps/>
          <w:color w:val="898781"/>
          <w:spacing w:val="10"/>
          <w:sz w:val="22"/>
          <w:szCs w:val="22"/>
        </w:rPr>
      </w:pPr>
      <w:r w:rsidRPr="000F747C">
        <w:rPr>
          <w:rFonts w:ascii="Segoe UI" w:hAnsi="Segoe UI" w:cs="Segoe UI"/>
          <w:b/>
          <w:bCs/>
          <w:caps/>
          <w:color w:val="898781"/>
          <w:spacing w:val="10"/>
          <w:sz w:val="22"/>
          <w:szCs w:val="22"/>
        </w:rPr>
        <w:t>Tier 3 — good with more data</w:t>
      </w:r>
    </w:p>
    <w:p w14:paraId="7E93F2A3" w14:textId="086B8066" w:rsidR="000F747C" w:rsidRPr="000F747C" w:rsidRDefault="000F747C" w:rsidP="000F747C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0F747C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IWM / SPY</w:t>
      </w:r>
      <w:r w:rsidRPr="000F747C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≈0.900β ≈ 0.80Russell 2000 vs S&amp;P 500 — size divergence creates wider, tradeable spread</w:t>
      </w:r>
      <w:r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 </w:t>
      </w:r>
      <w:r w:rsidRPr="000F747C">
        <w:rPr>
          <w:rFonts w:ascii="Segoe UI" w:eastAsia="Times New Roman" w:hAnsi="Segoe UI" w:cs="Segoe UI"/>
          <w:color w:val="734500"/>
          <w:kern w:val="0"/>
          <w:sz w:val="17"/>
          <w:szCs w:val="17"/>
          <w14:ligatures w14:val="none"/>
        </w:rPr>
        <w:t>moderate</w:t>
      </w:r>
    </w:p>
    <w:p w14:paraId="0CD05A7E" w14:textId="1F29847A" w:rsidR="000F747C" w:rsidRPr="000F747C" w:rsidRDefault="000F747C" w:rsidP="000F747C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0F747C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XLF / KRE</w:t>
      </w:r>
      <w:r w:rsidRPr="000F747C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≈0.920β ≈ 1.40Financials ETF vs Regional Banks — sub-sector pair</w:t>
      </w:r>
      <w:r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 </w:t>
      </w:r>
      <w:r w:rsidRPr="000F747C">
        <w:rPr>
          <w:rFonts w:ascii="Segoe UI" w:eastAsia="Times New Roman" w:hAnsi="Segoe UI" w:cs="Segoe UI"/>
          <w:color w:val="734500"/>
          <w:kern w:val="0"/>
          <w:sz w:val="17"/>
          <w:szCs w:val="17"/>
          <w14:ligatures w14:val="none"/>
        </w:rPr>
        <w:t>moderate</w:t>
      </w:r>
    </w:p>
    <w:p w14:paraId="302C503E" w14:textId="16CBF15F" w:rsidR="000F747C" w:rsidRPr="000F747C" w:rsidRDefault="000F747C" w:rsidP="000F747C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0F747C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XLE / OIH</w:t>
      </w:r>
      <w:r w:rsidRPr="000F747C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≈0.930β ≈ 1.10Energy sector vs Oil &amp; Gas equipment — commodity-driven cointegration</w:t>
      </w:r>
      <w:r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 xml:space="preserve"> </w:t>
      </w:r>
      <w:r w:rsidRPr="000F747C">
        <w:rPr>
          <w:rFonts w:ascii="Segoe UI" w:eastAsia="Times New Roman" w:hAnsi="Segoe UI" w:cs="Segoe UI"/>
          <w:color w:val="734500"/>
          <w:kern w:val="0"/>
          <w:sz w:val="17"/>
          <w:szCs w:val="17"/>
          <w14:ligatures w14:val="none"/>
        </w:rPr>
        <w:t>moderate</w:t>
      </w:r>
    </w:p>
    <w:p w14:paraId="2F0F2467" w14:textId="77777777" w:rsidR="000F747C" w:rsidRPr="000F747C" w:rsidRDefault="000F747C" w:rsidP="000F747C">
      <w:pPr>
        <w:spacing w:after="0" w:line="240" w:lineRule="auto"/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</w:pPr>
      <w:r w:rsidRPr="000F747C">
        <w:rPr>
          <w:rFonts w:ascii="Segoe UI" w:eastAsia="Times New Roman" w:hAnsi="Segoe UI" w:cs="Segoe UI"/>
          <w:color w:val="0B0B0B"/>
          <w:kern w:val="0"/>
          <w:sz w:val="20"/>
          <w:szCs w:val="20"/>
          <w14:ligatures w14:val="none"/>
        </w:rPr>
        <w:t>SLV / GLD</w:t>
      </w:r>
      <w:r w:rsidRPr="000F747C">
        <w:rPr>
          <w:rFonts w:ascii="Segoe UI" w:eastAsia="Times New Roman" w:hAnsi="Segoe UI" w:cs="Segoe UI"/>
          <w:color w:val="52514E"/>
          <w:kern w:val="0"/>
          <w:sz w:val="18"/>
          <w:szCs w:val="18"/>
          <w14:ligatures w14:val="none"/>
        </w:rPr>
        <w:t>≈0.850β ≈ 0.50Silver vs Gold — wider spread, higher mean-reversion speed, classic pair</w:t>
      </w:r>
    </w:p>
    <w:p w14:paraId="06382D67" w14:textId="77777777" w:rsidR="000F747C" w:rsidRDefault="000F747C" w:rsidP="00A276CE">
      <w:pPr>
        <w:rPr>
          <w:b/>
          <w:bCs/>
          <w:sz w:val="22"/>
          <w:szCs w:val="22"/>
        </w:rPr>
      </w:pPr>
    </w:p>
    <w:p w14:paraId="66F952FE" w14:textId="77777777" w:rsidR="000F747C" w:rsidRPr="000F747C" w:rsidRDefault="000F747C" w:rsidP="000F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pair priority ranking for your </w:t>
      </w:r>
      <w:proofErr w:type="spellStart"/>
      <w:r w:rsidRPr="000F7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</w:t>
      </w:r>
      <w:proofErr w:type="spellEnd"/>
      <w:r w:rsidRPr="000F7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expansion: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060"/>
        <w:gridCol w:w="6568"/>
      </w:tblGrid>
      <w:tr w:rsidR="000F747C" w:rsidRPr="000F747C" w14:paraId="7EC11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B670" w14:textId="77777777" w:rsidR="000F747C" w:rsidRPr="000F747C" w:rsidRDefault="000F747C" w:rsidP="000F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4F0AA33" w14:textId="77777777" w:rsidR="000F747C" w:rsidRPr="000F747C" w:rsidRDefault="000F747C" w:rsidP="000F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3FBE3341" w14:textId="77777777" w:rsidR="000F747C" w:rsidRPr="000F747C" w:rsidRDefault="000F747C" w:rsidP="000F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Why first</w:t>
            </w:r>
          </w:p>
        </w:tc>
      </w:tr>
      <w:tr w:rsidR="000F747C" w:rsidRPr="000F747C" w14:paraId="37BE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19D0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7D19F3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XLK / QQQ</w:t>
            </w:r>
          </w:p>
        </w:tc>
        <w:tc>
          <w:tcPr>
            <w:tcW w:w="0" w:type="auto"/>
            <w:vAlign w:val="center"/>
            <w:hideMark/>
          </w:tcPr>
          <w:p w14:paraId="395973DE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Highest structural overlap, tightest spread — best mean-reversion signal-to-noise</w:t>
            </w:r>
          </w:p>
        </w:tc>
      </w:tr>
      <w:tr w:rsidR="000F747C" w:rsidRPr="000F747C" w14:paraId="3984C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5666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B14193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QQQ / SPY</w:t>
            </w:r>
          </w:p>
        </w:tc>
        <w:tc>
          <w:tcPr>
            <w:tcW w:w="0" w:type="auto"/>
            <w:vAlign w:val="center"/>
            <w:hideMark/>
          </w:tcPr>
          <w:p w14:paraId="262D78EC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Already built, fix EOD bugs, run full 2018</w:t>
            </w:r>
          </w:p>
        </w:tc>
      </w:tr>
      <w:tr w:rsidR="000F747C" w:rsidRPr="000F747C" w14:paraId="15F6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1351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A0E46B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TLT / IEF</w:t>
            </w:r>
          </w:p>
        </w:tc>
        <w:tc>
          <w:tcPr>
            <w:tcW w:w="0" w:type="auto"/>
            <w:vAlign w:val="center"/>
            <w:hideMark/>
          </w:tcPr>
          <w:p w14:paraId="7967961D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Duration pair — completely decorrelated from equity, adds diversification</w:t>
            </w:r>
          </w:p>
        </w:tc>
      </w:tr>
      <w:tr w:rsidR="000F747C" w:rsidRPr="000F747C" w14:paraId="4FCA6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7169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4A94D3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IWM / SPY</w:t>
            </w:r>
          </w:p>
        </w:tc>
        <w:tc>
          <w:tcPr>
            <w:tcW w:w="0" w:type="auto"/>
            <w:vAlign w:val="center"/>
            <w:hideMark/>
          </w:tcPr>
          <w:p w14:paraId="653C27A9" w14:textId="77777777" w:rsidR="000F747C" w:rsidRPr="000F747C" w:rsidRDefault="000F747C" w:rsidP="000F74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F74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Size-factor spread widens in risk-off regimes — best regime-diversity addition</w:t>
            </w:r>
          </w:p>
        </w:tc>
      </w:tr>
    </w:tbl>
    <w:p w14:paraId="3CF81FC0" w14:textId="77777777" w:rsidR="000F747C" w:rsidRPr="000F747C" w:rsidRDefault="000F747C" w:rsidP="00A276CE">
      <w:pPr>
        <w:rPr>
          <w:b/>
          <w:bCs/>
          <w:sz w:val="22"/>
          <w:szCs w:val="22"/>
        </w:rPr>
      </w:pPr>
    </w:p>
    <w:sectPr w:rsidR="000F747C" w:rsidRPr="000F7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574335"/>
    <w:multiLevelType w:val="hybridMultilevel"/>
    <w:tmpl w:val="3F7E3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0512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94"/>
    <w:rsid w:val="000409C1"/>
    <w:rsid w:val="0009794F"/>
    <w:rsid w:val="000B6C13"/>
    <w:rsid w:val="000F747C"/>
    <w:rsid w:val="00290B14"/>
    <w:rsid w:val="003006C0"/>
    <w:rsid w:val="003E0194"/>
    <w:rsid w:val="00651E93"/>
    <w:rsid w:val="008F102F"/>
    <w:rsid w:val="00A276CE"/>
    <w:rsid w:val="00BC5462"/>
    <w:rsid w:val="00C70F86"/>
    <w:rsid w:val="00C83C02"/>
    <w:rsid w:val="00D52699"/>
    <w:rsid w:val="00DA49D5"/>
    <w:rsid w:val="00F9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87FD4"/>
  <w15:chartTrackingRefBased/>
  <w15:docId w15:val="{E157218D-CD2A-D342-94F4-720E2406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7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adge">
    <w:name w:val="badge"/>
    <w:basedOn w:val="DefaultParagraphFont"/>
    <w:rsid w:val="00BC5462"/>
  </w:style>
  <w:style w:type="paragraph" w:customStyle="1" w:styleId="font-claude-response-body">
    <w:name w:val="font-claude-response-body"/>
    <w:basedOn w:val="Normal"/>
    <w:rsid w:val="000F7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7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295</Words>
  <Characters>2043</Characters>
  <Application>Microsoft Office Word</Application>
  <DocSecurity>0</DocSecurity>
  <Lines>26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Shihan Weerathunga</dc:creator>
  <cp:keywords/>
  <dc:description/>
  <cp:lastModifiedBy>Shihan Weerathunga</cp:lastModifiedBy>
  <cp:revision>6</cp:revision>
  <dcterms:created xsi:type="dcterms:W3CDTF">2026-08-03T18:33:00Z</dcterms:created>
  <dcterms:modified xsi:type="dcterms:W3CDTF">2026-08-19T13:46:00Z</dcterms:modified>
</cp:coreProperties>
</file>