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commerceos企业经营管理端详细需求文档prd"/>
    <w:p>
      <w:pPr>
        <w:pStyle w:val="Heading1"/>
        <w:keepNext/>
      </w:pPr>
      <w:r>
        <w:rPr>
          <w:rFonts w:eastAsia="Noto Sans CJK SC"/>
        </w:rPr>
        <w:t xml:space="preserve">CommerceOS｜企业经营管理端详细需求文档（PRD）</w:t>
      </w:r>
    </w:p>
    <w:p>
      <w:pPr>
        <w:pStyle w:val="BlockText"/>
      </w:pPr>
      <w:r>
        <w:rPr>
          <w:rFonts w:eastAsia="Noto Sans CJK SC"/>
        </w:rPr>
        <w:t xml:space="preserve">文档编号：CO-BIZ-PRD-001　版本：v1.0（设计基线）　编制日期：2026-10-21</w:t>
      </w:r>
      <w:r>
        <w:rPr>
          <w:rFonts w:eastAsia="Noto Sans CJK SC"/>
        </w:rPr>
        <w:br/>
      </w:r>
      <w:r>
        <w:rPr>
          <w:rFonts w:eastAsia="Noto Sans CJK SC"/>
        </w:rPr>
        <w:t xml:space="preserve">适用范围：企业员工 Web 端 / 桌面优先，平板可用；ERP（S1）、AI 智能经营（S3）、独立 OMS（E1）的统一入口与各自工作区。</w:t>
      </w:r>
      <w:r>
        <w:rPr>
          <w:rFonts w:eastAsia="Noto Sans CJK SC"/>
        </w:rPr>
        <w:br/>
      </w:r>
      <w:r>
        <w:rPr>
          <w:rFonts w:eastAsia="Noto Sans CJK SC"/>
        </w:rPr>
        <w:t xml:space="preserve">依据：原总体需求 v0.3、功能清单 B01–B31 / A01–A12 / P01–P07 / O01–O07 和五系统演示原型。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状态说明</w:t>
      </w:r>
      <w:r>
        <w:rPr>
          <w:rFonts w:eastAsia="Noto Sans CJK SC"/>
        </w:rPr>
        <w:t xml:space="preserve">：本文件既包含可复用的既有功能，也包含拟新增的 UI 和集成契约；</w:t>
      </w:r>
      <w:r>
        <w:rPr>
          <w:rFonts w:eastAsia="Noto Sans CJK SC"/>
        </w:rPr>
        <w:t xml:space="preserve">“</w:t>
      </w:r>
      <w:r>
        <w:rPr>
          <w:rFonts w:eastAsia="Noto Sans CJK SC"/>
        </w:rPr>
        <w:t xml:space="preserve">目标功能</w:t>
      </w:r>
      <w:r>
        <w:rPr>
          <w:rFonts w:eastAsia="Noto Sans CJK SC"/>
        </w:rPr>
        <w:t xml:space="preserve">”</w:t>
      </w:r>
      <w:r>
        <w:rPr>
          <w:rFonts w:eastAsia="Noto Sans CJK SC"/>
        </w:rPr>
        <w:t xml:space="preserve">并不代表已实现或已验收。</w:t>
      </w:r>
    </w:p>
    <w:bookmarkStart w:id="23" w:name="产品定位与目标"/>
    <w:p>
      <w:pPr>
        <w:pStyle w:val="Heading2"/>
        <w:keepNext/>
      </w:pPr>
      <w:r>
        <w:rPr>
          <w:rFonts w:eastAsia="Noto Sans CJK SC"/>
        </w:rPr>
        <w:t xml:space="preserve">1. 产品定位与目标</w:t>
      </w:r>
    </w:p>
    <w:bookmarkStart w:id="20" w:name="背景"/>
    <w:p>
      <w:pPr>
        <w:pStyle w:val="Heading3"/>
        <w:keepNext/>
      </w:pPr>
      <w:r>
        <w:rPr>
          <w:rFonts w:eastAsia="Noto Sans CJK SC"/>
        </w:rPr>
        <w:t xml:space="preserve">1.1 背景</w:t>
      </w:r>
    </w:p>
    <w:p>
      <w:pPr>
        <w:pStyle w:val="FirstParagraph"/>
      </w:pPr>
      <w:r>
        <w:rPr>
          <w:rFonts w:eastAsia="Noto Sans CJK SC"/>
        </w:rPr>
        <w:t xml:space="preserve">企业运营人员需要在商品、Listing、订单、库存、采购、广告、财务和客服之间反复切换。既有 ERP 能承载权威数据与确定性业务流程，但跨域诊断依赖人工汇总。现有独立 OMS 已覆盖订单与履约，但与 ERP 的数据主权和同步仍需要明确。AI 经营系统通过 LIM 能力辅助诊断和草拟策略，而不是替代 ERP 写库或自动提交外部平台操作。</w:t>
      </w:r>
    </w:p>
    <w:bookmarkEnd w:id="20"/>
    <w:bookmarkStart w:id="21" w:name="端的范围一个员工入口三个独立工作区"/>
    <w:p>
      <w:pPr>
        <w:pStyle w:val="Heading3"/>
        <w:keepNext/>
      </w:pPr>
      <w:r>
        <w:rPr>
          <w:rFonts w:eastAsia="Noto Sans CJK SC"/>
        </w:rPr>
        <w:t xml:space="preserve">1.2 端的范围：一个员工入口，三个独立工作区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55"/>
        <w:gridCol w:w="1987"/>
        <w:gridCol w:w="2520"/>
        <w:gridCol w:w="3974"/>
      </w:tblGrid>
      <w:tr>
        <w:trPr>
          <w:tblHeader w:val="on"/>
          <w:tblHeader w:val="true"/>
        </w:trPr>
        <w:tc>
          <w:tcPr>
            <w:tcW w:type="dxa" w:w="1555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工作区</w:t>
            </w:r>
          </w:p>
        </w:tc>
        <w:tc>
          <w:tcPr>
            <w:tcW w:type="dxa" w:w="1987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产品系统</w:t>
            </w:r>
          </w:p>
        </w:tc>
        <w:tc>
          <w:tcPr>
            <w:tcW w:type="dxa" w:w="2520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路由建议</w:t>
            </w:r>
          </w:p>
        </w:tc>
        <w:tc>
          <w:tcPr>
            <w:tcW w:type="dxa" w:w="3974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责任与边界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 Workspace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S1 ERP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/erp/*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商品、订单、库存、采购、财务等权威状态；业务规则、权限、金额计算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AI Operations Workspace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S3 AI 智能经营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/ai/*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智能问题诊断、专业 Agent 工作流、证据展示、操作提案与审批待办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OMS Workspace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E1 独立 OMS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/oms/*</w:t>
            </w:r>
            <w:r>
              <w:rPr>
                <w:rFonts w:ascii="Noto Sans CJK SC" w:hAnsi="Noto Sans CJK SC" w:eastAsia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/>
                <w:sz w:val="15"/>
              </w:rPr>
              <w:t xml:space="preserve">或独立域名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订单处理、履约、售后、客户；保留独立身份/数据库边界，按接口契约集成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应用入口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企业门户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/workspace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当前用户可访问系统、角色、店铺/国家上下文、跨系统深链</w:t>
            </w:r>
          </w:p>
        </w:tc>
      </w:tr>
    </w:tbl>
    <w:p>
      <w:pPr>
        <w:pStyle w:val="BodyText"/>
      </w:pPr>
      <w:r>
        <w:rPr>
          <w:rFonts w:eastAsia="Noto Sans CJK SC"/>
          <w:b/>
          <w:bCs/>
        </w:rPr>
        <w:t xml:space="preserve">不属于本端：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模型密钥、Tool Schema 编辑、Prompt 版本发布、评测门禁及底层记忆管理（属于 AI 平台管理端）；消费者下单页面（属于商城端）。</w:t>
      </w:r>
    </w:p>
    <w:bookmarkEnd w:id="21"/>
    <w:bookmarkStart w:id="22" w:name="目标与非目标"/>
    <w:p>
      <w:pPr>
        <w:pStyle w:val="Heading3"/>
        <w:keepNext/>
      </w:pPr>
      <w:r>
        <w:rPr>
          <w:rFonts w:eastAsia="Noto Sans CJK SC"/>
        </w:rPr>
        <w:t xml:space="preserve">1.3 目标与非目标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SC"/>
        </w:rPr>
        <w:t xml:space="preserve">G1：让用户从统一入口进入有权限的系统，保留店铺/站点范围，无权限页面不可见且服务端拒绝访问。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SC"/>
        </w:rPr>
        <w:t xml:space="preserve">G2：业务列表、详情、单据流转与审计使用当前 ERP/OMS 权威服务，减少重复前端建设。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SC"/>
        </w:rPr>
        <w:t xml:space="preserve">G3：至少一条跨域 AI 诊断从“问题→证据→建议→审核”全程可解释、可返回原始业务单据。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SC"/>
        </w:rPr>
        <w:t xml:space="preserve">G4：所有涉及订单、库存、采购、价格和广告预算的写入必须经业务系统验证，不使用 LLM 的推断值直接提交。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SC"/>
        </w:rPr>
        <w:t xml:space="preserve">不承诺：一开始即打通所有渠道 API、OMS/ERP 自动双向同步、无审批自主执行、跨币种直接求和。</w:t>
      </w:r>
    </w:p>
    <w:bookmarkEnd w:id="22"/>
    <w:bookmarkEnd w:id="23"/>
    <w:bookmarkStart w:id="24" w:name="用户角色权限与工作空间"/>
    <w:p>
      <w:pPr>
        <w:pStyle w:val="Heading2"/>
        <w:keepNext/>
      </w:pPr>
      <w:r>
        <w:rPr>
          <w:rFonts w:eastAsia="Noto Sans CJK SC"/>
        </w:rPr>
        <w:t xml:space="preserve">2. 用户角色、权限与工作空间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55"/>
        <w:gridCol w:w="1987"/>
        <w:gridCol w:w="2520"/>
        <w:gridCol w:w="3974"/>
      </w:tblGrid>
      <w:tr>
        <w:trPr>
          <w:tblHeader w:val="on"/>
          <w:tblHeader w:val="true"/>
        </w:trPr>
        <w:tc>
          <w:tcPr>
            <w:tcW w:type="dxa" w:w="1555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角色</w:t>
            </w:r>
          </w:p>
        </w:tc>
        <w:tc>
          <w:tcPr>
            <w:tcW w:type="dxa" w:w="1987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默认工作区</w:t>
            </w:r>
          </w:p>
        </w:tc>
        <w:tc>
          <w:tcPr>
            <w:tcW w:type="dxa" w:w="2520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可见能力</w:t>
            </w:r>
          </w:p>
        </w:tc>
        <w:tc>
          <w:tcPr>
            <w:tcW w:type="dxa" w:w="3974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严格限制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企业管理员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 / AI / 可选 OMS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用户、角色、店铺、审计、配置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不能绕过业务审批、不能查看无授权租户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经营管理者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 / AI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KPI、跨域分析、提案审批、部门待办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按授权区域、店铺、财务字段查看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运营/商品专员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 / AI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商品、Listing、活动、内容审查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不得操作财务敏感数据和未授权店铺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采购专员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 / AI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供应商、采购建议、采购草稿、订单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审批权与提案编辑权分离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库存/仓储专员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 / OMS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在库、预留、入出库、物流信息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必须遵循库存状态和并发锁定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财务人员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 / AI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费用核对、收款凭证、利润复算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不得以模型建议替代凭证核验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订单/客服专员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OMS / ERP / AI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履约、售后、客户、回复草稿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退款/发送对外回复须独立授权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只读审计人员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各系统只读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审计轨迹、输入输出快照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不可执行写操作或修改历史证据</w:t>
            </w:r>
          </w:p>
        </w:tc>
      </w:tr>
    </w:tbl>
    <w:p>
      <w:pPr>
        <w:pStyle w:val="BodyText"/>
      </w:pPr>
      <w:r>
        <w:rPr>
          <w:rFonts w:eastAsia="Noto Sans CJK SC"/>
          <w:b/>
          <w:bCs/>
        </w:rPr>
        <w:t xml:space="preserve">鉴权规则：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统一身份可采用 SSO 目标方案，但现有 OMS 独立认证不得未经设计被假定已统一；跨系统跳转须校验 token audience、租户、店铺、数据域；前端隐藏按钮只是体验优化，实际鉴权在服务端。</w:t>
      </w:r>
    </w:p>
    <w:bookmarkEnd w:id="24"/>
    <w:bookmarkStart w:id="28" w:name="整体信息架构与全局布局"/>
    <w:p>
      <w:pPr>
        <w:pStyle w:val="Heading2"/>
        <w:keepNext/>
      </w:pPr>
      <w:r>
        <w:rPr>
          <w:rFonts w:eastAsia="Noto Sans CJK SC"/>
        </w:rPr>
        <w:t xml:space="preserve">3. 整体信息架构与全局布局</w:t>
      </w:r>
    </w:p>
    <w:bookmarkStart w:id="25" w:name="全局页面布局"/>
    <w:p>
      <w:pPr>
        <w:pStyle w:val="Heading3"/>
        <w:keepNext/>
      </w:pPr>
      <w:r>
        <w:rPr>
          <w:rFonts w:eastAsia="Noto Sans CJK SC"/>
        </w:rPr>
        <w:t xml:space="preserve">3.1 全局页面布局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SC"/>
        </w:rPr>
        <w:t xml:space="preserve">顶栏：Logo / 当前工作区 / 店铺与站点切换 / 消息 / 当前角色 / 个人菜单 / 帮助。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SC"/>
        </w:rPr>
        <w:t xml:space="preserve">工作区切换：ERP、AI Operations、OMS（若已授权），通过顶栏切换，保留筛选状态但不传播敏感筛选条件。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SC"/>
        </w:rPr>
        <w:t xml:space="preserve">侧栏：当前工作区独立导航，禁止把 OMS 订单列表与 ERP 订单列表做成不加标识的同一页面。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SC"/>
        </w:rPr>
        <w:t xml:space="preserve">主工作区：页面标题 + 面包屑 + 数据更新时间/来源 + 搜索筛选 + 业务卡片/表格 + 详情抽屉 + 操作确认。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SC"/>
        </w:rPr>
        <w:t xml:space="preserve">通用元素：空状态、加载态、错误态、无权限、数据过期、模拟数据标签、审计操作详情。</w:t>
      </w:r>
    </w:p>
    <w:bookmarkEnd w:id="25"/>
    <w:bookmarkStart w:id="26" w:name="页面清单ia"/>
    <w:p>
      <w:pPr>
        <w:pStyle w:val="Heading3"/>
        <w:keepNext/>
      </w:pPr>
      <w:r>
        <w:rPr>
          <w:rFonts w:eastAsia="Noto Sans CJK SC"/>
        </w:rPr>
        <w:t xml:space="preserve">3.2 页面清单（IA）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936"/>
        <w:gridCol w:w="921"/>
        <w:gridCol w:w="1454"/>
        <w:gridCol w:w="1641"/>
        <w:gridCol w:w="2937"/>
        <w:gridCol w:w="2145"/>
      </w:tblGrid>
      <w:tr>
        <w:trPr>
          <w:tblHeader w:val="on"/>
          <w:tblHeader w:val="true"/>
        </w:trPr>
        <w:tc>
          <w:tcPr>
            <w:tcW w:type="dxa" w:w="936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页面 ID</w:t>
            </w:r>
          </w:p>
        </w:tc>
        <w:tc>
          <w:tcPr>
            <w:tcW w:type="dxa" w:w="922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工作区</w:t>
            </w:r>
          </w:p>
        </w:tc>
        <w:tc>
          <w:tcPr>
            <w:tcW w:type="dxa" w:w="1454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页面</w:t>
            </w:r>
          </w:p>
        </w:tc>
        <w:tc>
          <w:tcPr>
            <w:tcW w:type="dxa" w:w="1642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路由建议</w:t>
            </w:r>
          </w:p>
        </w:tc>
        <w:tc>
          <w:tcPr>
            <w:tcW w:type="dxa" w:w="2938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主要组件</w:t>
            </w:r>
          </w:p>
        </w:tc>
        <w:tc>
          <w:tcPr>
            <w:tcW w:type="dxa" w:w="2146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对应已有资产</w:t>
            </w:r>
          </w:p>
        </w:tc>
      </w:tr>
      <w:tr>
        <w:tc>
          <w:tcPr>
            <w:tcW w:type="dxa" w:w="93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B-P01</w:t>
            </w:r>
          </w:p>
        </w:tc>
        <w:tc>
          <w:tcPr>
            <w:tcW w:type="dxa" w:w="92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门户</w:t>
            </w:r>
          </w:p>
        </w:tc>
        <w:tc>
          <w:tcPr>
            <w:tcW w:type="dxa" w:w="145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应用中心</w:t>
            </w:r>
          </w:p>
        </w:tc>
        <w:tc>
          <w:tcPr>
            <w:tcW w:type="dxa" w:w="164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/workspace</w:t>
            </w:r>
          </w:p>
        </w:tc>
        <w:tc>
          <w:tcPr>
            <w:tcW w:type="dxa" w:w="293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3 个工作区卡片、权限提示、待办聚合</w:t>
            </w:r>
          </w:p>
        </w:tc>
        <w:tc>
          <w:tcPr>
            <w:tcW w:type="dxa" w:w="214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拟新增；概念原型已有</w:t>
            </w:r>
          </w:p>
        </w:tc>
      </w:tr>
      <w:tr>
        <w:tc>
          <w:tcPr>
            <w:tcW w:type="dxa" w:w="93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B-P02</w:t>
            </w:r>
          </w:p>
        </w:tc>
        <w:tc>
          <w:tcPr>
            <w:tcW w:type="dxa" w:w="92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</w:t>
            </w:r>
          </w:p>
        </w:tc>
        <w:tc>
          <w:tcPr>
            <w:tcW w:type="dxa" w:w="145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经营总览</w:t>
            </w:r>
          </w:p>
        </w:tc>
        <w:tc>
          <w:tcPr>
            <w:tcW w:type="dxa" w:w="164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/erp/dashboard</w:t>
            </w:r>
          </w:p>
        </w:tc>
        <w:tc>
          <w:tcPr>
            <w:tcW w:type="dxa" w:w="293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KPI、经营趋势、异常、待审批</w:t>
            </w:r>
          </w:p>
        </w:tc>
        <w:tc>
          <w:tcPr>
            <w:tcW w:type="dxa" w:w="214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B26/B27</w:t>
            </w:r>
          </w:p>
        </w:tc>
      </w:tr>
      <w:tr>
        <w:tc>
          <w:tcPr>
            <w:tcW w:type="dxa" w:w="93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B-P03</w:t>
            </w:r>
          </w:p>
        </w:tc>
        <w:tc>
          <w:tcPr>
            <w:tcW w:type="dxa" w:w="92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</w:t>
            </w:r>
          </w:p>
        </w:tc>
        <w:tc>
          <w:tcPr>
            <w:tcW w:type="dxa" w:w="145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商品与 SKU</w:t>
            </w:r>
          </w:p>
        </w:tc>
        <w:tc>
          <w:tcPr>
            <w:tcW w:type="dxa" w:w="164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/erp/products</w:t>
            </w:r>
          </w:p>
        </w:tc>
        <w:tc>
          <w:tcPr>
            <w:tcW w:type="dxa" w:w="293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列表、SPU/SKU 详情、属性</w:t>
            </w:r>
          </w:p>
        </w:tc>
        <w:tc>
          <w:tcPr>
            <w:tcW w:type="dxa" w:w="214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B05</w:t>
            </w:r>
          </w:p>
        </w:tc>
      </w:tr>
      <w:tr>
        <w:tc>
          <w:tcPr>
            <w:tcW w:type="dxa" w:w="93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B-P04</w:t>
            </w:r>
          </w:p>
        </w:tc>
        <w:tc>
          <w:tcPr>
            <w:tcW w:type="dxa" w:w="92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</w:t>
            </w:r>
          </w:p>
        </w:tc>
        <w:tc>
          <w:tcPr>
            <w:tcW w:type="dxa" w:w="145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Listing 管理</w:t>
            </w:r>
          </w:p>
        </w:tc>
        <w:tc>
          <w:tcPr>
            <w:tcW w:type="dxa" w:w="164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/erp/listings</w:t>
            </w:r>
          </w:p>
        </w:tc>
        <w:tc>
          <w:tcPr>
            <w:tcW w:type="dxa" w:w="293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Listing-SKU 映射、版本、编辑</w:t>
            </w:r>
          </w:p>
        </w:tc>
        <w:tc>
          <w:tcPr>
            <w:tcW w:type="dxa" w:w="214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B06</w:t>
            </w:r>
          </w:p>
        </w:tc>
      </w:tr>
      <w:tr>
        <w:tc>
          <w:tcPr>
            <w:tcW w:type="dxa" w:w="93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B-P05</w:t>
            </w:r>
          </w:p>
        </w:tc>
        <w:tc>
          <w:tcPr>
            <w:tcW w:type="dxa" w:w="92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</w:t>
            </w:r>
          </w:p>
        </w:tc>
        <w:tc>
          <w:tcPr>
            <w:tcW w:type="dxa" w:w="145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订单管理</w:t>
            </w:r>
          </w:p>
        </w:tc>
        <w:tc>
          <w:tcPr>
            <w:tcW w:type="dxa" w:w="164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/erp/orders</w:t>
            </w:r>
          </w:p>
        </w:tc>
        <w:tc>
          <w:tcPr>
            <w:tcW w:type="dxa" w:w="293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列表、订单详情、审核/取消</w:t>
            </w:r>
          </w:p>
        </w:tc>
        <w:tc>
          <w:tcPr>
            <w:tcW w:type="dxa" w:w="214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B07/B08/B09</w:t>
            </w:r>
          </w:p>
        </w:tc>
      </w:tr>
      <w:tr>
        <w:tc>
          <w:tcPr>
            <w:tcW w:type="dxa" w:w="93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B-P06</w:t>
            </w:r>
          </w:p>
        </w:tc>
        <w:tc>
          <w:tcPr>
            <w:tcW w:type="dxa" w:w="92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</w:t>
            </w:r>
          </w:p>
        </w:tc>
        <w:tc>
          <w:tcPr>
            <w:tcW w:type="dxa" w:w="145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库存与仓库</w:t>
            </w:r>
          </w:p>
        </w:tc>
        <w:tc>
          <w:tcPr>
            <w:tcW w:type="dxa" w:w="164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/erp/inventory</w:t>
            </w:r>
          </w:p>
        </w:tc>
        <w:tc>
          <w:tcPr>
            <w:tcW w:type="dxa" w:w="293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台账、占用、流水、调整</w:t>
            </w:r>
          </w:p>
        </w:tc>
        <w:tc>
          <w:tcPr>
            <w:tcW w:type="dxa" w:w="214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B15–B17</w:t>
            </w:r>
          </w:p>
        </w:tc>
      </w:tr>
      <w:tr>
        <w:tc>
          <w:tcPr>
            <w:tcW w:type="dxa" w:w="93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B-P07</w:t>
            </w:r>
          </w:p>
        </w:tc>
        <w:tc>
          <w:tcPr>
            <w:tcW w:type="dxa" w:w="92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</w:t>
            </w:r>
          </w:p>
        </w:tc>
        <w:tc>
          <w:tcPr>
            <w:tcW w:type="dxa" w:w="145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采购与供应商</w:t>
            </w:r>
          </w:p>
        </w:tc>
        <w:tc>
          <w:tcPr>
            <w:tcW w:type="dxa" w:w="164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/erp/purchasing</w:t>
            </w:r>
          </w:p>
        </w:tc>
        <w:tc>
          <w:tcPr>
            <w:tcW w:type="dxa" w:w="293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报价、补货建议、采购审批</w:t>
            </w:r>
          </w:p>
        </w:tc>
        <w:tc>
          <w:tcPr>
            <w:tcW w:type="dxa" w:w="214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B18–B24</w:t>
            </w:r>
          </w:p>
        </w:tc>
      </w:tr>
      <w:tr>
        <w:tc>
          <w:tcPr>
            <w:tcW w:type="dxa" w:w="93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B-P08</w:t>
            </w:r>
          </w:p>
        </w:tc>
        <w:tc>
          <w:tcPr>
            <w:tcW w:type="dxa" w:w="92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</w:t>
            </w:r>
          </w:p>
        </w:tc>
        <w:tc>
          <w:tcPr>
            <w:tcW w:type="dxa" w:w="145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FBA 与物流</w:t>
            </w:r>
          </w:p>
        </w:tc>
        <w:tc>
          <w:tcPr>
            <w:tcW w:type="dxa" w:w="164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/erp/fba</w:t>
            </w:r>
          </w:p>
        </w:tc>
        <w:tc>
          <w:tcPr>
            <w:tcW w:type="dxa" w:w="293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计划、发出、实收、质检</w:t>
            </w:r>
          </w:p>
        </w:tc>
        <w:tc>
          <w:tcPr>
            <w:tcW w:type="dxa" w:w="214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B25，P02/P03 部分</w:t>
            </w:r>
          </w:p>
        </w:tc>
      </w:tr>
      <w:tr>
        <w:tc>
          <w:tcPr>
            <w:tcW w:type="dxa" w:w="93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B-P09</w:t>
            </w:r>
          </w:p>
        </w:tc>
        <w:tc>
          <w:tcPr>
            <w:tcW w:type="dxa" w:w="92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</w:t>
            </w:r>
          </w:p>
        </w:tc>
        <w:tc>
          <w:tcPr>
            <w:tcW w:type="dxa" w:w="145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广告管理</w:t>
            </w:r>
          </w:p>
        </w:tc>
        <w:tc>
          <w:tcPr>
            <w:tcW w:type="dxa" w:w="164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/erp/ads</w:t>
            </w:r>
          </w:p>
        </w:tc>
        <w:tc>
          <w:tcPr>
            <w:tcW w:type="dxa" w:w="293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报表导入、指标、诊断记录</w:t>
            </w:r>
          </w:p>
        </w:tc>
        <w:tc>
          <w:tcPr>
            <w:tcW w:type="dxa" w:w="214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B30/B31</w:t>
            </w:r>
          </w:p>
        </w:tc>
      </w:tr>
      <w:tr>
        <w:tc>
          <w:tcPr>
            <w:tcW w:type="dxa" w:w="93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B-P10</w:t>
            </w:r>
          </w:p>
        </w:tc>
        <w:tc>
          <w:tcPr>
            <w:tcW w:type="dxa" w:w="92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</w:t>
            </w:r>
          </w:p>
        </w:tc>
        <w:tc>
          <w:tcPr>
            <w:tcW w:type="dxa" w:w="145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财务与对账</w:t>
            </w:r>
          </w:p>
        </w:tc>
        <w:tc>
          <w:tcPr>
            <w:tcW w:type="dxa" w:w="164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/erp/finance</w:t>
            </w:r>
          </w:p>
        </w:tc>
        <w:tc>
          <w:tcPr>
            <w:tcW w:type="dxa" w:w="293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分币种汇总、费用复核、凭证</w:t>
            </w:r>
          </w:p>
        </w:tc>
        <w:tc>
          <w:tcPr>
            <w:tcW w:type="dxa" w:w="214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B10/B27–B29</w:t>
            </w:r>
          </w:p>
        </w:tc>
      </w:tr>
      <w:tr>
        <w:tc>
          <w:tcPr>
            <w:tcW w:type="dxa" w:w="93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B-P11</w:t>
            </w:r>
          </w:p>
        </w:tc>
        <w:tc>
          <w:tcPr>
            <w:tcW w:type="dxa" w:w="92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</w:t>
            </w:r>
          </w:p>
        </w:tc>
        <w:tc>
          <w:tcPr>
            <w:tcW w:type="dxa" w:w="145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售后与工单</w:t>
            </w:r>
          </w:p>
        </w:tc>
        <w:tc>
          <w:tcPr>
            <w:tcW w:type="dxa" w:w="164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/erp/service</w:t>
            </w:r>
          </w:p>
        </w:tc>
        <w:tc>
          <w:tcPr>
            <w:tcW w:type="dxa" w:w="293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退款、工单、升级记录</w:t>
            </w:r>
          </w:p>
        </w:tc>
        <w:tc>
          <w:tcPr>
            <w:tcW w:type="dxa" w:w="214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B11–B14</w:t>
            </w:r>
          </w:p>
        </w:tc>
      </w:tr>
      <w:tr>
        <w:tc>
          <w:tcPr>
            <w:tcW w:type="dxa" w:w="93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B-P12</w:t>
            </w:r>
          </w:p>
        </w:tc>
        <w:tc>
          <w:tcPr>
            <w:tcW w:type="dxa" w:w="92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AI</w:t>
            </w:r>
          </w:p>
        </w:tc>
        <w:tc>
          <w:tcPr>
            <w:tcW w:type="dxa" w:w="145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AI 经营驾驶舱</w:t>
            </w:r>
          </w:p>
        </w:tc>
        <w:tc>
          <w:tcPr>
            <w:tcW w:type="dxa" w:w="164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/ai/dashboard</w:t>
            </w:r>
          </w:p>
        </w:tc>
        <w:tc>
          <w:tcPr>
            <w:tcW w:type="dxa" w:w="293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风险卡片、诊断入口、待办</w:t>
            </w:r>
          </w:p>
        </w:tc>
        <w:tc>
          <w:tcPr>
            <w:tcW w:type="dxa" w:w="214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拟整合 A01/A04/A08</w:t>
            </w:r>
          </w:p>
        </w:tc>
      </w:tr>
      <w:tr>
        <w:tc>
          <w:tcPr>
            <w:tcW w:type="dxa" w:w="93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B-P13</w:t>
            </w:r>
          </w:p>
        </w:tc>
        <w:tc>
          <w:tcPr>
            <w:tcW w:type="dxa" w:w="92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AI</w:t>
            </w:r>
          </w:p>
        </w:tc>
        <w:tc>
          <w:tcPr>
            <w:tcW w:type="dxa" w:w="145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AI 决策中心</w:t>
            </w:r>
          </w:p>
        </w:tc>
        <w:tc>
          <w:tcPr>
            <w:tcW w:type="dxa" w:w="164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/ai/decisions</w:t>
            </w:r>
          </w:p>
        </w:tc>
        <w:tc>
          <w:tcPr>
            <w:tcW w:type="dxa" w:w="293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对话输入、Agent 状态、结论</w:t>
            </w:r>
          </w:p>
        </w:tc>
        <w:tc>
          <w:tcPr>
            <w:tcW w:type="dxa" w:w="214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A01/A04–A08 基础，编排待建</w:t>
            </w:r>
          </w:p>
        </w:tc>
      </w:tr>
      <w:tr>
        <w:tc>
          <w:tcPr>
            <w:tcW w:type="dxa" w:w="93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B-P14</w:t>
            </w:r>
          </w:p>
        </w:tc>
        <w:tc>
          <w:tcPr>
            <w:tcW w:type="dxa" w:w="92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AI</w:t>
            </w:r>
          </w:p>
        </w:tc>
        <w:tc>
          <w:tcPr>
            <w:tcW w:type="dxa" w:w="145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Listing 智能审查</w:t>
            </w:r>
          </w:p>
        </w:tc>
        <w:tc>
          <w:tcPr>
            <w:tcW w:type="dxa" w:w="164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/ai/listing-review</w:t>
            </w:r>
          </w:p>
        </w:tc>
        <w:tc>
          <w:tcPr>
            <w:tcW w:type="dxa" w:w="293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事实核对、条款证据、差异与审核</w:t>
            </w:r>
          </w:p>
        </w:tc>
        <w:tc>
          <w:tcPr>
            <w:tcW w:type="dxa" w:w="214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A09/A12 基础，政策版本待建</w:t>
            </w:r>
          </w:p>
        </w:tc>
      </w:tr>
      <w:tr>
        <w:tc>
          <w:tcPr>
            <w:tcW w:type="dxa" w:w="93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B-P15</w:t>
            </w:r>
          </w:p>
        </w:tc>
        <w:tc>
          <w:tcPr>
            <w:tcW w:type="dxa" w:w="92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AI</w:t>
            </w:r>
          </w:p>
        </w:tc>
        <w:tc>
          <w:tcPr>
            <w:tcW w:type="dxa" w:w="145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智能补货</w:t>
            </w:r>
          </w:p>
        </w:tc>
        <w:tc>
          <w:tcPr>
            <w:tcW w:type="dxa" w:w="164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/ai/replenishment</w:t>
            </w:r>
          </w:p>
        </w:tc>
        <w:tc>
          <w:tcPr>
            <w:tcW w:type="dxa" w:w="293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缺口、证据、方案、采购草稿</w:t>
            </w:r>
          </w:p>
        </w:tc>
        <w:tc>
          <w:tcPr>
            <w:tcW w:type="dxa" w:w="214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A05–A08</w:t>
            </w:r>
          </w:p>
        </w:tc>
      </w:tr>
      <w:tr>
        <w:tc>
          <w:tcPr>
            <w:tcW w:type="dxa" w:w="93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B-P16</w:t>
            </w:r>
          </w:p>
        </w:tc>
        <w:tc>
          <w:tcPr>
            <w:tcW w:type="dxa" w:w="92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AI</w:t>
            </w:r>
          </w:p>
        </w:tc>
        <w:tc>
          <w:tcPr>
            <w:tcW w:type="dxa" w:w="145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策略与审批中心</w:t>
            </w:r>
          </w:p>
        </w:tc>
        <w:tc>
          <w:tcPr>
            <w:tcW w:type="dxa" w:w="164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/ai/approvals</w:t>
            </w:r>
          </w:p>
        </w:tc>
        <w:tc>
          <w:tcPr>
            <w:tcW w:type="dxa" w:w="293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提案、风险、审批、执行回执</w:t>
            </w:r>
          </w:p>
        </w:tc>
        <w:tc>
          <w:tcPr>
            <w:tcW w:type="dxa" w:w="214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A12、B21 基础，统一提案待建</w:t>
            </w:r>
          </w:p>
        </w:tc>
      </w:tr>
      <w:tr>
        <w:tc>
          <w:tcPr>
            <w:tcW w:type="dxa" w:w="93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B-P17</w:t>
            </w:r>
          </w:p>
        </w:tc>
        <w:tc>
          <w:tcPr>
            <w:tcW w:type="dxa" w:w="92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AI</w:t>
            </w:r>
          </w:p>
        </w:tc>
        <w:tc>
          <w:tcPr>
            <w:tcW w:type="dxa" w:w="145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诊断历史/证据</w:t>
            </w:r>
          </w:p>
        </w:tc>
        <w:tc>
          <w:tcPr>
            <w:tcW w:type="dxa" w:w="164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/ai/runs/:runId</w:t>
            </w:r>
          </w:p>
        </w:tc>
        <w:tc>
          <w:tcPr>
            <w:tcW w:type="dxa" w:w="293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运行摘要、证据、回溯、反馈</w:t>
            </w:r>
          </w:p>
        </w:tc>
        <w:tc>
          <w:tcPr>
            <w:tcW w:type="dxa" w:w="214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A06 Trace 基础</w:t>
            </w:r>
          </w:p>
        </w:tc>
      </w:tr>
      <w:tr>
        <w:tc>
          <w:tcPr>
            <w:tcW w:type="dxa" w:w="93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B-P18</w:t>
            </w:r>
          </w:p>
        </w:tc>
        <w:tc>
          <w:tcPr>
            <w:tcW w:type="dxa" w:w="92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OMS</w:t>
            </w:r>
          </w:p>
        </w:tc>
        <w:tc>
          <w:tcPr>
            <w:tcW w:type="dxa" w:w="145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订单工作台</w:t>
            </w:r>
          </w:p>
        </w:tc>
        <w:tc>
          <w:tcPr>
            <w:tcW w:type="dxa" w:w="164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/oms/orders</w:t>
            </w:r>
          </w:p>
        </w:tc>
        <w:tc>
          <w:tcPr>
            <w:tcW w:type="dxa" w:w="293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多渠道订单、批量处理、状态跟踪</w:t>
            </w:r>
          </w:p>
        </w:tc>
        <w:tc>
          <w:tcPr>
            <w:tcW w:type="dxa" w:w="214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O01</w:t>
            </w:r>
          </w:p>
        </w:tc>
      </w:tr>
      <w:tr>
        <w:tc>
          <w:tcPr>
            <w:tcW w:type="dxa" w:w="93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B-P19</w:t>
            </w:r>
          </w:p>
        </w:tc>
        <w:tc>
          <w:tcPr>
            <w:tcW w:type="dxa" w:w="92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OMS</w:t>
            </w:r>
          </w:p>
        </w:tc>
        <w:tc>
          <w:tcPr>
            <w:tcW w:type="dxa" w:w="145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履约与物流</w:t>
            </w:r>
          </w:p>
        </w:tc>
        <w:tc>
          <w:tcPr>
            <w:tcW w:type="dxa" w:w="164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/oms/fulfilment</w:t>
            </w:r>
          </w:p>
        </w:tc>
        <w:tc>
          <w:tcPr>
            <w:tcW w:type="dxa" w:w="293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出入库、物流号、异常</w:t>
            </w:r>
          </w:p>
        </w:tc>
        <w:tc>
          <w:tcPr>
            <w:tcW w:type="dxa" w:w="214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O06/O07</w:t>
            </w:r>
          </w:p>
        </w:tc>
      </w:tr>
      <w:tr>
        <w:tc>
          <w:tcPr>
            <w:tcW w:type="dxa" w:w="93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B-P20</w:t>
            </w:r>
          </w:p>
        </w:tc>
        <w:tc>
          <w:tcPr>
            <w:tcW w:type="dxa" w:w="92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OMS</w:t>
            </w:r>
          </w:p>
        </w:tc>
        <w:tc>
          <w:tcPr>
            <w:tcW w:type="dxa" w:w="145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售后与客户</w:t>
            </w:r>
          </w:p>
        </w:tc>
        <w:tc>
          <w:tcPr>
            <w:tcW w:type="dxa" w:w="164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/oms/service</w:t>
            </w:r>
          </w:p>
        </w:tc>
        <w:tc>
          <w:tcPr>
            <w:tcW w:type="dxa" w:w="293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售后、退款、客服工单、客户档案</w:t>
            </w:r>
          </w:p>
        </w:tc>
        <w:tc>
          <w:tcPr>
            <w:tcW w:type="dxa" w:w="214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O02–O04</w:t>
            </w:r>
          </w:p>
        </w:tc>
      </w:tr>
      <w:tr>
        <w:tc>
          <w:tcPr>
            <w:tcW w:type="dxa" w:w="93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B-P21</w:t>
            </w:r>
          </w:p>
        </w:tc>
        <w:tc>
          <w:tcPr>
            <w:tcW w:type="dxa" w:w="92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OMS</w:t>
            </w:r>
          </w:p>
        </w:tc>
        <w:tc>
          <w:tcPr>
            <w:tcW w:type="dxa" w:w="145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系统与渠道配置</w:t>
            </w:r>
          </w:p>
        </w:tc>
        <w:tc>
          <w:tcPr>
            <w:tcW w:type="dxa" w:w="164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/oms/settings</w:t>
            </w:r>
          </w:p>
        </w:tc>
        <w:tc>
          <w:tcPr>
            <w:tcW w:type="dxa" w:w="293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店铺、映射、渠道、审计</w:t>
            </w:r>
          </w:p>
        </w:tc>
        <w:tc>
          <w:tcPr>
            <w:tcW w:type="dxa" w:w="214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O05/O07</w:t>
            </w:r>
          </w:p>
        </w:tc>
      </w:tr>
    </w:tbl>
    <w:bookmarkEnd w:id="26"/>
    <w:bookmarkStart w:id="27" w:name="页面共同交互规范"/>
    <w:p>
      <w:pPr>
        <w:pStyle w:val="Heading3"/>
        <w:keepNext/>
      </w:pPr>
      <w:r>
        <w:rPr>
          <w:rFonts w:eastAsia="Noto Sans CJK SC"/>
        </w:rPr>
        <w:t xml:space="preserve">3.3 页面共同交互规范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SC"/>
        </w:rPr>
        <w:t xml:space="preserve">列表须有关键字、店铺、站点、日期区间、状态筛选；分页默认服务端分页，允许保存个人视图，导出受权限与行数限制。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SC"/>
        </w:rPr>
        <w:t xml:space="preserve">表格行点击进入详情抽屉，展示来源单据、字段更新时刻、事件轨迹；危险操作必须二次确认。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SC"/>
        </w:rPr>
        <w:t xml:space="preserve">币种必须跟随金额展示，跨币种总览需单独分组或使用标注汇率的统一报表口径。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SC"/>
        </w:rPr>
        <w:t xml:space="preserve">页面空态区分“无数据”</w:t>
      </w:r>
      <w:r>
        <w:rPr>
          <w:rFonts w:eastAsia="Noto Sans CJK SC"/>
        </w:rPr>
        <w:t xml:space="preserve">“</w:t>
      </w:r>
      <w:r>
        <w:rPr>
          <w:rFonts w:eastAsia="Noto Sans CJK SC"/>
        </w:rPr>
        <w:t xml:space="preserve">权限不足</w:t>
      </w:r>
      <w:r>
        <w:rPr>
          <w:rFonts w:eastAsia="Noto Sans CJK SC"/>
        </w:rPr>
        <w:t xml:space="preserve">”</w:t>
      </w:r>
      <w:r>
        <w:rPr>
          <w:rFonts w:eastAsia="Noto Sans CJK SC"/>
        </w:rPr>
        <w:t xml:space="preserve">“</w:t>
      </w:r>
      <w:r>
        <w:rPr>
          <w:rFonts w:eastAsia="Noto Sans CJK SC"/>
        </w:rPr>
        <w:t xml:space="preserve">同步失败</w:t>
      </w:r>
      <w:r>
        <w:rPr>
          <w:rFonts w:eastAsia="Noto Sans CJK SC"/>
        </w:rPr>
        <w:t xml:space="preserve">”</w:t>
      </w:r>
      <w:r>
        <w:rPr>
          <w:rFonts w:eastAsia="Noto Sans CJK SC"/>
        </w:rPr>
        <w:t xml:space="preserve">“</w:t>
      </w:r>
      <w:r>
        <w:rPr>
          <w:rFonts w:eastAsia="Noto Sans CJK SC"/>
        </w:rPr>
        <w:t xml:space="preserve">未配置数据源</w:t>
      </w:r>
      <w:r>
        <w:rPr>
          <w:rFonts w:eastAsia="Noto Sans CJK SC"/>
        </w:rPr>
        <w:t xml:space="preserve">”</w:t>
      </w:r>
      <w:r>
        <w:rPr>
          <w:rFonts w:eastAsia="Noto Sans CJK SC"/>
        </w:rPr>
        <w:t xml:space="preserve">和“模拟数据”，不能一律显示“暂无数据”。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SC"/>
        </w:rPr>
        <w:t xml:space="preserve">URL 深链保持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tenant/store/marketplace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上下文但不允许通过 URL 篡改权限；参数仅用于请求范围选择。</w:t>
      </w:r>
    </w:p>
    <w:bookmarkEnd w:id="27"/>
    <w:bookmarkEnd w:id="28"/>
    <w:bookmarkStart w:id="29" w:name="功能需求清单可直接分配研发任务"/>
    <w:p>
      <w:pPr>
        <w:pStyle w:val="Heading2"/>
        <w:keepNext/>
      </w:pPr>
      <w:r>
        <w:rPr>
          <w:rFonts w:eastAsia="Noto Sans CJK SC"/>
        </w:rPr>
        <w:t xml:space="preserve">4. 功能需求清单（可直接分配研发任务）</w:t>
      </w:r>
    </w:p>
    <w:p>
      <w:pPr>
        <w:pStyle w:val="FirstParagraph"/>
      </w:pPr>
      <w:r>
        <w:rPr>
          <w:rFonts w:eastAsia="Noto Sans CJK SC"/>
        </w:rPr>
        <w:t xml:space="preserve">状态定义：</w:t>
      </w:r>
      <w:r>
        <w:rPr>
          <w:rFonts w:eastAsia="Noto Sans CJK SC"/>
          <w:b/>
          <w:bCs/>
        </w:rPr>
        <w:t xml:space="preserve">存量</w:t>
      </w:r>
      <w:r>
        <w:rPr>
          <w:rFonts w:eastAsia="Noto Sans CJK SC"/>
        </w:rPr>
        <w:t xml:space="preserve">=已有代码或页面但需验收；</w:t>
      </w:r>
      <w:r>
        <w:rPr>
          <w:rFonts w:eastAsia="Noto Sans CJK SC"/>
          <w:b/>
          <w:bCs/>
        </w:rPr>
        <w:t xml:space="preserve">增强</w:t>
      </w:r>
      <w:r>
        <w:rPr>
          <w:rFonts w:eastAsia="Noto Sans CJK SC"/>
        </w:rPr>
        <w:t xml:space="preserve">=在存量上深化；</w:t>
      </w:r>
      <w:r>
        <w:rPr>
          <w:rFonts w:eastAsia="Noto Sans CJK SC"/>
          <w:b/>
          <w:bCs/>
        </w:rPr>
        <w:t xml:space="preserve">新增</w:t>
      </w:r>
      <w:r>
        <w:rPr>
          <w:rFonts w:eastAsia="Noto Sans CJK SC"/>
        </w:rPr>
        <w:t xml:space="preserve">=目标需求。优先级 P0 必需、P1 增强、P2 长期。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368"/>
        <w:gridCol w:w="1814"/>
        <w:gridCol w:w="950"/>
        <w:gridCol w:w="1224"/>
        <w:gridCol w:w="4680"/>
      </w:tblGrid>
      <w:tr>
        <w:trPr>
          <w:tblHeader w:val="on"/>
          <w:tblHeader w:val="true"/>
        </w:trPr>
        <w:tc>
          <w:tcPr>
            <w:tcW w:type="dxa" w:w="1368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需求 ID</w:t>
            </w:r>
          </w:p>
        </w:tc>
        <w:tc>
          <w:tcPr>
            <w:tcW w:type="dxa" w:w="1814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功能</w:t>
            </w:r>
          </w:p>
        </w:tc>
        <w:tc>
          <w:tcPr>
            <w:tcW w:type="dxa" w:w="950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优先级</w:t>
            </w:r>
          </w:p>
        </w:tc>
        <w:tc>
          <w:tcPr>
            <w:tcW w:type="dxa" w:w="1224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类型</w:t>
            </w:r>
          </w:p>
        </w:tc>
        <w:tc>
          <w:tcPr>
            <w:tcW w:type="dxa" w:w="4680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详细行为与验收摘要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BIZ-FR-001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企业工作区入口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新增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只显示已授权入口；无访问权返回 403；切换工作区保留可用上下文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BIZ-FR-002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店铺/国家/币种上下文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增强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切换后所有图表和单据自动刷新；权限服务校验范围；跨币种禁止误聚合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BIZ-FR-003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 经营总览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存量增强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明确指标定义、数据来源、时刻和授权范围，展示异常与待办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BIZ-FR-004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商品、SKU、Listing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存量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SKU 与 Listing 关联，编辑时版本/必填校验，留审计轨迹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BIZ-FR-005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订单管理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存量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创建/导入/审核/取消受状态限制；关键字段变更须审计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BIZ-FR-006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库存管理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存量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在库、预留、可用独立显示；并发发货不超售；调整写入流水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BIZ-FR-007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采购完整流程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存量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建单、提交、审批、收货与关闭遵循状态机；驳回需原因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BIZ-FR-008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FBA 计划与实收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存量增强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计划/质检/差异清晰；外部平台同步须显式显示真实或模拟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BIZ-FR-009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广告指标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存量增强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显示 CTR/CPC/CVR/ACOS/ROAS 定义和分母，区别导入 vs 实时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BIZ-FR-010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财务复算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存量增强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按币种/凭据来源展示费用差异，无证据不可自动确认为有效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BIZ-FR-011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AI 自然语言任务创建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增强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SKU/店铺/时间范围合法；任务可取消、可见进度与失败原因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BIZ-FR-012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跨 Agent 经营诊断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新增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编排规划、财务/库存等任务并行；汇总证据/冲突；不直接写业务库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BIZ-FR-013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Listing 内容与政策审查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增强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商品事实、政策版本、差异和证据一一关联；不自动发布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BIZ-FR-014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AI 补货方案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存量增强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缺口、交期、数据完整度、方案草稿与审批；证据不足阻断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BIZ-FR-015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提案与审批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增强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人员、版本、权限、风险与草案哈希绑定；修改草案使旧批准失效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BIZ-FR-016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执行回执与状态回读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新增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审批不等于执行；调用结果不明时显示待对账，禁止盲重试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BIZ-FR-017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AI 运行证据与反馈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增强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每条结论可定位单据/报表/政策；可纠正、拒绝和追加反馈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BIZ-FR-018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OMS 订单处理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存量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使用独立 OMS 业务源；标记来源、同步状态，不伪装 ERP 实时一致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BIZ-FR-019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OMS 退款、工单、客户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存量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按角色和审批控制退款；客户字段脱敏与导出授权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BIZ-FR-020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ERP↔OMS 对接与对账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新增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定义订单唯一写主、外部 ID、幂等映射、差异看板和重放策略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BIZ-FR-021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全局审计、错误与告警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存量增强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业务操作记录操作者/时间/前后值；失败不得显示成功状态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BIZ-FR-022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多角色页面与行级权限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增强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无权数据不可经接口、下载、深链、AI Tool 间接获取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BIZ-FR-023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数据来源与同步标识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新增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强制展示实时/导入/模拟/缺失和最近更新；样例不写成生产数据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BIZ-FR-024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体验与可访问性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新增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加载、空态、失败提示、键盘导航、响应式与色彩对比达标</w:t>
            </w:r>
          </w:p>
        </w:tc>
      </w:tr>
    </w:tbl>
    <w:bookmarkEnd w:id="29"/>
    <w:bookmarkStart w:id="37" w:name="关键页面的详细设计"/>
    <w:p>
      <w:pPr>
        <w:pStyle w:val="Heading2"/>
        <w:keepNext/>
      </w:pPr>
      <w:r>
        <w:rPr>
          <w:rFonts w:eastAsia="Noto Sans CJK SC"/>
        </w:rPr>
        <w:t xml:space="preserve">5. 关键页面的详细设计</w:t>
      </w:r>
    </w:p>
    <w:bookmarkStart w:id="30" w:name="b-p02-经营总览erp"/>
    <w:p>
      <w:pPr>
        <w:pStyle w:val="Heading3"/>
        <w:keepNext/>
      </w:pPr>
      <w:r>
        <w:rPr>
          <w:rFonts w:eastAsia="Noto Sans CJK SC"/>
        </w:rPr>
        <w:t xml:space="preserve">5.1 B-P02 经营总览（ERP）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布局：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顶部筛选（店铺/站点/周期）→ KPI 四至六张（销售额、贡献利润、待审核订单、可用库存、采购待办）→ 趋势图 → 风险清单 → 待办。每张指标卡点击可跳到明细页。</w:t>
      </w:r>
    </w:p>
    <w:p>
      <w:pPr>
        <w:pStyle w:val="BodyText"/>
      </w:pPr>
      <w:r>
        <w:rPr>
          <w:rFonts w:eastAsia="Noto Sans CJK SC"/>
          <w:b/>
          <w:bCs/>
        </w:rPr>
        <w:t xml:space="preserve">数据字段：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metric_code、value、currency、time_window、store_scope、data_source、source_version、updated_at、calculation_definition、quality_status。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交互：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周期切换重新请求；下钻展示公式与原始单据；异常“交给 AI 分析”带着授权范围与 SKU 打开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/ai/decisions</w:t>
      </w:r>
      <w:r>
        <w:rPr>
          <w:rFonts w:eastAsia="Noto Sans CJK SC"/>
        </w:rPr>
        <w:t xml:space="preserve">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校验：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跨币种金额不直接合计；本地登记收款不得表述为真实支付结算；超 24 小时未更新的源（阈值可配置）显著标记。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验收：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无权限店铺不计入总览；来源缺失时不伪造百分比；相同过滤条件下 KPI 与原始明细可核对。</w:t>
      </w:r>
    </w:p>
    <w:bookmarkEnd w:id="30"/>
    <w:bookmarkStart w:id="31" w:name="b-p05b-p06-订单与库存erp"/>
    <w:p>
      <w:pPr>
        <w:pStyle w:val="Heading3"/>
        <w:keepNext/>
      </w:pPr>
      <w:r>
        <w:rPr>
          <w:rFonts w:eastAsia="Noto Sans CJK SC"/>
        </w:rPr>
        <w:t xml:space="preserve">5.2 B-P05/B-P06 订单与库存（ERP）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订单列表列：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order_id、source_platform、external_order_id、store_id、customer_masked、currency、amount、status、payment_evidence_status、created_at。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详情页：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商品行、地址脱敏、付款凭据、库存预留/释放记录、出库与物流、审核/取消历史。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库存页：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SKU、warehouse、on_hand、reserved、available、in_transit（如果来源可信）、snapshot_at、库存变更流水。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状态要求：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未审核订单不能跳过业务条件直接发货；重复提交使用幂等键；确认出库必须有有效预留/出库状态；超额出库返回可解释错误。</w:t>
      </w:r>
    </w:p>
    <w:bookmarkEnd w:id="31"/>
    <w:bookmarkStart w:id="32" w:name="b-p07b-p15-采购工作台与智能补货"/>
    <w:p>
      <w:pPr>
        <w:pStyle w:val="Heading3"/>
        <w:keepNext/>
      </w:pPr>
      <w:r>
        <w:rPr>
          <w:rFonts w:eastAsia="Noto Sans CJK SC"/>
        </w:rPr>
        <w:t xml:space="preserve">5.3 B-P07/B-P15 采购工作台与智能补货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采购侧栏：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供应商、SKU 供货关系、报价、采购计划、采购单、收货、变更、补货建议。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智能补货布局：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左侧筛选与目标 SKU，中间覆盖天数/建议数量/约束，右侧证据与供应商交期，底部提案草稿及审批轨迹。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必备输入：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inventory_snapshot_id、daily_demand_window、on_order_qty、supplier_lead_time、MOQ、safety_stock_policy、currency、business_scope_ref。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操作：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读取→规则计算→解释→显示缺证据项→人工修改建议→提交审批→生成采购草稿；任何阶段都能查看数据来源。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异常：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供应商交期缺失、库存口径不一致、销量来源不足时置为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NEEDS_REVIEW</w:t>
      </w:r>
      <w:r>
        <w:rPr>
          <w:rFonts w:eastAsia="Noto Sans CJK SC"/>
        </w:rPr>
        <w:t xml:space="preserve">，禁止标注“自动补货成功”。</w:t>
      </w:r>
    </w:p>
    <w:bookmarkEnd w:id="32"/>
    <w:bookmarkStart w:id="33" w:name="b-p13-ai-经营决策中心核心演示页"/>
    <w:p>
      <w:pPr>
        <w:pStyle w:val="Heading3"/>
        <w:keepNext/>
      </w:pPr>
      <w:r>
        <w:rPr>
          <w:rFonts w:eastAsia="Noto Sans CJK SC"/>
        </w:rPr>
        <w:t xml:space="preserve">5.4 B-P13 AI 经营决策中心（核心演示页）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三栏桌面布局：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SC"/>
        </w:rPr>
        <w:t xml:space="preserve">左栏“对话与任务”：输入框、店铺/国家/SKU/时间范围、历史任务；提供标准提问模板。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SC"/>
        </w:rPr>
        <w:t xml:space="preserve">中栏“Agent 协作视图”：编排阶段、子任务卡片（财务/广告/库存/采购等）、进行中/已完成/失败/等待人工状态、耗时/重试。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SC"/>
        </w:rPr>
        <w:t xml:space="preserve">右栏“结论与证据”：关键发现、指标定义、原始证据链接、建议与风险、操作提案、人工反馈。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任务生命周期：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CREATED → SCOPE_CHECKED → PLANNED → RUNNING → VERIFYING → REVIEW_REQUIRED/COMPLETED/FAILED</w:t>
      </w:r>
      <w:r>
        <w:rPr>
          <w:rFonts w:eastAsia="Noto Sans CJK SC"/>
        </w:rPr>
        <w:t xml:space="preserve">；后续审批和执行状态另行展示。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交互：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点击 Agent 卡片查看输入摘要/工具运行结果；点击证据跳转 ERP 只读明细；模型超时展示失败节点与安全重试入口；保存/导出结论必须附来源与执行范围。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边界：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不把所有 Agent 的结果直接拼接成“已证实原因”；没有明确识别策略时仅展示相关性/贡献拆解，避免虚假的严格因果结论。</w:t>
      </w:r>
    </w:p>
    <w:bookmarkEnd w:id="33"/>
    <w:bookmarkStart w:id="34" w:name="b-p14-listing-智能审查"/>
    <w:p>
      <w:pPr>
        <w:pStyle w:val="Heading3"/>
        <w:keepNext/>
      </w:pPr>
      <w:r>
        <w:rPr>
          <w:rFonts w:eastAsia="Noto Sans CJK SC"/>
        </w:rPr>
        <w:t xml:space="preserve">5.5 B-P14 Listing 智能审查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输入表单：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store、marketplace、country、category、SKU、Listing 版本、语言、待审字段（标题/卖点/描述）、审查模式。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输出视图：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高亮原文问题位置；严重度与置信度分离；政策条款（版本、生效时间、适用站点）、商品字段快照和引用路径；建议修改 diff、采纳/编辑/拒绝。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门禁：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政策版本不明、SKU 不匹配或证据缺失时只能标注“待确认”；审核通过并不等于自动发布。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验收：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每个问题有一个以上可访问证据引用或明确的“证据不足”原因；修改原文后强制重新核验风险项。</w:t>
      </w:r>
    </w:p>
    <w:bookmarkEnd w:id="34"/>
    <w:bookmarkStart w:id="35" w:name="b-p16-智能提案与审批中心"/>
    <w:p>
      <w:pPr>
        <w:pStyle w:val="Heading3"/>
        <w:keepNext/>
      </w:pPr>
      <w:r>
        <w:rPr>
          <w:rFonts w:eastAsia="Noto Sans CJK SC"/>
        </w:rPr>
        <w:t xml:space="preserve">5.6 B-P16 智能提案与审批中心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列表列：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proposal_id、业务对象、操作类型、发起任务、风险级别、审批状态、审批人、当前版本、创建时间。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提案详情：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当前值/拟变更值、影响对象、业务约束校验、依据、是否涉及外部 API、副作用、回滚或补偿方案。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操作：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批准、驳回、退回修改、授权复核；审批绑定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proposal_version_hash</w:t>
      </w:r>
      <w:r>
        <w:rPr>
          <w:rFonts w:eastAsia="Noto Sans CJK SC"/>
        </w:rPr>
        <w:t xml:space="preserve">；审批人与发起人分离（高风险）。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状态：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DRAFT → SUBMITTED → REVIEW_REQUIRED → APPROVED/REJECTED → EXECUTING → RECONCILING → COMPLETED/UNKNOWN/FAILED</w:t>
      </w:r>
      <w:r>
        <w:rPr>
          <w:rFonts w:eastAsia="Noto Sans CJK SC"/>
        </w:rPr>
        <w:t xml:space="preserve">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验收：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直接伪造 APPROVED 请求无效；审批后篡改任意关键字段则拒绝执行；外部超时后展示待核对，不盲目重发。</w:t>
      </w:r>
    </w:p>
    <w:bookmarkEnd w:id="35"/>
    <w:bookmarkStart w:id="36" w:name="b-p18b-p21-oms-独立工作区"/>
    <w:p>
      <w:pPr>
        <w:pStyle w:val="Heading3"/>
        <w:keepNext/>
      </w:pPr>
      <w:r>
        <w:rPr>
          <w:rFonts w:eastAsia="Noto Sans CJK SC"/>
        </w:rPr>
        <w:t xml:space="preserve">5.7 B-P18–B-P21 OMS 独立工作区</w:t>
      </w:r>
    </w:p>
    <w:p>
      <w:pPr>
        <w:pStyle w:val="FirstParagraph"/>
      </w:pPr>
      <w:r>
        <w:rPr>
          <w:rFonts w:eastAsia="Noto Sans CJK SC"/>
        </w:rPr>
        <w:t xml:space="preserve">OMS 页保持专门的订单队列、履约进度、退款审批、工单、客户档案和物流配置。与 ERP 存在同名对象时，表头显示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System of Record: OMS/ERP</w:t>
      </w:r>
      <w:r>
        <w:rPr>
          <w:rFonts w:eastAsia="Noto Sans CJK SC"/>
        </w:rPr>
        <w:t xml:space="preserve">、来源订单 ID 与同步状态。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互跳：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从 OMS 订单详情可点击“查看 ERP 关联记录”，仅在映射存在且当前用户具备 ERP 权限时出现。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冲突：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同一订单不可在两侧不经契约并行修改；同步中/冲突/待对账明确区分；退款不得因为 OMS 页面显示“审批通过”便假定真实支付通道退款成功。</w:t>
      </w:r>
    </w:p>
    <w:bookmarkEnd w:id="36"/>
    <w:bookmarkEnd w:id="37"/>
    <w:bookmarkStart w:id="41" w:name="三条端到端业务流程"/>
    <w:p>
      <w:pPr>
        <w:pStyle w:val="Heading2"/>
        <w:keepNext/>
      </w:pPr>
      <w:r>
        <w:rPr>
          <w:rFonts w:eastAsia="Noto Sans CJK SC"/>
        </w:rPr>
        <w:t xml:space="preserve">6. 三条端到端业务流程</w:t>
      </w:r>
    </w:p>
    <w:bookmarkStart w:id="38" w:name="流程-biz-flow-01销量上涨利润下降库存紧张"/>
    <w:p>
      <w:pPr>
        <w:pStyle w:val="Heading3"/>
        <w:keepNext/>
      </w:pPr>
      <w:r>
        <w:rPr>
          <w:rFonts w:eastAsia="Noto Sans CJK SC"/>
        </w:rPr>
        <w:t xml:space="preserve">6.1 流程 BIZ-FLOW-01：销量上涨、利润下降、库存紧张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SC"/>
        </w:rPr>
        <w:t xml:space="preserve">管理者在经营总览发现异常，点击 AI 诊断，系统传递受控的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BusinessScope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与时间区间。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SC"/>
        </w:rPr>
        <w:t xml:space="preserve">编排 Agent 分派财务、库存、广告及可选采购任务；LIM 调用 ERP 有权限的只读业务工具。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SC"/>
        </w:rPr>
        <w:t xml:space="preserve">返回利润费用拆解、广告效率、库存覆盖、供应商交期；统一检查数据时间、币种和统计口径。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SC"/>
        </w:rPr>
        <w:t xml:space="preserve">右栏显示带证据的经营建议、冲突条件、缺失项与风险；不能确认的事项标记需要人工。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SC"/>
        </w:rPr>
        <w:t xml:space="preserve">用户选择生成提案，审批通过后由 ERP 受控命令执行，结果回读核验；前端不调用数据库直写。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SC"/>
        </w:rPr>
        <w:t xml:space="preserve">用户能重开该任务，查看先前证据快照、审批版本、执行回执、模型/工具版本。</w:t>
      </w:r>
    </w:p>
    <w:bookmarkEnd w:id="38"/>
    <w:bookmarkStart w:id="39" w:name="流程-biz-flow-02listing-修订与人工审查"/>
    <w:p>
      <w:pPr>
        <w:pStyle w:val="Heading3"/>
        <w:keepNext/>
      </w:pPr>
      <w:r>
        <w:rPr>
          <w:rFonts w:eastAsia="Noto Sans CJK SC"/>
        </w:rPr>
        <w:t xml:space="preserve">6.2 流程 BIZ-FLOW-02：Listing 修订与人工审查</w:t>
      </w:r>
    </w:p>
    <w:p>
      <w:pPr>
        <w:pStyle w:val="FirstParagraph"/>
      </w:pPr>
      <w:r>
        <w:rPr>
          <w:rFonts w:eastAsia="Noto Sans CJK SC"/>
        </w:rPr>
        <w:t xml:space="preserve">选择商品与国家→加载 SKU 主数据和待审 Listing→检索有效政策条款→发现问题（原文位置、类型、风险与证据）→生成可编辑差异→审核人采纳/拒绝→保存修订草稿→现有发布流程（如有）独立审批→记录反馈。未获得可信政策时不能宣称合规通过。</w:t>
      </w:r>
    </w:p>
    <w:bookmarkEnd w:id="39"/>
    <w:bookmarkStart w:id="40" w:name="流程-biz-flow-03storefront-订单进入-erp-oms"/>
    <w:p>
      <w:pPr>
        <w:pStyle w:val="Heading3"/>
        <w:keepNext/>
      </w:pPr>
      <w:r>
        <w:rPr>
          <w:rFonts w:eastAsia="Noto Sans CJK SC"/>
        </w:rPr>
        <w:t xml:space="preserve">6.3 流程 BIZ-FLOW-03：Storefront 订单进入 ERP / OMS</w:t>
      </w:r>
    </w:p>
    <w:p>
      <w:pPr>
        <w:pStyle w:val="FirstParagraph"/>
      </w:pPr>
      <w:r>
        <w:rPr>
          <w:rFonts w:eastAsia="Noto Sans CJK SC"/>
        </w:rPr>
        <w:t xml:space="preserve">消费者商城创建幂等下单请求→集成层在 ERP 生成草稿订单并保存价格/地址快照→ERP 审核并预留库存→仓库确认出库→状态经受控查询或事件返回商城。独立 OMS 仅在</w:t>
      </w:r>
      <w:r>
        <w:rPr>
          <w:rFonts w:eastAsia="Noto Sans CJK SC"/>
        </w:rPr>
        <w:t xml:space="preserve"> </w:t>
      </w:r>
      <w:r>
        <w:rPr>
          <w:rFonts w:eastAsia="Noto Sans CJK SC"/>
          <w:b/>
          <w:bCs/>
        </w:rPr>
        <w:t xml:space="preserve">明确的唯一写入主责与映射契约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存在时作为履约参与方；不得假定同一笔订单同时由 OMS 和 ERP 管理且保持一致。</w:t>
      </w:r>
    </w:p>
    <w:bookmarkEnd w:id="40"/>
    <w:bookmarkEnd w:id="41"/>
    <w:bookmarkStart w:id="42" w:name="前后端接口与事件契约建议稿非现有接口承诺"/>
    <w:p>
      <w:pPr>
        <w:pStyle w:val="Heading2"/>
        <w:keepNext/>
      </w:pPr>
      <w:r>
        <w:rPr>
          <w:rFonts w:eastAsia="Noto Sans CJK SC"/>
        </w:rPr>
        <w:t xml:space="preserve">7. 前后端接口与事件契约（建议稿；非现有接口承诺）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468"/>
        <w:gridCol w:w="1800"/>
        <w:gridCol w:w="979"/>
        <w:gridCol w:w="2015"/>
        <w:gridCol w:w="3772"/>
      </w:tblGrid>
      <w:tr>
        <w:trPr>
          <w:tblHeader w:val="on"/>
          <w:tblHeader w:val="true"/>
        </w:trPr>
        <w:tc>
          <w:tcPr>
            <w:tcW w:type="dxa" w:w="1469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契约</w:t>
            </w:r>
          </w:p>
        </w:tc>
        <w:tc>
          <w:tcPr>
            <w:tcW w:type="dxa" w:w="1800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建议方法/路径</w:t>
            </w:r>
          </w:p>
        </w:tc>
        <w:tc>
          <w:tcPr>
            <w:tcW w:type="dxa" w:w="979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主要请求</w:t>
            </w:r>
          </w:p>
        </w:tc>
        <w:tc>
          <w:tcPr>
            <w:tcW w:type="dxa" w:w="2016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主要响应</w:t>
            </w:r>
          </w:p>
        </w:tc>
        <w:tc>
          <w:tcPr>
            <w:tcW w:type="dxa" w:w="3773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负责人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当前用户工作区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GET /api/portal/workspaces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服务端认证上下文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workspace、permission、deep_link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门户/身份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KPI 列表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GET /api/erp/dashboard/metrics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store、marketplace、date_range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metric、currency、source_at、quality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诊断任务创建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POST /api/ai/runs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goal、SKU、time_window、scope_ref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run_id、status、trace_id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AI 应用+LIM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诊断任务读取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GET /api/ai/runs/{runId}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run_id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tasks、findings、evidence、errors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AI 应用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Listing 审查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POST /api/ai/listing-reviews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SKU、listing_version、scope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review_id、status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AI 应用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提案提交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POST /api/erp/action-proposals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proposal_version、target、command_intent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proposal_id、pending_review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ERP/Harness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提案审批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POST /api/erp/action-proposals/{id}/decisions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action、reason、version_hash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decision、actor、audit_ref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OMS 关联查询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GET /api/integration/order-links/{id}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oms_order_id / erp_order_id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authoritative_system、mapping、sync_state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集成层</w:t>
            </w:r>
          </w:p>
        </w:tc>
      </w:tr>
    </w:tbl>
    <w:p>
      <w:pPr>
        <w:pStyle w:val="BodyText"/>
      </w:pPr>
      <w:r>
        <w:rPr>
          <w:rFonts w:eastAsia="Noto Sans CJK SC"/>
          <w:b/>
          <w:bCs/>
        </w:rPr>
        <w:t xml:space="preserve">统一错误码建议：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SCOPE_FORBIDDEN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STALE_SNAPSHOT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DATA_NOT_READY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ORDER_STATE_CONFLICT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APPROVAL_VERSION_MISMATCH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EXTERNAL_RESULT_UNKNOWN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SOURCE_UNVERIFIED</w:t>
      </w:r>
      <w:r>
        <w:rPr>
          <w:rFonts w:eastAsia="Noto Sans CJK SC"/>
        </w:rPr>
        <w:t xml:space="preserve">。前端为错误码提供明确恢复动作，绝不在未知结果下展示成功。</w:t>
      </w:r>
    </w:p>
    <w:p>
      <w:pPr>
        <w:pStyle w:val="BodyText"/>
      </w:pPr>
      <w:r>
        <w:rPr>
          <w:rFonts w:eastAsia="Noto Sans CJK SC"/>
          <w:b/>
          <w:bCs/>
        </w:rPr>
        <w:t xml:space="preserve">跨端传输字段：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request_id、trace_id、actor_id（由服务端签发）、tenant_id、store_id、source_system、source_record_id、schema_version、occurred_at、idempotency_key、payload_hash、data_classification。涉及个人数据时按角色脱敏并遵守保留策略。</w:t>
      </w:r>
    </w:p>
    <w:bookmarkEnd w:id="42"/>
    <w:bookmarkStart w:id="43" w:name="核心数据对象前端视图模型"/>
    <w:p>
      <w:pPr>
        <w:pStyle w:val="Heading2"/>
        <w:keepNext/>
      </w:pPr>
      <w:r>
        <w:rPr>
          <w:rFonts w:eastAsia="Noto Sans CJK SC"/>
        </w:rPr>
        <w:t xml:space="preserve">8. 核心数据对象（前端视图模型）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102"/>
        <w:gridCol w:w="3052"/>
        <w:gridCol w:w="4881"/>
      </w:tblGrid>
      <w:tr>
        <w:trPr>
          <w:tblHeader w:val="on"/>
          <w:tblHeader w:val="true"/>
        </w:trPr>
        <w:tc>
          <w:tcPr>
            <w:tcW w:type="dxa" w:w="2102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对象</w:t>
            </w:r>
          </w:p>
        </w:tc>
        <w:tc>
          <w:tcPr>
            <w:tcW w:type="dxa" w:w="3053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必备字段</w:t>
            </w:r>
          </w:p>
        </w:tc>
        <w:tc>
          <w:tcPr>
            <w:tcW w:type="dxa" w:w="4882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注意事项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BusinessContext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tenant、actor、authorized_stores、marketplace、time_window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权限由可信后端签发，前端不可自行扩大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BusinessMetric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code、value、currency/unit、formula、source、snapshot_time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禁止跨币种误聚合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ERPOrderView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order_id、status、items、customer_masked、payment_evidence、fulfilment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订单状态以 ERP 为准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InventoryView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SKU、warehouse、on_hand、reserved、available、updated_at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并发变动须刷新版本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DiagnosisRun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run_id、goal、status、agent_tasks、findings、trace_ref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子任务失败不冒充整单成功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EvidenceReference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source_type、record_id、version、observed_at、scope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原记录必须可追溯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ActionProposal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id、version_hash、risk、target、diff、status、approver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批准和执行分开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OrderLink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erp_id、oms_id、storefront_id、write_owner、sync_status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不支持无约束双主</w:t>
            </w:r>
          </w:p>
        </w:tc>
      </w:tr>
    </w:tbl>
    <w:bookmarkEnd w:id="43"/>
    <w:bookmarkStart w:id="44" w:name="非功能要求nfr"/>
    <w:p>
      <w:pPr>
        <w:pStyle w:val="Heading2"/>
        <w:keepNext/>
      </w:pPr>
      <w:r>
        <w:rPr>
          <w:rFonts w:eastAsia="Noto Sans CJK SC"/>
        </w:rPr>
        <w:t xml:space="preserve">9. 非功能要求（NFR）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SC"/>
          <w:b/>
          <w:bCs/>
        </w:rPr>
        <w:t xml:space="preserve">性能目标（拟议，需压测）</w:t>
      </w:r>
      <w:r>
        <w:rPr>
          <w:rFonts w:eastAsia="Noto Sans CJK SC"/>
        </w:rPr>
        <w:t xml:space="preserve">：ERP 常规列表 p95 ≤2.5s；AI 新建任务接口 ≤3s 返回 run_id，长任务异步更新；列表默认单页 ≤100 行；大批量导出后台作业。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SC"/>
          <w:b/>
          <w:bCs/>
        </w:rPr>
        <w:t xml:space="preserve">可靠性</w:t>
      </w:r>
      <w:r>
        <w:rPr>
          <w:rFonts w:eastAsia="Noto Sans CJK SC"/>
        </w:rPr>
        <w:t xml:space="preserve">：失败明确可见；只读可带边界重试；写入须幂等与回读；跳转不丢失已保存筛选。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SC"/>
          <w:b/>
          <w:bCs/>
        </w:rPr>
        <w:t xml:space="preserve">安全</w:t>
      </w:r>
      <w:r>
        <w:rPr>
          <w:rFonts w:eastAsia="Noto Sans CJK SC"/>
        </w:rPr>
        <w:t xml:space="preserve">：登录、超时会话、RBAC/店铺权限、字段脱敏、CSRF/XSS 防护；请求不允许明文传播模型密钥。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SC"/>
          <w:b/>
          <w:bCs/>
        </w:rPr>
        <w:t xml:space="preserve">可用性</w:t>
      </w:r>
      <w:r>
        <w:rPr>
          <w:rFonts w:eastAsia="Noto Sans CJK SC"/>
        </w:rPr>
        <w:t xml:space="preserve">：宽屏适配，移动端优先查看不默认完成复杂审批；键盘可达、语义标签、异常颜色配文案。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SC"/>
          <w:b/>
          <w:bCs/>
        </w:rPr>
        <w:t xml:space="preserve">可观察</w:t>
      </w:r>
      <w:r>
        <w:rPr>
          <w:rFonts w:eastAsia="Noto Sans CJK SC"/>
        </w:rPr>
        <w:t xml:space="preserve">：前端页面错误关联 request_id；关键操作上报业务审计，敏感输入脱敏。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SC"/>
          <w:b/>
          <w:bCs/>
        </w:rPr>
        <w:t xml:space="preserve">国际化</w:t>
      </w:r>
      <w:r>
        <w:rPr>
          <w:rFonts w:eastAsia="Noto Sans CJK SC"/>
        </w:rPr>
        <w:t xml:space="preserve">：首期中文管理界面；金额、时区、日期与币种按站点规范展示。</w:t>
      </w:r>
    </w:p>
    <w:bookmarkEnd w:id="44"/>
    <w:bookmarkStart w:id="45" w:name="验收测试given-when-then"/>
    <w:p>
      <w:pPr>
        <w:pStyle w:val="Heading2"/>
        <w:keepNext/>
      </w:pPr>
      <w:r>
        <w:rPr>
          <w:rFonts w:eastAsia="Noto Sans CJK SC"/>
        </w:rPr>
        <w:t xml:space="preserve">10. 验收测试（Given / When / Then）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55"/>
        <w:gridCol w:w="1987"/>
        <w:gridCol w:w="2520"/>
        <w:gridCol w:w="3974"/>
      </w:tblGrid>
      <w:tr>
        <w:trPr>
          <w:tblHeader w:val="on"/>
          <w:tblHeader w:val="true"/>
        </w:trPr>
        <w:tc>
          <w:tcPr>
            <w:tcW w:type="dxa" w:w="1555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TC</w:t>
            </w:r>
          </w:p>
        </w:tc>
        <w:tc>
          <w:tcPr>
            <w:tcW w:type="dxa" w:w="1987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前置条件</w:t>
            </w:r>
          </w:p>
        </w:tc>
        <w:tc>
          <w:tcPr>
            <w:tcW w:type="dxa" w:w="2520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操作</w:t>
            </w:r>
          </w:p>
        </w:tc>
        <w:tc>
          <w:tcPr>
            <w:tcW w:type="dxa" w:w="3974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期望结果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B-T01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用户只有 US 店铺权限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URL 手动改成 UK store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页面拒绝 + 后端 403，数据不泄露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B-T02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USD/GBP 混合订单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查看总金额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分币种展示或标明换算汇率，禁止直接合计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B-T03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库存剩余不足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并发审核两张发货申请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不得出现超售；失败一方显示业务冲突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B-T04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广告来自 CSV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查看诊断卡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显示“导入数据”及最后导入时间，不显示“实时”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B-T05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补货缺供应商交期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提交采购建议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显示待补证据，不自动批准采购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B-T06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诊断子 Agent 超时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查看运行详情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展示失败节点、已完成证据与重试边界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B-T07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审批完成后提案被修改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申请执行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拒绝执行、提示重新审批并留审计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B-T08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OMS 与 ERP 订单 ID 映射缺失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点击关联订单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显示“未建立映射”，不得伪造对应单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B-T09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商城提交相同 idempotency_key 两次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查看 ERP 订单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最多创建一笔被接受的关联订单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B-T10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Listing 引用过期政策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点击审查通过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显示版本不确定、转人工复核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B-T11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用户无客户联系方式权限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查看客户/导出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联系信息脱敏，导出被拒绝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B-T12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业务命令超时且结果不明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重试命令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禁止无脑重复发起副作用；进入待核对</w:t>
            </w:r>
          </w:p>
        </w:tc>
      </w:tr>
    </w:tbl>
    <w:bookmarkEnd w:id="45"/>
    <w:bookmarkStart w:id="46" w:name="分阶段交付与依赖"/>
    <w:p>
      <w:pPr>
        <w:pStyle w:val="Heading2"/>
        <w:keepNext/>
      </w:pPr>
      <w:r>
        <w:rPr>
          <w:rFonts w:eastAsia="Noto Sans CJK SC"/>
        </w:rPr>
        <w:t xml:space="preserve">11. 分阶段交付与依赖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102"/>
        <w:gridCol w:w="3052"/>
        <w:gridCol w:w="4881"/>
      </w:tblGrid>
      <w:tr>
        <w:trPr>
          <w:tblHeader w:val="on"/>
          <w:tblHeader w:val="true"/>
        </w:trPr>
        <w:tc>
          <w:tcPr>
            <w:tcW w:type="dxa" w:w="2102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Gate</w:t>
            </w:r>
          </w:p>
        </w:tc>
        <w:tc>
          <w:tcPr>
            <w:tcW w:type="dxa" w:w="3053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优先交付</w:t>
            </w:r>
          </w:p>
        </w:tc>
        <w:tc>
          <w:tcPr>
            <w:tcW w:type="dxa" w:w="4882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验收退出条件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G0 存量验收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整理 B/A/O/P 功能可用性与 API、模拟数据标签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形成实现/联通/验收/生产四状态台账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G1 企业门户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入口、权限与工作区切换、ERP 数据来源标识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RBAC 与深链负向测试通过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G2 AI 纵切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Listing 审查、补货证据、运行历史、人工审核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至少一条纵切闭环可复现，可引用证据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G3 跨域诊断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经营问题→编排→联合报告→提案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能处理冲突、缺失和失败状态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G4 OMS 集成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单主写、订单映射、同步与对账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无双主写，消息重复/乱序可恢复</w:t>
            </w:r>
          </w:p>
        </w:tc>
      </w:tr>
    </w:tbl>
    <w:bookmarkEnd w:id="46"/>
    <w:bookmarkStart w:id="47" w:name="前端实现拆分建议"/>
    <w:p>
      <w:pPr>
        <w:pStyle w:val="Heading2"/>
        <w:keepNext/>
      </w:pPr>
      <w:r>
        <w:rPr>
          <w:rFonts w:eastAsia="Noto Sans CJK SC"/>
        </w:rPr>
        <w:t xml:space="preserve">12. 前端实现拆分建议</w:t>
      </w:r>
    </w:p>
    <w:p>
      <w:pPr>
        <w:pStyle w:val="Compact"/>
        <w:numPr>
          <w:ilvl w:val="0"/>
          <w:numId w:val="1007"/>
        </w:numPr>
      </w:pPr>
      <w:r>
        <w:rPr>
          <w:rFonts w:eastAsia="Noto Sans CJK SC"/>
        </w:rPr>
        <w:t xml:space="preserve">复用现有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frontend/src/pages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ERP 业务页面和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oms/frontend/src/pages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OMS 页面，不复制业务状态管理代码。</w:t>
      </w:r>
    </w:p>
    <w:p>
      <w:pPr>
        <w:pStyle w:val="Compact"/>
        <w:numPr>
          <w:ilvl w:val="0"/>
          <w:numId w:val="1007"/>
        </w:numPr>
      </w:pPr>
      <w:r>
        <w:rPr>
          <w:rFonts w:eastAsia="Noto Sans CJK SC"/>
        </w:rPr>
        <w:t xml:space="preserve">新增企业门户及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ai-operations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工作区：路由、侧栏、Evidence Drawer、Agent Timeline、Proposal Diff、Execution Status、Data Provenance Tag。</w:t>
      </w:r>
    </w:p>
    <w:p>
      <w:pPr>
        <w:pStyle w:val="Compact"/>
        <w:numPr>
          <w:ilvl w:val="0"/>
          <w:numId w:val="1007"/>
        </w:numPr>
      </w:pPr>
      <w:r>
        <w:rPr>
          <w:rFonts w:eastAsia="Noto Sans CJK SC"/>
        </w:rPr>
        <w:t xml:space="preserve">共享前端基础：Design Tokens、Scope Selector、Audit Trail、Error Boundary、Loading/Skeleton、权限 Hook、审计链路。</w:t>
      </w:r>
    </w:p>
    <w:p>
      <w:pPr>
        <w:pStyle w:val="Compact"/>
        <w:numPr>
          <w:ilvl w:val="0"/>
          <w:numId w:val="1007"/>
        </w:numPr>
      </w:pPr>
      <w:r>
        <w:rPr>
          <w:rFonts w:eastAsia="Noto Sans CJK SC"/>
          <w:b/>
          <w:bCs/>
        </w:rPr>
        <w:t xml:space="preserve">独立 OMS 可保留不同前端应用与部署地址</w:t>
      </w:r>
      <w:r>
        <w:rPr>
          <w:rFonts w:eastAsia="Noto Sans CJK SC"/>
        </w:rPr>
        <w:t xml:space="preserve">，仅提供统一入口和身份/接口适配；</w:t>
      </w:r>
      <w:r>
        <w:rPr>
          <w:rFonts w:eastAsia="Noto Sans CJK SC"/>
        </w:rPr>
        <w:t xml:space="preserve">“</w:t>
      </w:r>
      <w:r>
        <w:rPr>
          <w:rFonts w:eastAsia="Noto Sans CJK SC"/>
        </w:rPr>
        <w:t xml:space="preserve">页面在同一导航可达</w:t>
      </w:r>
      <w:r>
        <w:rPr>
          <w:rFonts w:eastAsia="Noto Sans CJK SC"/>
        </w:rPr>
        <w:t xml:space="preserve">”</w:t>
      </w:r>
      <w:r>
        <w:rPr>
          <w:rFonts w:eastAsia="Noto Sans CJK SC"/>
        </w:rPr>
        <w:t xml:space="preserve">不等于服务已经合并。</w:t>
      </w:r>
    </w:p>
    <w:bookmarkEnd w:id="47"/>
    <w:bookmarkStart w:id="48" w:name="开放问题"/>
    <w:p>
      <w:pPr>
        <w:pStyle w:val="Heading2"/>
        <w:keepNext/>
      </w:pPr>
      <w:r>
        <w:rPr>
          <w:rFonts w:eastAsia="Noto Sans CJK SC"/>
        </w:rPr>
        <w:t xml:space="preserve">13. 开放问题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SC"/>
        </w:rPr>
        <w:t xml:space="preserve">ERP 和 OMS 哪一方对哪些订单字段拥有唯一写入权？退款的系统边界如何定义？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SC"/>
        </w:rPr>
        <w:t xml:space="preserve">首期真实接入哪些平台/国家，哪些数据只来自 CSV/DataLab/mock？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SC"/>
        </w:rPr>
        <w:t xml:space="preserve">企业是否已有审批矩阵和岗位授权策略？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SC"/>
        </w:rPr>
        <w:t xml:space="preserve">Listing 审查采用哪个平台、国家、类目的权威政策源？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SC"/>
        </w:rPr>
        <w:t xml:space="preserve">AI 运行任务的长轮询/SSE/WebSocket 能力是否已有？各模块 API 路径最终以现有项目为准。</w:t>
      </w:r>
    </w:p>
    <w:p>
      <w:r>
        <w:rPr>
          <w:rFonts w:eastAsia="Noto Sans CJK SC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eastAsia="Noto Sans CJK SC"/>
          <w:b/>
          <w:bCs/>
        </w:rPr>
        <w:t xml:space="preserve">需求追踪</w:t>
      </w:r>
      <w:r>
        <w:rPr>
          <w:rFonts w:eastAsia="Noto Sans CJK SC"/>
        </w:rPr>
        <w:t xml:space="preserve">：引用现有代码编号 B01–B31、A01–A12、P01–P07、O01–O07；对跨域与 LIM 的描述属于目标设计。前端 PRD 的验收范围不取代后端契约测试或真实平台验收。</w:t>
      </w:r>
    </w:p>
    <w:bookmarkEnd w:id="48"/>
    <w:bookmarkEnd w:id="49"/>
    <w:sectPr>
      <w:headerReference w:type="default" r:id="rId9"/>
      <w:footerReference w:type="default" r:id="rId10"/>
      <w:pgMar w:top="1080" w:bottom="1008" w:left="922" w:right="922" w:header="461" w:footer="4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8CA0"/>
        <w:sz w:val="16"/>
      </w:rPr>
      <w:t xml:space="preserve">CommerceOS · 三端需求文档   |   第 </w:t>
    </w:r>
    <w:fldSimple w:instr="PAGE"/>
    <w:r>
      <w:rPr>
        <w:color w:val="7D8CA0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748597"/>
        <w:sz w:val="16"/>
      </w:rPr>
      <w:t>COMMERCEOS  /  PRODUCT REQUIREMENTS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300" w:lineRule="auto"/>
    </w:pPr>
    <w:rPr>
      <w:rFonts w:ascii="Noto Sans CJK SC" w:hAnsi="Noto Sans CJK SC" w:eastAsia="Noto Sans CJK SC"/>
      <w:color w:val="253145"/>
      <w:sz w:val="18"/>
    </w:rPr>
  </w:style>
  <w:style w:styleId="BodyText" w:type="paragraph">
    <w:name w:val="Body Text"/>
    <w:basedOn w:val="Normal"/>
    <w:link w:val="BodyTextChar"/>
    <w:qFormat/>
    <w:pPr>
      <w:spacing w:after="100" w:before="180" w:line="300" w:lineRule="auto"/>
    </w:pPr>
    <w:rPr>
      <w:rFonts w:ascii="Noto Sans CJK SC" w:hAnsi="Noto Sans CJK SC" w:eastAsia="Noto Sans CJK SC"/>
      <w:color w:val="253145"/>
      <w:sz w:val="18"/>
    </w:rPr>
  </w:style>
  <w:style w:customStyle="1" w:styleId="FirstParagraph" w:type="paragraph">
    <w:name w:val="First Paragraph"/>
    <w:basedOn w:val="BodyText"/>
    <w:next w:val="BodyText"/>
    <w:qFormat/>
    <w:pPr>
      <w:spacing w:after="100" w:line="300" w:lineRule="auto"/>
    </w:pPr>
    <w:rPr>
      <w:rFonts w:ascii="Noto Sans CJK SC" w:hAnsi="Noto Sans CJK SC" w:eastAsia="Noto Sans CJK SC"/>
      <w:color w:val="253145"/>
      <w:sz w:val="18"/>
    </w:rPr>
  </w:style>
  <w:style w:customStyle="1" w:styleId="Compact" w:type="paragraph">
    <w:name w:val="Compact"/>
    <w:basedOn w:val="BodyText"/>
    <w:qFormat/>
    <w:pPr>
      <w:spacing w:after="100" w:before="36" w:line="300" w:lineRule="auto"/>
    </w:pPr>
    <w:rPr>
      <w:rFonts w:ascii="Noto Sans CJK SC" w:hAnsi="Noto Sans CJK SC" w:eastAsia="Noto Sans CJK SC"/>
      <w:color w:val="253145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200" w:before="100"/>
      <w:jc w:val="center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24538F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after="40"/>
    </w:pPr>
    <w:rPr>
      <w:rFonts w:ascii="DejaVu Sans Mono" w:hAnsi="DejaVu Sans Mono"/>
      <w:sz w:val="1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企业经营管理端 PRD</dc:title>
  <dc:creator>CommerceOS Product Design</dc:creator>
  <cp:keywords/>
  <dcterms:created xsi:type="dcterms:W3CDTF">2026-10-20T16:44:02Z</dcterms:created>
  <dcterms:modified xsi:type="dcterms:W3CDTF">2026-10-20T16:44:02Z</dcterms:modified>
  <dc:subject>CommerceOS | 五系统三端细分产品需求文档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