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4261D" w14:textId="5440A2A3" w:rsidR="00A1267A" w:rsidRPr="00A1267A" w:rsidRDefault="00904115" w:rsidP="00A1267A">
      <w:pPr>
        <w:jc w:val="both"/>
        <w:rPr>
          <w:b/>
          <w:bCs/>
        </w:rPr>
      </w:pPr>
      <w:r>
        <w:rPr>
          <w:b/>
          <w:bCs/>
        </w:rPr>
        <w:t xml:space="preserve">Notes: </w:t>
      </w:r>
      <w:r w:rsidR="00A1267A" w:rsidRPr="00A1267A">
        <w:rPr>
          <w:b/>
          <w:bCs/>
        </w:rPr>
        <w:t>Data Construction and Mapping Procedure</w:t>
      </w:r>
    </w:p>
    <w:p w14:paraId="0343D10F" w14:textId="497DDCAD" w:rsidR="00A1267A" w:rsidRPr="00A1267A" w:rsidRDefault="00A1267A" w:rsidP="00A1267A">
      <w:pPr>
        <w:jc w:val="both"/>
      </w:pPr>
      <w:r w:rsidRPr="00A1267A">
        <w:t xml:space="preserve">This </w:t>
      </w:r>
      <w:r w:rsidR="00904115">
        <w:t>note</w:t>
      </w:r>
      <w:r w:rsidRPr="00A1267A">
        <w:t xml:space="preserve"> documents the full procedure used to construct our </w:t>
      </w:r>
      <w:r w:rsidR="002B2776">
        <w:t>trademark</w:t>
      </w:r>
      <w:r w:rsidRPr="00A1267A">
        <w:t>-level panel, identify trademark ownership histories, and link trademark owners to public firms.</w:t>
      </w:r>
    </w:p>
    <w:p w14:paraId="5BB7E35F" w14:textId="02917395" w:rsidR="00A1267A" w:rsidRPr="00A1267A" w:rsidRDefault="00A1267A" w:rsidP="00A1267A">
      <w:pPr>
        <w:jc w:val="both"/>
        <w:rPr>
          <w:b/>
          <w:bCs/>
        </w:rPr>
      </w:pPr>
      <w:r w:rsidRPr="00A1267A">
        <w:rPr>
          <w:b/>
          <w:bCs/>
        </w:rPr>
        <w:t>1. Construction of the Public-Firm Name Universe</w:t>
      </w:r>
      <w:r w:rsidR="002B2776">
        <w:rPr>
          <w:b/>
          <w:bCs/>
        </w:rPr>
        <w:t xml:space="preserve"> and Extraction of Trademark Owner Names</w:t>
      </w:r>
    </w:p>
    <w:p w14:paraId="389A92D3" w14:textId="77777777" w:rsidR="00A1267A" w:rsidRPr="00A1267A" w:rsidRDefault="00A1267A" w:rsidP="00A1267A">
      <w:pPr>
        <w:jc w:val="both"/>
      </w:pPr>
      <w:r w:rsidRPr="00A1267A">
        <w:t>We begin by compiling the universe of public-firm names from multiple WRDS datasets:</w:t>
      </w:r>
    </w:p>
    <w:p w14:paraId="1CFF74EF" w14:textId="77777777" w:rsidR="00A1267A" w:rsidRPr="00A1267A" w:rsidRDefault="00A1267A" w:rsidP="00A1267A">
      <w:pPr>
        <w:numPr>
          <w:ilvl w:val="0"/>
          <w:numId w:val="1"/>
        </w:numPr>
        <w:jc w:val="both"/>
      </w:pPr>
      <w:r w:rsidRPr="00A1267A">
        <w:rPr>
          <w:b/>
          <w:bCs/>
        </w:rPr>
        <w:t>CRSP</w:t>
      </w:r>
      <w:r w:rsidRPr="00A1267A">
        <w:t>: security names and historical name changes linked to PERMNO.</w:t>
      </w:r>
    </w:p>
    <w:p w14:paraId="0F35A4DB" w14:textId="77777777" w:rsidR="00A1267A" w:rsidRPr="00A1267A" w:rsidRDefault="00A1267A" w:rsidP="00A1267A">
      <w:pPr>
        <w:numPr>
          <w:ilvl w:val="0"/>
          <w:numId w:val="1"/>
        </w:numPr>
        <w:jc w:val="both"/>
      </w:pPr>
      <w:r w:rsidRPr="00A1267A">
        <w:rPr>
          <w:b/>
          <w:bCs/>
        </w:rPr>
        <w:t>Compustat</w:t>
      </w:r>
      <w:r w:rsidRPr="00A1267A">
        <w:t>: firm-level legal names linked to GVKEY.</w:t>
      </w:r>
    </w:p>
    <w:p w14:paraId="18022999" w14:textId="77777777" w:rsidR="00A1267A" w:rsidRPr="00A1267A" w:rsidRDefault="00A1267A" w:rsidP="00A1267A">
      <w:pPr>
        <w:numPr>
          <w:ilvl w:val="0"/>
          <w:numId w:val="1"/>
        </w:numPr>
        <w:jc w:val="both"/>
      </w:pPr>
      <w:r w:rsidRPr="00A1267A">
        <w:rPr>
          <w:b/>
          <w:bCs/>
        </w:rPr>
        <w:t>WRDS Company–Subsidiary Dataset</w:t>
      </w:r>
      <w:r w:rsidRPr="00A1267A">
        <w:t>: subsidiary names associated with each parent firm.</w:t>
      </w:r>
    </w:p>
    <w:p w14:paraId="6E72FBE0" w14:textId="5CEE898D" w:rsidR="002B2776" w:rsidRDefault="00A1267A" w:rsidP="00A1267A">
      <w:pPr>
        <w:jc w:val="both"/>
      </w:pPr>
      <w:r w:rsidRPr="00A1267A">
        <w:t>For each PERMNO, we merge security names, Compustat company names, and all subsidiary names to form an expanded public-firm name list.</w:t>
      </w:r>
      <w:r w:rsidR="002B2776">
        <w:t xml:space="preserve"> </w:t>
      </w:r>
      <w:r w:rsidR="002B2776" w:rsidRPr="00A1267A">
        <w:t>This ensures that both parent and subsidiary entities are included when matching trademark owners to public firms</w:t>
      </w:r>
    </w:p>
    <w:p w14:paraId="497643C7" w14:textId="616704D0" w:rsidR="00A1267A" w:rsidRPr="00A1267A" w:rsidRDefault="002B2776" w:rsidP="00A1267A">
      <w:pPr>
        <w:jc w:val="both"/>
      </w:pPr>
      <w:r>
        <w:t xml:space="preserve">For the name list of trademark owners, we extract trademark owner names from </w:t>
      </w:r>
      <w:r w:rsidRPr="002B2776">
        <w:t>the USPTO Trademark Case File Dataset (“owner file”).</w:t>
      </w:r>
    </w:p>
    <w:p w14:paraId="34DDAE82" w14:textId="210BD80C" w:rsidR="00A1267A" w:rsidRPr="00A1267A" w:rsidRDefault="002B2776" w:rsidP="00A1267A">
      <w:pPr>
        <w:jc w:val="both"/>
        <w:rPr>
          <w:b/>
          <w:bCs/>
        </w:rPr>
      </w:pPr>
      <w:r>
        <w:rPr>
          <w:b/>
          <w:bCs/>
        </w:rPr>
        <w:t>2</w:t>
      </w:r>
      <w:r w:rsidR="00A1267A" w:rsidRPr="00A1267A">
        <w:rPr>
          <w:b/>
          <w:bCs/>
        </w:rPr>
        <w:t>. Fuzzy Matching Procedure Between Trademarks and Public Firms</w:t>
      </w:r>
    </w:p>
    <w:p w14:paraId="377C76E9" w14:textId="4FC94512" w:rsidR="00A1267A" w:rsidRPr="00A1267A" w:rsidRDefault="00A1267A" w:rsidP="00A1267A">
      <w:pPr>
        <w:jc w:val="both"/>
      </w:pPr>
      <w:r w:rsidRPr="00A1267A">
        <w:t xml:space="preserve">We perform a fuzzy-match between standardized trademark owner names and public-firm names using the </w:t>
      </w:r>
      <w:r w:rsidRPr="00225233">
        <w:t>Jaro–Winkler similarity metric</w:t>
      </w:r>
      <w:r w:rsidRPr="00A1267A">
        <w:t xml:space="preserve">. </w:t>
      </w:r>
      <w:r w:rsidR="002B2776" w:rsidRPr="00A1267A">
        <w:t>Prior to matching, we standardize all names in both datasets</w:t>
      </w:r>
      <w:r w:rsidR="002B2776">
        <w:t xml:space="preserve">. </w:t>
      </w:r>
      <w:r w:rsidRPr="00A1267A">
        <w:t>For each trademark owner name, we:</w:t>
      </w:r>
    </w:p>
    <w:p w14:paraId="3CEA9FA3" w14:textId="77777777" w:rsidR="00A1267A" w:rsidRPr="00A1267A" w:rsidRDefault="00A1267A" w:rsidP="00A1267A">
      <w:pPr>
        <w:numPr>
          <w:ilvl w:val="0"/>
          <w:numId w:val="3"/>
        </w:numPr>
        <w:jc w:val="both"/>
      </w:pPr>
      <w:r w:rsidRPr="00A1267A">
        <w:t>compute similarity scores against all public-firm names,</w:t>
      </w:r>
    </w:p>
    <w:p w14:paraId="0FFB05A3" w14:textId="77777777" w:rsidR="00A1267A" w:rsidRPr="00A1267A" w:rsidRDefault="00A1267A" w:rsidP="00A1267A">
      <w:pPr>
        <w:numPr>
          <w:ilvl w:val="0"/>
          <w:numId w:val="3"/>
        </w:numPr>
        <w:jc w:val="both"/>
      </w:pPr>
      <w:r w:rsidRPr="00A1267A">
        <w:t xml:space="preserve">retain the </w:t>
      </w:r>
      <w:r w:rsidRPr="00225233">
        <w:t>top 10 candidate matches</w:t>
      </w:r>
      <w:r w:rsidRPr="00A1267A">
        <w:t>, and</w:t>
      </w:r>
    </w:p>
    <w:p w14:paraId="2C13F464" w14:textId="77777777" w:rsidR="00A1267A" w:rsidRPr="00A1267A" w:rsidRDefault="00A1267A" w:rsidP="00A1267A">
      <w:pPr>
        <w:numPr>
          <w:ilvl w:val="0"/>
          <w:numId w:val="3"/>
        </w:numPr>
        <w:jc w:val="both"/>
      </w:pPr>
      <w:r w:rsidRPr="00A1267A">
        <w:t xml:space="preserve">keep only matches with similarity score </w:t>
      </w:r>
      <w:r w:rsidRPr="00225233">
        <w:t xml:space="preserve">greater than </w:t>
      </w:r>
      <w:r w:rsidRPr="00225233">
        <w:rPr>
          <w:u w:val="single"/>
        </w:rPr>
        <w:t>0.97</w:t>
      </w:r>
      <w:r w:rsidRPr="00A1267A">
        <w:t xml:space="preserve"> for manual inspection.</w:t>
      </w:r>
    </w:p>
    <w:p w14:paraId="14936052" w14:textId="77777777" w:rsidR="00A1267A" w:rsidRPr="00A1267A" w:rsidRDefault="00A1267A" w:rsidP="00A1267A">
      <w:pPr>
        <w:jc w:val="both"/>
      </w:pPr>
      <w:r w:rsidRPr="00A1267A">
        <w:t>We select this threshold based on preliminary validation, which showed that credible matches rarely fall below 0.97.</w:t>
      </w:r>
    </w:p>
    <w:p w14:paraId="37001A80" w14:textId="2075E2EE" w:rsidR="00A1267A" w:rsidRPr="00A1267A" w:rsidRDefault="00A1267A" w:rsidP="00A1267A">
      <w:pPr>
        <w:jc w:val="both"/>
      </w:pPr>
      <w:r w:rsidRPr="00A1267A">
        <w:t>Each candidate match above the threshold is manually reviewed.</w:t>
      </w:r>
      <w:r w:rsidRPr="00A1267A">
        <w:br/>
        <w:t>We retain only pairs where we have high confidence that the trademark owner and public firm refer to the same underlying entity. All uncertain or ambiguous matches are removed.</w:t>
      </w:r>
      <w:r w:rsidR="00225233">
        <w:t xml:space="preserve"> </w:t>
      </w:r>
      <w:r w:rsidRPr="00A1267A">
        <w:t xml:space="preserve">This verified mapping table serves as the foundation for </w:t>
      </w:r>
      <w:r w:rsidR="00225233">
        <w:t>later</w:t>
      </w:r>
      <w:r w:rsidRPr="00A1267A">
        <w:t xml:space="preserve"> li</w:t>
      </w:r>
      <w:r w:rsidR="00225233">
        <w:t xml:space="preserve">nking trademark to public </w:t>
      </w:r>
      <w:proofErr w:type="gramStart"/>
      <w:r w:rsidR="00225233">
        <w:t>firms</w:t>
      </w:r>
      <w:proofErr w:type="gramEnd"/>
      <w:r w:rsidR="00225233">
        <w:t xml:space="preserve"> step</w:t>
      </w:r>
      <w:r w:rsidRPr="00A1267A">
        <w:t>.</w:t>
      </w:r>
    </w:p>
    <w:p w14:paraId="1A057818" w14:textId="65944E79" w:rsidR="00A1267A" w:rsidRPr="00A1267A" w:rsidRDefault="002B2776" w:rsidP="00A1267A">
      <w:pPr>
        <w:jc w:val="both"/>
        <w:rPr>
          <w:b/>
          <w:bCs/>
        </w:rPr>
      </w:pPr>
      <w:r>
        <w:rPr>
          <w:b/>
          <w:bCs/>
        </w:rPr>
        <w:t>3</w:t>
      </w:r>
      <w:r w:rsidR="00A1267A" w:rsidRPr="00A1267A">
        <w:rPr>
          <w:b/>
          <w:bCs/>
        </w:rPr>
        <w:t>. Construction of Trademark–Year Panel</w:t>
      </w:r>
    </w:p>
    <w:p w14:paraId="5EDCF128" w14:textId="77777777" w:rsidR="00A1267A" w:rsidRPr="00A1267A" w:rsidRDefault="00A1267A" w:rsidP="00A1267A">
      <w:pPr>
        <w:jc w:val="both"/>
      </w:pPr>
      <w:r w:rsidRPr="00A1267A">
        <w:t>To link trademarks to public firms across time, we construct a panel dataset that records:</w:t>
      </w:r>
    </w:p>
    <w:p w14:paraId="5D1C6D76" w14:textId="77777777" w:rsidR="00A1267A" w:rsidRPr="00A1267A" w:rsidRDefault="00A1267A" w:rsidP="00A1267A">
      <w:pPr>
        <w:numPr>
          <w:ilvl w:val="0"/>
          <w:numId w:val="4"/>
        </w:numPr>
        <w:jc w:val="both"/>
      </w:pPr>
      <w:r w:rsidRPr="00A1267A">
        <w:lastRenderedPageBreak/>
        <w:t>trademark characteristics,</w:t>
      </w:r>
    </w:p>
    <w:p w14:paraId="26A03138" w14:textId="77777777" w:rsidR="00A1267A" w:rsidRPr="00A1267A" w:rsidRDefault="00A1267A" w:rsidP="00A1267A">
      <w:pPr>
        <w:numPr>
          <w:ilvl w:val="0"/>
          <w:numId w:val="4"/>
        </w:numPr>
        <w:jc w:val="both"/>
      </w:pPr>
      <w:r w:rsidRPr="00A1267A">
        <w:t>ownership histories,</w:t>
      </w:r>
    </w:p>
    <w:p w14:paraId="6A8CF3A7" w14:textId="77777777" w:rsidR="00A1267A" w:rsidRPr="00A1267A" w:rsidRDefault="00A1267A" w:rsidP="00A1267A">
      <w:pPr>
        <w:numPr>
          <w:ilvl w:val="0"/>
          <w:numId w:val="4"/>
        </w:numPr>
        <w:jc w:val="both"/>
      </w:pPr>
      <w:r w:rsidRPr="00A1267A">
        <w:t>registration and renewal events, and</w:t>
      </w:r>
    </w:p>
    <w:p w14:paraId="3C6C445B" w14:textId="77777777" w:rsidR="00A1267A" w:rsidRPr="00A1267A" w:rsidRDefault="00A1267A" w:rsidP="00A1267A">
      <w:pPr>
        <w:numPr>
          <w:ilvl w:val="0"/>
          <w:numId w:val="4"/>
        </w:numPr>
        <w:jc w:val="both"/>
      </w:pPr>
      <w:r w:rsidRPr="00A1267A">
        <w:t>expiration or cancellation outcomes.</w:t>
      </w:r>
    </w:p>
    <w:p w14:paraId="7BCDCBD9" w14:textId="0C0398AA" w:rsidR="00A1267A" w:rsidRPr="00A1267A" w:rsidRDefault="00A1267A" w:rsidP="00A1267A">
      <w:pPr>
        <w:jc w:val="both"/>
      </w:pPr>
      <w:r w:rsidRPr="00A1267A">
        <w:t>The construction process involves two major steps.</w:t>
      </w:r>
    </w:p>
    <w:p w14:paraId="21122F35" w14:textId="3C9E9772" w:rsidR="00A1267A" w:rsidRPr="00A1267A" w:rsidRDefault="002B2776" w:rsidP="00A1267A">
      <w:pPr>
        <w:jc w:val="both"/>
        <w:rPr>
          <w:b/>
          <w:bCs/>
        </w:rPr>
      </w:pPr>
      <w:r>
        <w:rPr>
          <w:b/>
          <w:bCs/>
        </w:rPr>
        <w:t>3</w:t>
      </w:r>
      <w:r w:rsidR="00A1267A" w:rsidRPr="00A1267A">
        <w:rPr>
          <w:b/>
          <w:bCs/>
        </w:rPr>
        <w:t>.1 Cleaning and Completing the Trademark Case File</w:t>
      </w:r>
    </w:p>
    <w:p w14:paraId="51A9C2F8" w14:textId="77777777" w:rsidR="00A1267A" w:rsidRPr="00A1267A" w:rsidRDefault="00A1267A" w:rsidP="00A1267A">
      <w:pPr>
        <w:jc w:val="both"/>
      </w:pPr>
      <w:r w:rsidRPr="00A1267A">
        <w:t xml:space="preserve">We begin with the USPTO </w:t>
      </w:r>
      <w:r w:rsidRPr="00A1267A">
        <w:rPr>
          <w:b/>
          <w:bCs/>
        </w:rPr>
        <w:t>Case File</w:t>
      </w:r>
      <w:r w:rsidRPr="00A1267A">
        <w:t xml:space="preserve">, which often contains missing or incomplete date information. To address this, we supplement the data with information from the </w:t>
      </w:r>
      <w:r w:rsidRPr="00A1267A">
        <w:rPr>
          <w:b/>
          <w:bCs/>
        </w:rPr>
        <w:t>Event File</w:t>
      </w:r>
      <w:r w:rsidRPr="00A1267A">
        <w:t>, adding missing:</w:t>
      </w:r>
    </w:p>
    <w:p w14:paraId="78A97F34" w14:textId="77777777" w:rsidR="00A1267A" w:rsidRPr="00A1267A" w:rsidRDefault="00A1267A" w:rsidP="00A1267A">
      <w:pPr>
        <w:numPr>
          <w:ilvl w:val="0"/>
          <w:numId w:val="5"/>
        </w:numPr>
        <w:jc w:val="both"/>
      </w:pPr>
      <w:r w:rsidRPr="00A1267A">
        <w:t>filing dates,</w:t>
      </w:r>
    </w:p>
    <w:p w14:paraId="1981E94D" w14:textId="77777777" w:rsidR="00A1267A" w:rsidRPr="00A1267A" w:rsidRDefault="00A1267A" w:rsidP="00A1267A">
      <w:pPr>
        <w:numPr>
          <w:ilvl w:val="0"/>
          <w:numId w:val="5"/>
        </w:numPr>
        <w:jc w:val="both"/>
      </w:pPr>
      <w:r w:rsidRPr="00A1267A">
        <w:t>publication dates,</w:t>
      </w:r>
    </w:p>
    <w:p w14:paraId="27DFE8BF" w14:textId="77777777" w:rsidR="00A1267A" w:rsidRPr="00A1267A" w:rsidRDefault="00A1267A" w:rsidP="00A1267A">
      <w:pPr>
        <w:numPr>
          <w:ilvl w:val="0"/>
          <w:numId w:val="5"/>
        </w:numPr>
        <w:jc w:val="both"/>
      </w:pPr>
      <w:r w:rsidRPr="00A1267A">
        <w:t>registration dates, and</w:t>
      </w:r>
    </w:p>
    <w:p w14:paraId="53F09C96" w14:textId="77777777" w:rsidR="00A1267A" w:rsidRPr="00A1267A" w:rsidRDefault="00A1267A" w:rsidP="00A1267A">
      <w:pPr>
        <w:numPr>
          <w:ilvl w:val="0"/>
          <w:numId w:val="5"/>
        </w:numPr>
        <w:jc w:val="both"/>
      </w:pPr>
      <w:r w:rsidRPr="00A1267A">
        <w:t>renewal events.</w:t>
      </w:r>
    </w:p>
    <w:p w14:paraId="2449D0E1" w14:textId="0E88B43E" w:rsidR="00A1267A" w:rsidRPr="00A1267A" w:rsidRDefault="00A1267A" w:rsidP="00A1267A">
      <w:pPr>
        <w:jc w:val="both"/>
      </w:pPr>
      <w:r w:rsidRPr="00A1267A">
        <w:t xml:space="preserve">Expiration </w:t>
      </w:r>
      <w:r w:rsidR="00225233">
        <w:t xml:space="preserve">date </w:t>
      </w:r>
      <w:r w:rsidRPr="00A1267A">
        <w:t>is determined using the following hierarchy:</w:t>
      </w:r>
    </w:p>
    <w:p w14:paraId="3EDF1E95" w14:textId="77777777" w:rsidR="00A1267A" w:rsidRPr="00A1267A" w:rsidRDefault="00A1267A" w:rsidP="00A1267A">
      <w:pPr>
        <w:numPr>
          <w:ilvl w:val="0"/>
          <w:numId w:val="6"/>
        </w:numPr>
        <w:jc w:val="both"/>
      </w:pPr>
      <w:r w:rsidRPr="00225233">
        <w:t>Cancellation or abandonment</w:t>
      </w:r>
      <w:r w:rsidRPr="00A1267A">
        <w:t xml:space="preserve"> dates from the Case File take precedence.</w:t>
      </w:r>
    </w:p>
    <w:p w14:paraId="10A5019D" w14:textId="77777777" w:rsidR="00A1267A" w:rsidRPr="00A1267A" w:rsidRDefault="00A1267A" w:rsidP="00A1267A">
      <w:pPr>
        <w:numPr>
          <w:ilvl w:val="0"/>
          <w:numId w:val="6"/>
        </w:numPr>
        <w:jc w:val="both"/>
      </w:pPr>
      <w:r w:rsidRPr="00A1267A">
        <w:t xml:space="preserve">If expiration is missing, we use the </w:t>
      </w:r>
      <w:r w:rsidRPr="00225233">
        <w:t>latest renewal date</w:t>
      </w:r>
      <w:r w:rsidRPr="00A1267A">
        <w:t xml:space="preserve"> plus the statutory validity period:</w:t>
      </w:r>
    </w:p>
    <w:p w14:paraId="253BA274" w14:textId="77777777" w:rsidR="00A1267A" w:rsidRPr="00225233" w:rsidRDefault="00A1267A" w:rsidP="00A1267A">
      <w:pPr>
        <w:numPr>
          <w:ilvl w:val="1"/>
          <w:numId w:val="6"/>
        </w:numPr>
        <w:jc w:val="both"/>
      </w:pPr>
      <w:r w:rsidRPr="00225233">
        <w:t>20 years for renewals before 16 November 1989,</w:t>
      </w:r>
    </w:p>
    <w:p w14:paraId="7BD3FB60" w14:textId="77777777" w:rsidR="00A1267A" w:rsidRPr="00225233" w:rsidRDefault="00A1267A" w:rsidP="00A1267A">
      <w:pPr>
        <w:numPr>
          <w:ilvl w:val="1"/>
          <w:numId w:val="6"/>
        </w:numPr>
        <w:jc w:val="both"/>
      </w:pPr>
      <w:r w:rsidRPr="00225233">
        <w:t>10 years for renewals on or after 16 November 1989.</w:t>
      </w:r>
    </w:p>
    <w:p w14:paraId="0E5F9DC5" w14:textId="6992CC65" w:rsidR="00A1267A" w:rsidRPr="00A1267A" w:rsidRDefault="00A1267A" w:rsidP="00A1267A">
      <w:pPr>
        <w:numPr>
          <w:ilvl w:val="0"/>
          <w:numId w:val="6"/>
        </w:numPr>
        <w:jc w:val="both"/>
      </w:pPr>
      <w:r w:rsidRPr="00A1267A">
        <w:t>For maint</w:t>
      </w:r>
      <w:r w:rsidR="002B2776">
        <w:t>ain</w:t>
      </w:r>
      <w:r w:rsidRPr="00A1267A">
        <w:t xml:space="preserve"> filings (</w:t>
      </w:r>
      <w:r w:rsidR="00225233">
        <w:t xml:space="preserve">normally </w:t>
      </w:r>
      <w:r w:rsidRPr="00A1267A">
        <w:t xml:space="preserve">5–6 years after first registration), if no renewal occurs afterwards, we assign expiration as </w:t>
      </w:r>
      <w:r w:rsidRPr="00225233">
        <w:t>registration date + 10 years.</w:t>
      </w:r>
    </w:p>
    <w:p w14:paraId="418E6964" w14:textId="177A6996" w:rsidR="00A1267A" w:rsidRPr="00A1267A" w:rsidRDefault="00A1267A" w:rsidP="00A1267A">
      <w:pPr>
        <w:jc w:val="both"/>
      </w:pPr>
      <w:r w:rsidRPr="00A1267A">
        <w:t>This yields a complete time series of each trademark’s active period.</w:t>
      </w:r>
    </w:p>
    <w:p w14:paraId="0F6DFF84" w14:textId="3F727A23" w:rsidR="00A1267A" w:rsidRPr="00A1267A" w:rsidRDefault="002B2776" w:rsidP="00A1267A">
      <w:pPr>
        <w:jc w:val="both"/>
        <w:rPr>
          <w:b/>
          <w:bCs/>
        </w:rPr>
      </w:pPr>
      <w:r>
        <w:rPr>
          <w:b/>
          <w:bCs/>
        </w:rPr>
        <w:t>3</w:t>
      </w:r>
      <w:r w:rsidR="00A1267A" w:rsidRPr="00A1267A">
        <w:rPr>
          <w:b/>
          <w:bCs/>
        </w:rPr>
        <w:t>.2 Identifying Trademark Ownership and Ownership Spans</w:t>
      </w:r>
    </w:p>
    <w:p w14:paraId="09F02ACC" w14:textId="7EBB69EB" w:rsidR="00A1267A" w:rsidRPr="00A1267A" w:rsidRDefault="00A1267A" w:rsidP="00A1267A">
      <w:pPr>
        <w:jc w:val="both"/>
      </w:pPr>
      <w:r w:rsidRPr="00A1267A">
        <w:t xml:space="preserve">We identify ownership sequences using the </w:t>
      </w:r>
      <w:r w:rsidRPr="00A1267A">
        <w:rPr>
          <w:b/>
          <w:bCs/>
        </w:rPr>
        <w:t>USPTO Assignment Dataset</w:t>
      </w:r>
      <w:r w:rsidRPr="00A1267A">
        <w:t>, which records transactions from one owner to another.</w:t>
      </w:r>
      <w:r w:rsidR="00225233">
        <w:t xml:space="preserve"> </w:t>
      </w:r>
    </w:p>
    <w:p w14:paraId="5DA67E4B" w14:textId="77777777" w:rsidR="00A1267A" w:rsidRPr="00A1267A" w:rsidRDefault="00A1267A" w:rsidP="00A1267A">
      <w:pPr>
        <w:jc w:val="both"/>
      </w:pPr>
      <w:r w:rsidRPr="00A1267A">
        <w:t>For each trademark:</w:t>
      </w:r>
    </w:p>
    <w:p w14:paraId="5747E733" w14:textId="77777777" w:rsidR="00A1267A" w:rsidRPr="00A1267A" w:rsidRDefault="00A1267A" w:rsidP="00A1267A">
      <w:pPr>
        <w:numPr>
          <w:ilvl w:val="0"/>
          <w:numId w:val="7"/>
        </w:numPr>
        <w:jc w:val="both"/>
      </w:pPr>
      <w:r w:rsidRPr="00A1267A">
        <w:t xml:space="preserve">the </w:t>
      </w:r>
      <w:r w:rsidRPr="00A1267A">
        <w:rPr>
          <w:b/>
          <w:bCs/>
        </w:rPr>
        <w:t>assignee</w:t>
      </w:r>
      <w:r w:rsidRPr="00A1267A">
        <w:t xml:space="preserve"> becomes the </w:t>
      </w:r>
      <w:r w:rsidRPr="00A1267A">
        <w:rPr>
          <w:b/>
          <w:bCs/>
        </w:rPr>
        <w:t>new owner</w:t>
      </w:r>
      <w:r w:rsidRPr="00A1267A">
        <w:t>,</w:t>
      </w:r>
    </w:p>
    <w:p w14:paraId="7C7D7534" w14:textId="77777777" w:rsidR="00A1267A" w:rsidRPr="00A1267A" w:rsidRDefault="00A1267A" w:rsidP="00A1267A">
      <w:pPr>
        <w:numPr>
          <w:ilvl w:val="0"/>
          <w:numId w:val="7"/>
        </w:numPr>
        <w:jc w:val="both"/>
      </w:pPr>
      <w:r w:rsidRPr="00A1267A">
        <w:t xml:space="preserve">the </w:t>
      </w:r>
      <w:r w:rsidRPr="00A1267A">
        <w:rPr>
          <w:b/>
          <w:bCs/>
        </w:rPr>
        <w:t>assignment date</w:t>
      </w:r>
      <w:r w:rsidRPr="00A1267A">
        <w:t xml:space="preserve"> becomes the </w:t>
      </w:r>
      <w:r w:rsidRPr="00A1267A">
        <w:rPr>
          <w:b/>
          <w:bCs/>
        </w:rPr>
        <w:t>ownership start date</w:t>
      </w:r>
      <w:r w:rsidRPr="00A1267A">
        <w:t>, and</w:t>
      </w:r>
    </w:p>
    <w:p w14:paraId="74063862" w14:textId="77777777" w:rsidR="00A1267A" w:rsidRPr="00A1267A" w:rsidRDefault="00A1267A" w:rsidP="00A1267A">
      <w:pPr>
        <w:numPr>
          <w:ilvl w:val="0"/>
          <w:numId w:val="7"/>
        </w:numPr>
        <w:jc w:val="both"/>
      </w:pPr>
      <w:r w:rsidRPr="00A1267A">
        <w:t xml:space="preserve">the same date is used as the </w:t>
      </w:r>
      <w:r w:rsidRPr="00A1267A">
        <w:rPr>
          <w:b/>
          <w:bCs/>
        </w:rPr>
        <w:t>ownership end date</w:t>
      </w:r>
      <w:r w:rsidRPr="00A1267A">
        <w:t xml:space="preserve"> for the previous owner.</w:t>
      </w:r>
    </w:p>
    <w:p w14:paraId="08853A8D" w14:textId="560B8149" w:rsidR="00A1267A" w:rsidRPr="00A1267A" w:rsidRDefault="00A1267A" w:rsidP="00A1267A">
      <w:pPr>
        <w:jc w:val="both"/>
      </w:pPr>
      <w:r w:rsidRPr="00A1267A">
        <w:lastRenderedPageBreak/>
        <w:t>This produces a complete ownership timeline for each trademark.</w:t>
      </w:r>
    </w:p>
    <w:p w14:paraId="7A23F29C" w14:textId="79D70B29" w:rsidR="00A1267A" w:rsidRPr="00A1267A" w:rsidRDefault="002B2776" w:rsidP="00A1267A">
      <w:pPr>
        <w:jc w:val="both"/>
        <w:rPr>
          <w:b/>
          <w:bCs/>
        </w:rPr>
      </w:pPr>
      <w:r>
        <w:rPr>
          <w:b/>
          <w:bCs/>
        </w:rPr>
        <w:t>4</w:t>
      </w:r>
      <w:r w:rsidR="00A1267A" w:rsidRPr="00A1267A">
        <w:rPr>
          <w:b/>
          <w:bCs/>
        </w:rPr>
        <w:t>. Linking Trademarks to Public Firms</w:t>
      </w:r>
    </w:p>
    <w:p w14:paraId="3C492FA7" w14:textId="16CE8062" w:rsidR="00A1267A" w:rsidRPr="00BD1C59" w:rsidRDefault="00A1267A" w:rsidP="00A1267A">
      <w:pPr>
        <w:jc w:val="both"/>
      </w:pPr>
      <w:r w:rsidRPr="00BD1C59">
        <w:t>Using the manually verified mapping table between trademark owners and public firms, we assign each trademark–owner pair to a PERMNO. Because PERMNOs must be valid for the period in which the firm owned the trademark, we use the CRSP–Compustat Linking Table to verify the PERMNO–GVKEY relation over time.</w:t>
      </w:r>
      <w:r w:rsidR="00904115" w:rsidRPr="00BD1C59">
        <w:t xml:space="preserve"> This means a</w:t>
      </w:r>
      <w:r w:rsidRPr="00BD1C59">
        <w:t xml:space="preserve"> trademark is attributed to a GVKEY only when</w:t>
      </w:r>
      <w:r w:rsidR="00904115" w:rsidRPr="00BD1C59">
        <w:t xml:space="preserve"> </w:t>
      </w:r>
      <w:r w:rsidRPr="00BD1C59">
        <w:t>the PERMNO–GVKEY link is active</w:t>
      </w:r>
      <w:r w:rsidR="00904115" w:rsidRPr="00BD1C59">
        <w:t xml:space="preserve"> </w:t>
      </w:r>
      <w:r w:rsidR="00904115" w:rsidRPr="00BD1C59">
        <w:t>for the period in which the firm owned the trademark</w:t>
      </w:r>
      <w:r w:rsidRPr="00BD1C59">
        <w:t>.</w:t>
      </w:r>
    </w:p>
    <w:p w14:paraId="5EB600C5" w14:textId="661282EF" w:rsidR="00A1267A" w:rsidRPr="00A1267A" w:rsidRDefault="00225233" w:rsidP="00A1267A">
      <w:pPr>
        <w:jc w:val="both"/>
        <w:rPr>
          <w:b/>
          <w:bCs/>
        </w:rPr>
      </w:pPr>
      <w:r>
        <w:rPr>
          <w:b/>
          <w:bCs/>
        </w:rPr>
        <w:t>5</w:t>
      </w:r>
      <w:r w:rsidR="00A1267A" w:rsidRPr="00A1267A">
        <w:rPr>
          <w:b/>
          <w:bCs/>
        </w:rPr>
        <w:t>. Adjustments for Mergers and Acquisitions</w:t>
      </w:r>
    </w:p>
    <w:p w14:paraId="07485D03" w14:textId="77777777" w:rsidR="00A1267A" w:rsidRPr="00A1267A" w:rsidRDefault="00A1267A" w:rsidP="00A1267A">
      <w:pPr>
        <w:jc w:val="both"/>
      </w:pPr>
      <w:r w:rsidRPr="00A1267A">
        <w:t xml:space="preserve">We refine trademark ownership timelines using </w:t>
      </w:r>
      <w:r w:rsidRPr="00A1267A">
        <w:rPr>
          <w:b/>
          <w:bCs/>
        </w:rPr>
        <w:t>SDC Platinum</w:t>
      </w:r>
      <w:r w:rsidRPr="00A1267A">
        <w:t xml:space="preserve"> deal-level M&amp;A data.</w:t>
      </w:r>
    </w:p>
    <w:p w14:paraId="7E24EE97" w14:textId="08281A70" w:rsidR="00A1267A" w:rsidRPr="00A1267A" w:rsidRDefault="00904115" w:rsidP="00A1267A">
      <w:pPr>
        <w:jc w:val="both"/>
        <w:rPr>
          <w:b/>
          <w:bCs/>
        </w:rPr>
      </w:pPr>
      <w:r>
        <w:rPr>
          <w:b/>
          <w:bCs/>
        </w:rPr>
        <w:t>5</w:t>
      </w:r>
      <w:r w:rsidR="00A1267A" w:rsidRPr="00A1267A">
        <w:rPr>
          <w:b/>
          <w:bCs/>
        </w:rPr>
        <w:t>.1 Public Target Acquired by a Private Acquirer</w:t>
      </w:r>
    </w:p>
    <w:p w14:paraId="69E20107" w14:textId="77777777" w:rsidR="00A1267A" w:rsidRPr="00A1267A" w:rsidRDefault="00A1267A" w:rsidP="00A1267A">
      <w:pPr>
        <w:numPr>
          <w:ilvl w:val="0"/>
          <w:numId w:val="9"/>
        </w:numPr>
        <w:jc w:val="both"/>
      </w:pPr>
      <w:r w:rsidRPr="00A1267A">
        <w:t xml:space="preserve">All trademarks owned by the public target are truncated at the </w:t>
      </w:r>
      <w:r w:rsidRPr="00904115">
        <w:t>effective date,</w:t>
      </w:r>
      <w:r w:rsidRPr="00A1267A">
        <w:t xml:space="preserve"> defined as the date the private acquirer obtains </w:t>
      </w:r>
      <w:r w:rsidRPr="00904115">
        <w:t>&gt;50%</w:t>
      </w:r>
      <w:r w:rsidRPr="00A1267A">
        <w:t xml:space="preserve"> voting control.</w:t>
      </w:r>
    </w:p>
    <w:p w14:paraId="3DB4FEAB" w14:textId="17E0B31A" w:rsidR="00A1267A" w:rsidRPr="00A1267A" w:rsidRDefault="00904115" w:rsidP="00A1267A">
      <w:pPr>
        <w:jc w:val="both"/>
        <w:rPr>
          <w:b/>
          <w:bCs/>
        </w:rPr>
      </w:pPr>
      <w:r>
        <w:rPr>
          <w:b/>
          <w:bCs/>
        </w:rPr>
        <w:t>5</w:t>
      </w:r>
      <w:r w:rsidR="00A1267A" w:rsidRPr="00A1267A">
        <w:rPr>
          <w:b/>
          <w:bCs/>
        </w:rPr>
        <w:t>.2 Public Target Acquired by Another Public Firm</w:t>
      </w:r>
    </w:p>
    <w:p w14:paraId="639AB52B" w14:textId="77777777" w:rsidR="00A1267A" w:rsidRPr="00A1267A" w:rsidRDefault="00A1267A" w:rsidP="00A1267A">
      <w:pPr>
        <w:numPr>
          <w:ilvl w:val="0"/>
          <w:numId w:val="10"/>
        </w:numPr>
        <w:jc w:val="both"/>
      </w:pPr>
      <w:r w:rsidRPr="00A1267A">
        <w:t>Trademark ownership for the target ends at the effective date.</w:t>
      </w:r>
    </w:p>
    <w:p w14:paraId="13000E36" w14:textId="2C25A4B6" w:rsidR="00A1267A" w:rsidRPr="00A1267A" w:rsidRDefault="00A1267A" w:rsidP="00A1267A">
      <w:pPr>
        <w:numPr>
          <w:ilvl w:val="0"/>
          <w:numId w:val="10"/>
        </w:numPr>
        <w:jc w:val="both"/>
      </w:pPr>
      <w:r w:rsidRPr="00A1267A">
        <w:t>Ownership is reassigned to the public acquirer beginning on the effective date.</w:t>
      </w:r>
    </w:p>
    <w:p w14:paraId="042DDB67" w14:textId="22DE6A2B" w:rsidR="00A1267A" w:rsidRPr="00A1267A" w:rsidRDefault="00904115" w:rsidP="00A1267A">
      <w:pPr>
        <w:jc w:val="both"/>
        <w:rPr>
          <w:b/>
          <w:bCs/>
        </w:rPr>
      </w:pPr>
      <w:r>
        <w:rPr>
          <w:b/>
          <w:bCs/>
        </w:rPr>
        <w:t>6</w:t>
      </w:r>
      <w:r w:rsidR="00A1267A" w:rsidRPr="00A1267A">
        <w:rPr>
          <w:b/>
          <w:bCs/>
        </w:rPr>
        <w:t>. Final Sample</w:t>
      </w:r>
    </w:p>
    <w:p w14:paraId="6E46B138" w14:textId="77777777" w:rsidR="00A1267A" w:rsidRPr="00A1267A" w:rsidRDefault="00A1267A" w:rsidP="00A1267A">
      <w:pPr>
        <w:jc w:val="both"/>
      </w:pPr>
      <w:r w:rsidRPr="00A1267A">
        <w:t>Our final dataset contains:</w:t>
      </w:r>
    </w:p>
    <w:p w14:paraId="29099107" w14:textId="77777777" w:rsidR="00A1267A" w:rsidRPr="00BD1C59" w:rsidRDefault="00A1267A" w:rsidP="00A1267A">
      <w:pPr>
        <w:numPr>
          <w:ilvl w:val="0"/>
          <w:numId w:val="11"/>
        </w:numPr>
        <w:jc w:val="both"/>
      </w:pPr>
      <w:r w:rsidRPr="00BD1C59">
        <w:t>1,549,294 trademark–owner–year observations,</w:t>
      </w:r>
    </w:p>
    <w:p w14:paraId="6F0D91BB" w14:textId="77777777" w:rsidR="00A1267A" w:rsidRPr="00BD1C59" w:rsidRDefault="00A1267A" w:rsidP="00A1267A">
      <w:pPr>
        <w:numPr>
          <w:ilvl w:val="0"/>
          <w:numId w:val="11"/>
        </w:numPr>
        <w:jc w:val="both"/>
      </w:pPr>
      <w:r w:rsidRPr="00BD1C59">
        <w:t>representing 1,172,995 unique trademarks,</w:t>
      </w:r>
    </w:p>
    <w:p w14:paraId="769CAB1E" w14:textId="77777777" w:rsidR="00A1267A" w:rsidRPr="00BD1C59" w:rsidRDefault="00A1267A" w:rsidP="00A1267A">
      <w:pPr>
        <w:numPr>
          <w:ilvl w:val="0"/>
          <w:numId w:val="11"/>
        </w:numPr>
        <w:jc w:val="both"/>
      </w:pPr>
      <w:r w:rsidRPr="00BD1C59">
        <w:t>linked to 15,108 distinct public firms,</w:t>
      </w:r>
    </w:p>
    <w:p w14:paraId="735D8539" w14:textId="77777777" w:rsidR="00A1267A" w:rsidRPr="00BD1C59" w:rsidRDefault="00A1267A" w:rsidP="00A1267A">
      <w:pPr>
        <w:numPr>
          <w:ilvl w:val="0"/>
          <w:numId w:val="11"/>
        </w:numPr>
        <w:jc w:val="both"/>
      </w:pPr>
      <w:r w:rsidRPr="00BD1C59">
        <w:t>covering all USPTO registrations between October 1870 and March 2024.</w:t>
      </w:r>
    </w:p>
    <w:p w14:paraId="16484AFB" w14:textId="77777777" w:rsidR="001E608A" w:rsidRDefault="001E608A" w:rsidP="00906AEB">
      <w:pPr>
        <w:jc w:val="both"/>
      </w:pPr>
    </w:p>
    <w:sectPr w:rsidR="001E6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B30"/>
    <w:multiLevelType w:val="multilevel"/>
    <w:tmpl w:val="7232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A1E9B"/>
    <w:multiLevelType w:val="multilevel"/>
    <w:tmpl w:val="8E54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35D2F"/>
    <w:multiLevelType w:val="multilevel"/>
    <w:tmpl w:val="322A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B2D55"/>
    <w:multiLevelType w:val="multilevel"/>
    <w:tmpl w:val="AB46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21D83"/>
    <w:multiLevelType w:val="multilevel"/>
    <w:tmpl w:val="DE70E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BF6805"/>
    <w:multiLevelType w:val="multilevel"/>
    <w:tmpl w:val="C4CC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50998"/>
    <w:multiLevelType w:val="multilevel"/>
    <w:tmpl w:val="68BC5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2F73F0"/>
    <w:multiLevelType w:val="multilevel"/>
    <w:tmpl w:val="1C02C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4B25A9"/>
    <w:multiLevelType w:val="multilevel"/>
    <w:tmpl w:val="E14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186207"/>
    <w:multiLevelType w:val="multilevel"/>
    <w:tmpl w:val="C414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4440F"/>
    <w:multiLevelType w:val="multilevel"/>
    <w:tmpl w:val="4A4C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966559">
    <w:abstractNumId w:val="7"/>
  </w:num>
  <w:num w:numId="2" w16cid:durableId="2030912490">
    <w:abstractNumId w:val="0"/>
  </w:num>
  <w:num w:numId="3" w16cid:durableId="1333022838">
    <w:abstractNumId w:val="4"/>
  </w:num>
  <w:num w:numId="4" w16cid:durableId="44332797">
    <w:abstractNumId w:val="1"/>
  </w:num>
  <w:num w:numId="5" w16cid:durableId="1733191235">
    <w:abstractNumId w:val="2"/>
  </w:num>
  <w:num w:numId="6" w16cid:durableId="1680933386">
    <w:abstractNumId w:val="6"/>
  </w:num>
  <w:num w:numId="7" w16cid:durableId="528183612">
    <w:abstractNumId w:val="9"/>
  </w:num>
  <w:num w:numId="8" w16cid:durableId="465511601">
    <w:abstractNumId w:val="8"/>
  </w:num>
  <w:num w:numId="9" w16cid:durableId="647173872">
    <w:abstractNumId w:val="5"/>
  </w:num>
  <w:num w:numId="10" w16cid:durableId="1189954693">
    <w:abstractNumId w:val="3"/>
  </w:num>
  <w:num w:numId="11" w16cid:durableId="1179926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8E"/>
    <w:rsid w:val="001E608A"/>
    <w:rsid w:val="0021613B"/>
    <w:rsid w:val="00225233"/>
    <w:rsid w:val="00241798"/>
    <w:rsid w:val="002A732E"/>
    <w:rsid w:val="002B2776"/>
    <w:rsid w:val="003132F3"/>
    <w:rsid w:val="003672C7"/>
    <w:rsid w:val="0039297F"/>
    <w:rsid w:val="0045227A"/>
    <w:rsid w:val="004F2D17"/>
    <w:rsid w:val="00590DAA"/>
    <w:rsid w:val="005A3A47"/>
    <w:rsid w:val="008A03E3"/>
    <w:rsid w:val="00904115"/>
    <w:rsid w:val="00906AEB"/>
    <w:rsid w:val="009A2C43"/>
    <w:rsid w:val="00A1267A"/>
    <w:rsid w:val="00AA4D8E"/>
    <w:rsid w:val="00AF689E"/>
    <w:rsid w:val="00B9635C"/>
    <w:rsid w:val="00BB6288"/>
    <w:rsid w:val="00BD1C59"/>
    <w:rsid w:val="00C719E6"/>
    <w:rsid w:val="00CE1C73"/>
    <w:rsid w:val="00D149E7"/>
    <w:rsid w:val="00DA6768"/>
    <w:rsid w:val="00DC5CCE"/>
    <w:rsid w:val="00E5481B"/>
    <w:rsid w:val="00ED0E04"/>
    <w:rsid w:val="00F6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B294D"/>
  <w15:chartTrackingRefBased/>
  <w15:docId w15:val="{9A8A4DEF-0ECB-4097-B9D4-86D993F13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</Pages>
  <Words>735</Words>
  <Characters>4007</Characters>
  <Application>Microsoft Office Word</Application>
  <DocSecurity>0</DocSecurity>
  <Lines>80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Adelaide</Company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Shihe Li</dc:creator>
  <cp:keywords/>
  <dc:description/>
  <cp:lastModifiedBy>Shihe Li</cp:lastModifiedBy>
  <cp:revision>10</cp:revision>
  <dcterms:created xsi:type="dcterms:W3CDTF">2025-11-27T22:49:00Z</dcterms:created>
  <dcterms:modified xsi:type="dcterms:W3CDTF">2025-11-30T22:50:00Z</dcterms:modified>
</cp:coreProperties>
</file>