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p>
    <w:p>
      <w:pPr>
        <w:spacing w:before="0" w:after="80"/>
      </w:pPr>
      <w:r>
        <w:rPr>
          <w:rFonts w:ascii="Calibri" w:hAnsi="Calibri" w:eastAsia="Microsoft YaHei"/>
          <w:b/>
          <w:color w:val="000000"/>
          <w:sz w:val="46"/>
        </w:rPr>
        <w:t>项目备忘录</w:t>
      </w:r>
    </w:p>
    <w:p>
      <w:pPr>
        <w:spacing w:after="320"/>
      </w:pPr>
      <w:r>
        <w:rPr>
          <w:rFonts w:ascii="Calibri" w:hAnsi="Calibri" w:eastAsia="Microsoft YaHei"/>
          <w:color w:val="373737"/>
          <w:sz w:val="28"/>
        </w:rPr>
        <w:t>Antigravity 在线工具箱：当前状态与推进建议</w:t>
      </w:r>
    </w:p>
    <w:p>
      <w:pPr>
        <w:spacing w:before="0" w:after="40" w:line="252" w:lineRule="auto"/>
      </w:pPr>
      <w:r>
        <w:rPr>
          <w:rFonts w:ascii="Calibri" w:hAnsi="Calibri" w:eastAsia="Microsoft YaHei"/>
          <w:b/>
          <w:color w:val="1F2937"/>
          <w:sz w:val="22"/>
        </w:rPr>
        <w:t>致：</w:t>
      </w:r>
      <w:r>
        <w:rPr>
          <w:rFonts w:ascii="Calibri" w:hAnsi="Calibri" w:eastAsia="Microsoft YaHei"/>
          <w:color w:val="1F2937"/>
          <w:sz w:val="22"/>
        </w:rPr>
        <w:t>项目维护者与核心使用者</w:t>
      </w:r>
    </w:p>
    <w:p>
      <w:pPr>
        <w:spacing w:before="0" w:after="40" w:line="252" w:lineRule="auto"/>
      </w:pPr>
      <w:r>
        <w:rPr>
          <w:rFonts w:ascii="Calibri" w:hAnsi="Calibri" w:eastAsia="Microsoft YaHei"/>
          <w:b/>
          <w:color w:val="1F2937"/>
          <w:sz w:val="22"/>
        </w:rPr>
        <w:t>来自：</w:t>
      </w:r>
      <w:r>
        <w:rPr>
          <w:rFonts w:ascii="Calibri" w:hAnsi="Calibri" w:eastAsia="Microsoft YaHei"/>
          <w:color w:val="1F2937"/>
          <w:sz w:val="22"/>
        </w:rPr>
        <w:t>Codex 项目审阅</w:t>
      </w:r>
    </w:p>
    <w:p>
      <w:pPr>
        <w:spacing w:before="0" w:after="40" w:line="252" w:lineRule="auto"/>
      </w:pPr>
      <w:r>
        <w:rPr>
          <w:rFonts w:ascii="Calibri" w:hAnsi="Calibri" w:eastAsia="Microsoft YaHei"/>
          <w:b/>
          <w:color w:val="1F2937"/>
          <w:sz w:val="22"/>
        </w:rPr>
        <w:t>日期：</w:t>
      </w:r>
      <w:r>
        <w:rPr>
          <w:rFonts w:ascii="Calibri" w:hAnsi="Calibri" w:eastAsia="Microsoft YaHei"/>
          <w:color w:val="1F2937"/>
          <w:sz w:val="22"/>
        </w:rPr>
        <w:t>2026 年 8 月 16 日</w:t>
      </w:r>
    </w:p>
    <w:p>
      <w:pPr>
        <w:spacing w:before="0" w:after="40" w:line="252" w:lineRule="auto"/>
      </w:pPr>
      <w:r>
        <w:rPr>
          <w:rFonts w:ascii="Calibri" w:hAnsi="Calibri" w:eastAsia="Microsoft YaHei"/>
          <w:b/>
          <w:color w:val="1F2937"/>
          <w:sz w:val="22"/>
        </w:rPr>
        <w:t>主题：</w:t>
      </w:r>
      <w:r>
        <w:rPr>
          <w:rFonts w:ascii="Calibri" w:hAnsi="Calibri" w:eastAsia="Microsoft YaHei"/>
          <w:color w:val="1F2937"/>
          <w:sz w:val="22"/>
        </w:rPr>
        <w:t>项目能力、技术结构、风险与下一步建议</w:t>
      </w:r>
    </w:p>
    <w:p>
      <w:pPr>
        <w:spacing w:before="0" w:after="40" w:line="252" w:lineRule="auto"/>
      </w:pPr>
      <w:r>
        <w:rPr>
          <w:rFonts w:ascii="Calibri" w:hAnsi="Calibri" w:eastAsia="Microsoft YaHei"/>
          <w:b/>
          <w:color w:val="1F2937"/>
          <w:sz w:val="22"/>
        </w:rPr>
        <w:t>状态：</w:t>
      </w:r>
      <w:r>
        <w:rPr>
          <w:rFonts w:ascii="Calibri" w:hAnsi="Calibri" w:eastAsia="Microsoft YaHei"/>
          <w:color w:val="1F2937"/>
          <w:sz w:val="22"/>
        </w:rPr>
        <w:t>初稿；业务优先级与发布节奏待确认</w:t>
      </w:r>
    </w:p>
    <w:p>
      <w:pPr>
        <w:spacing w:before="200" w:after="240"/>
        <w:pBdr>
          <w:bottom w:val="single" w:sz="12" w:space="6" w:color="2E74B5"/>
        </w:pBdr>
      </w:pPr>
    </w:p>
    <w:p>
      <w:pPr>
        <w:spacing w:before="0" w:after="200" w:line="264" w:lineRule="auto"/>
        <w:ind w:left="115" w:right="115"/>
        <w:shd w:fill="F4F6F9" w:val="clear"/>
        <w:pBdr>
          <w:top w:val="single" w:sz="8" w:space="6" w:color="B8C7D9"/>
          <w:left w:val="single" w:sz="8" w:space="6" w:color="B8C7D9"/>
          <w:bottom w:val="single" w:sz="8" w:space="6" w:color="B8C7D9"/>
          <w:right w:val="single" w:sz="8" w:space="6" w:color="B8C7D9"/>
        </w:pBdr>
      </w:pPr>
      <w:r>
        <w:rPr>
          <w:rFonts w:ascii="Calibri" w:hAnsi="Calibri" w:eastAsia="Microsoft YaHei"/>
          <w:b/>
          <w:color w:val="1F4D78"/>
          <w:sz w:val="20"/>
        </w:rPr>
        <w:t xml:space="preserve">核心判断  </w:t>
      </w:r>
      <w:r>
        <w:rPr>
          <w:rFonts w:ascii="Calibri" w:hAnsi="Calibri" w:eastAsia="Microsoft YaHei"/>
          <w:color w:val="1F2937"/>
          <w:sz w:val="20"/>
        </w:rPr>
        <w:t>项目已经具备“可直接使用的多工具箱 + 本地 ADB 能力 + Firebase 数据同步”的产品骨架。下一阶段的关键不是继续堆叠工具，而是围绕稳定性、权限边界、发布流程和高频场景完成收敛。</w:t>
      </w:r>
    </w:p>
    <w:p>
      <w:pPr>
        <w:pStyle w:val="Heading1"/>
      </w:pPr>
      <w:r>
        <w:rPr>
          <w:rFonts w:ascii="Calibri" w:hAnsi="Calibri" w:eastAsia="Microsoft YaHei"/>
          <w:b/>
          <w:color w:val="2E74B5"/>
          <w:sz w:val="32"/>
        </w:rPr>
        <w:t>一、项目概览</w:t>
      </w:r>
    </w:p>
    <w:p>
      <w:pPr/>
      <w:r>
        <w:rPr>
          <w:rFonts w:ascii="Calibri" w:hAnsi="Calibri" w:eastAsia="Microsoft YaHei"/>
          <w:color w:val="1F2937"/>
          <w:sz w:val="22"/>
        </w:rPr>
        <w:t>从仓库中的 README、项目结构说明、变更记录和本地代理文档来看，本项目定位为面向开发、测试和日常运维场景的在线工具箱。前端以 React/Vite 为核心，使用 Hash 路由组织多个工具页面；对需要访问本机 Android 设备的场景，则通过独立的本地代理调用用户电脑上的 ADB。</w:t>
      </w:r>
    </w:p>
    <w:p>
      <w:pPr/>
      <w:r>
        <w:rPr>
          <w:rFonts w:ascii="Calibri" w:hAnsi="Calibri" w:eastAsia="Microsoft YaHei"/>
          <w:color w:val="1F2937"/>
          <w:sz w:val="22"/>
        </w:rPr>
        <w:t>当前实现的价值在于把分散的小工具和设备调试工作放到同一个入口中，同时保留较清晰的模块边界：公开工具负责即时处理，机器人测试记录负责登录后的业务数据，ADB 工具负责浏览器与本机设备之间的受控连接。</w:t>
      </w:r>
    </w:p>
    <w:p>
      <w:pPr>
        <w:pStyle w:val="Heading1"/>
      </w:pPr>
      <w:r>
        <w:rPr>
          <w:rFonts w:ascii="Calibri" w:hAnsi="Calibri" w:eastAsia="Microsoft YaHei"/>
          <w:b/>
          <w:color w:val="2E74B5"/>
          <w:sz w:val="32"/>
        </w:rPr>
        <w:t>二、当前能力</w:t>
      </w:r>
    </w:p>
    <w:tbl>
      <w:tblPr>
        <w:tblStyle w:val="TableGrid"/>
        <w:tblW w:type="dxa" w:w="9360"/>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440"/>
        <w:gridCol w:w="4680"/>
        <w:gridCol w:w="3240"/>
      </w:tblGrid>
      <w:tr>
        <w:trPr>
          <w:tblHeader w:val="true"/>
        </w:trPr>
        <w:tc>
          <w:tcPr>
            <w:tcW w:type="dxa" w:w="144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能力域</w:t>
            </w:r>
          </w:p>
        </w:tc>
        <w:tc>
          <w:tcPr>
            <w:tcW w:type="dxa" w:w="468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现有能力</w:t>
            </w:r>
          </w:p>
        </w:tc>
        <w:tc>
          <w:tcPr>
            <w:tcW w:type="dxa" w:w="324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当前边界</w:t>
            </w:r>
          </w:p>
        </w:tc>
      </w:tr>
      <w:tr>
        <w:tc>
          <w:tcPr>
            <w:tcW w:type="dxa" w:w="14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开发与设备调试</w:t>
            </w:r>
          </w:p>
        </w:tc>
        <w:tc>
          <w:tcPr>
            <w:tcW w:type="dxa" w:w="468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ADB 调试助手支持 WiFi/USB 连接、设备列表、预设命令、自定义命令、日志与流式输出；本地代理提供 HTTP 与 WebSocket 接口。</w:t>
            </w:r>
          </w:p>
        </w:tc>
        <w:tc>
          <w:tcPr>
            <w:tcW w:type="dxa" w:w="32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依赖用户本机的 adb.exe 与本地代理；设备连接和系统环境仍需用户准备。</w:t>
            </w:r>
          </w:p>
        </w:tc>
      </w:tr>
      <w:tr>
        <w:tc>
          <w:tcPr>
            <w:tcW w:type="dxa" w:w="14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网络诊断</w:t>
            </w:r>
          </w:p>
        </w:tc>
        <w:tc>
          <w:tcPr>
            <w:tcW w:type="dxa" w:w="468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IP 一致性查询支持多源并发、出口 IP 比对、代理/VPN 线索检查和 WebRTC 本地 IP 探测；配套分流测试与泄漏检测。</w:t>
            </w:r>
          </w:p>
        </w:tc>
        <w:tc>
          <w:tcPr>
            <w:tcW w:type="dxa" w:w="32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第三方 API 可用性、CORS、网络环境和结果差异会影响检测完整性。</w:t>
            </w:r>
          </w:p>
        </w:tc>
      </w:tr>
      <w:tr>
        <w:tc>
          <w:tcPr>
            <w:tcW w:type="dxa" w:w="14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通用效率工具</w:t>
            </w:r>
          </w:p>
        </w:tc>
        <w:tc>
          <w:tcPr>
            <w:tcW w:type="dxa" w:w="468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长图拼接、安全密码生成器、二进制/八进制/十进制/十六进制转换。</w:t>
            </w:r>
          </w:p>
        </w:tc>
        <w:tc>
          <w:tcPr>
            <w:tcW w:type="dxa" w:w="32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工具之间共享的历史记录、收藏和批量工作流尚未形成统一机制。</w:t>
            </w:r>
          </w:p>
        </w:tc>
      </w:tr>
      <w:tr>
        <w:tc>
          <w:tcPr>
            <w:tcW w:type="dxa" w:w="14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业务数据管理</w:t>
            </w:r>
          </w:p>
        </w:tc>
        <w:tc>
          <w:tcPr>
            <w:tcW w:type="dxa" w:w="468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Firebase Authentication + Firestore 支持登录、角色、设备详情和机器人测试记录的跨设备同步。</w:t>
            </w:r>
          </w:p>
        </w:tc>
        <w:tc>
          <w:tcPr>
            <w:tcW w:type="dxa" w:w="32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权限规则和管理员流程需要持续审计；公开工具与登录业务的边界应保持清楚。</w:t>
            </w:r>
          </w:p>
        </w:tc>
      </w:tr>
    </w:tbl>
    <w:p>
      <w:pPr>
        <w:pStyle w:val="Heading1"/>
      </w:pPr>
      <w:r>
        <w:rPr>
          <w:rFonts w:ascii="Calibri" w:hAnsi="Calibri" w:eastAsia="Microsoft YaHei"/>
          <w:b/>
          <w:color w:val="2E74B5"/>
          <w:sz w:val="32"/>
        </w:rPr>
        <w:t>三、技术结构与关键链路</w:t>
      </w:r>
    </w:p>
    <w:p>
      <w:pPr>
        <w:pStyle w:val="Heading2"/>
      </w:pPr>
      <w:r>
        <w:rPr>
          <w:rFonts w:ascii="Calibri" w:hAnsi="Calibri" w:eastAsia="Microsoft YaHei"/>
          <w:b/>
          <w:color w:val="2E74B5"/>
          <w:sz w:val="26"/>
        </w:rPr>
        <w:t>前端与路由</w:t>
      </w:r>
    </w:p>
    <w:p>
      <w:pPr/>
      <w:r>
        <w:rPr>
          <w:rFonts w:ascii="Calibri" w:hAnsi="Calibri" w:eastAsia="Microsoft YaHei"/>
          <w:color w:val="1F2937"/>
          <w:sz w:val="22"/>
        </w:rPr>
        <w:t>入口组件通过 ThemeProvider、AuthProvider 和 HashRouter 组织全局状态与页面路由。公开页面包括 ADB、长图拼接、密码生成、进制转换和 IP 查询；机器人记录与设备详情受登录保护，管理后台进一步要求管理员角色。公共布局、加载状态、弹窗和剪贴板逻辑已经抽取为可复用组件或 Hook。</w:t>
      </w:r>
    </w:p>
    <w:p>
      <w:pPr>
        <w:pStyle w:val="Heading2"/>
      </w:pPr>
      <w:r>
        <w:rPr>
          <w:rFonts w:ascii="Calibri" w:hAnsi="Calibri" w:eastAsia="Microsoft YaHei"/>
          <w:b/>
          <w:color w:val="2E74B5"/>
          <w:sz w:val="26"/>
        </w:rPr>
        <w:t>ADB 本地代理链路</w:t>
      </w:r>
    </w:p>
    <w:p>
      <w:pPr>
        <w:spacing w:after="160" w:line="280" w:lineRule="auto"/>
        <w:numPr>
          <w:ilvl w:val="0"/>
          <w:numId w:val="11"/>
        </w:numPr>
      </w:pPr>
      <w:r>
        <w:rPr>
          <w:rFonts w:ascii="Calibri" w:hAnsi="Calibri" w:eastAsia="Microsoft YaHei"/>
          <w:color w:val="1F2937"/>
          <w:sz w:val="22"/>
        </w:rPr>
        <w:t>用户启动本地代理，代理监听本机回环地址并查找 adb.exe，同时生成或读取访问 Token。</w:t>
      </w:r>
    </w:p>
    <w:p>
      <w:pPr>
        <w:spacing w:after="160" w:line="280" w:lineRule="auto"/>
        <w:numPr>
          <w:ilvl w:val="0"/>
          <w:numId w:val="11"/>
        </w:numPr>
      </w:pPr>
      <w:r>
        <w:rPr>
          <w:rFonts w:ascii="Calibri" w:hAnsi="Calibri" w:eastAsia="Microsoft YaHei"/>
          <w:color w:val="1F2937"/>
          <w:sz w:val="22"/>
        </w:rPr>
        <w:t>网页检测本地代理，用户粘贴 Token 完成配对；Token 保存在浏览器本地存储中。</w:t>
      </w:r>
    </w:p>
    <w:p>
      <w:pPr>
        <w:spacing w:after="160" w:line="280" w:lineRule="auto"/>
        <w:numPr>
          <w:ilvl w:val="0"/>
          <w:numId w:val="11"/>
        </w:numPr>
      </w:pPr>
      <w:r>
        <w:rPr>
          <w:rFonts w:ascii="Calibri" w:hAnsi="Calibri" w:eastAsia="Microsoft YaHei"/>
          <w:color w:val="1F2937"/>
          <w:sz w:val="22"/>
        </w:rPr>
        <w:t>前端通过 HTTP 执行单次命令，通过 WebSocket 接收 logcat 等长时任务的实时输出。</w:t>
      </w:r>
    </w:p>
    <w:p>
      <w:pPr>
        <w:spacing w:after="160" w:line="280" w:lineRule="auto"/>
        <w:numPr>
          <w:ilvl w:val="0"/>
          <w:numId w:val="11"/>
        </w:numPr>
      </w:pPr>
      <w:r>
        <w:rPr>
          <w:rFonts w:ascii="Calibri" w:hAnsi="Calibri" w:eastAsia="Microsoft YaHei"/>
          <w:color w:val="1F2937"/>
          <w:sz w:val="22"/>
        </w:rPr>
        <w:t>代理侧执行来源校验、Token 鉴权、命令白名单与高风险命令拦截，再把结果返回网页。</w:t>
      </w:r>
    </w:p>
    <w:p>
      <w:pPr>
        <w:pStyle w:val="Heading2"/>
      </w:pPr>
      <w:r>
        <w:rPr>
          <w:rFonts w:ascii="Calibri" w:hAnsi="Calibri" w:eastAsia="Microsoft YaHei"/>
          <w:b/>
          <w:color w:val="2E74B5"/>
          <w:sz w:val="26"/>
        </w:rPr>
        <w:t>数据与安全边界</w:t>
      </w:r>
    </w:p>
    <w:p>
      <w:pPr>
        <w:spacing w:after="160" w:line="280" w:lineRule="auto"/>
        <w:numPr>
          <w:ilvl w:val="0"/>
          <w:numId w:val="10"/>
        </w:numPr>
      </w:pPr>
      <w:r>
        <w:rPr>
          <w:rFonts w:ascii="Calibri" w:hAnsi="Calibri" w:eastAsia="Microsoft YaHei"/>
          <w:color w:val="1F2937"/>
          <w:sz w:val="22"/>
        </w:rPr>
        <w:t>Firebase 配置通过环境变量注入，仓库保留 .env.example 作为配置模板。</w:t>
      </w:r>
    </w:p>
    <w:p>
      <w:pPr>
        <w:spacing w:after="160" w:line="280" w:lineRule="auto"/>
        <w:numPr>
          <w:ilvl w:val="0"/>
          <w:numId w:val="10"/>
        </w:numPr>
      </w:pPr>
      <w:r>
        <w:rPr>
          <w:rFonts w:ascii="Calibri" w:hAnsi="Calibri" w:eastAsia="Microsoft YaHei"/>
          <w:color w:val="1F2937"/>
          <w:sz w:val="22"/>
        </w:rPr>
        <w:t>本地代理只监听 127.0.0.1，并结合 Token、命令白名单、特殊字符拦截和危险命令黑名单降低误用风险。</w:t>
      </w:r>
    </w:p>
    <w:p>
      <w:pPr>
        <w:spacing w:after="160" w:line="280" w:lineRule="auto"/>
        <w:numPr>
          <w:ilvl w:val="0"/>
          <w:numId w:val="10"/>
        </w:numPr>
      </w:pPr>
      <w:r>
        <w:rPr>
          <w:rFonts w:ascii="Calibri" w:hAnsi="Calibri" w:eastAsia="Microsoft YaHei"/>
          <w:color w:val="1F2937"/>
          <w:sz w:val="22"/>
        </w:rPr>
        <w:t>机器人记录由 Firestore 实时监听，登录和管理员路由在前端进行访问控制；Firestore 规则仍应作为最终权限边界。</w:t>
      </w:r>
    </w:p>
    <w:p>
      <w:pPr>
        <w:pStyle w:val="Heading1"/>
      </w:pPr>
      <w:r>
        <w:rPr>
          <w:rFonts w:ascii="Calibri" w:hAnsi="Calibri" w:eastAsia="Microsoft YaHei"/>
          <w:b/>
          <w:color w:val="2E74B5"/>
          <w:sz w:val="32"/>
        </w:rPr>
        <w:t>四、现阶段主要风险</w:t>
      </w:r>
    </w:p>
    <w:tbl>
      <w:tblPr>
        <w:tblStyle w:val="TableGrid"/>
        <w:tblW w:type="dxa" w:w="9360"/>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040"/>
        <w:gridCol w:w="3600"/>
        <w:gridCol w:w="3720"/>
      </w:tblGrid>
      <w:tr>
        <w:trPr>
          <w:tblHeader w:val="true"/>
        </w:trPr>
        <w:tc>
          <w:tcPr>
            <w:tcW w:type="dxa" w:w="204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风险</w:t>
            </w:r>
          </w:p>
        </w:tc>
        <w:tc>
          <w:tcPr>
            <w:tcW w:type="dxa" w:w="360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影响</w:t>
            </w:r>
          </w:p>
        </w:tc>
        <w:tc>
          <w:tcPr>
            <w:tcW w:type="dxa" w:w="372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建议动作</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发布流程依赖人工步骤</w:t>
            </w:r>
          </w:p>
        </w:tc>
        <w:tc>
          <w:tcPr>
            <w:tcW w:type="dxa" w:w="360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本地代理打包、GitHub Release 上传、下载链接更新之间存在断点，容易出现前端链接与代理版本不一致。</w:t>
            </w:r>
          </w:p>
        </w:tc>
        <w:tc>
          <w:tcPr>
            <w:tcW w:type="dxa" w:w="37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为代理构建和发布建立版本号、产物校验和最小发布清单。</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外部网络数据的不确定性</w:t>
            </w:r>
          </w:p>
        </w:tc>
        <w:tc>
          <w:tcPr>
            <w:tcW w:type="dxa" w:w="360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IP、WebRTC 和分流诊断依赖多个第三方接口；超时、限流或返回结构变化会造成误判。</w:t>
            </w:r>
          </w:p>
        </w:tc>
        <w:tc>
          <w:tcPr>
            <w:tcW w:type="dxa" w:w="37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为每个数据源记录超时与失败状态，明确“未确认”与“无风险”的差异。</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权限边界需要持续验证</w:t>
            </w:r>
          </w:p>
        </w:tc>
        <w:tc>
          <w:tcPr>
            <w:tcW w:type="dxa" w:w="360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前端路由保护不能替代 Firestore 服务端规则；管理员角色配置错误会扩大数据访问范围。</w:t>
            </w:r>
          </w:p>
        </w:tc>
        <w:tc>
          <w:tcPr>
            <w:tcW w:type="dxa" w:w="37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补充规则级测试，至少覆盖未登录、普通用户和管理员三种角色。</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功能扩展可能稀释主线</w:t>
            </w:r>
          </w:p>
        </w:tc>
        <w:tc>
          <w:tcPr>
            <w:tcW w:type="dxa" w:w="360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工具数量继续增长会增加导航、测试和维护成本，影响首页决策效率。</w:t>
            </w:r>
          </w:p>
        </w:tc>
        <w:tc>
          <w:tcPr>
            <w:tcW w:type="dxa" w:w="37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先按使用频率和业务价值排序，再决定新增工具或合并入口。</w:t>
            </w:r>
          </w:p>
        </w:tc>
      </w:tr>
    </w:tbl>
    <w:p>
      <w:pPr>
        <w:pStyle w:val="Heading1"/>
      </w:pPr>
      <w:r>
        <w:rPr>
          <w:rFonts w:ascii="Calibri" w:hAnsi="Calibri" w:eastAsia="Microsoft YaHei"/>
          <w:b/>
          <w:color w:val="2E74B5"/>
          <w:sz w:val="32"/>
        </w:rPr>
        <w:t>五、推进建议</w:t>
      </w:r>
    </w:p>
    <w:p>
      <w:pPr>
        <w:pStyle w:val="Heading2"/>
      </w:pPr>
      <w:r>
        <w:rPr>
          <w:rFonts w:ascii="Calibri" w:hAnsi="Calibri" w:eastAsia="Microsoft YaHei"/>
          <w:b/>
          <w:color w:val="2E74B5"/>
          <w:sz w:val="26"/>
        </w:rPr>
        <w:t>优先级 P0：把现有主链路做成可交付能力</w:t>
      </w:r>
    </w:p>
    <w:p>
      <w:pPr>
        <w:spacing w:after="160" w:line="280" w:lineRule="auto"/>
        <w:numPr>
          <w:ilvl w:val="0"/>
          <w:numId w:val="10"/>
        </w:numPr>
      </w:pPr>
      <w:r>
        <w:rPr>
          <w:rFonts w:ascii="Calibri" w:hAnsi="Calibri" w:eastAsia="Microsoft YaHei"/>
          <w:color w:val="1F2937"/>
          <w:sz w:val="22"/>
        </w:rPr>
        <w:t>为公开工具、登录、Firestore 读写、本地代理配对、ADB 命令执行和 WebSocket 流式输出补齐最小回归清单。</w:t>
      </w:r>
    </w:p>
    <w:p>
      <w:pPr>
        <w:spacing w:after="160" w:line="280" w:lineRule="auto"/>
        <w:numPr>
          <w:ilvl w:val="0"/>
          <w:numId w:val="10"/>
        </w:numPr>
      </w:pPr>
      <w:r>
        <w:rPr>
          <w:rFonts w:ascii="Calibri" w:hAnsi="Calibri" w:eastAsia="Microsoft YaHei"/>
          <w:color w:val="1F2937"/>
          <w:sz w:val="22"/>
        </w:rPr>
        <w:t>建立代理版本与前端兼容策略，并将构建产物、Release、下载链接和回滚方式写入发布指南。</w:t>
      </w:r>
    </w:p>
    <w:p>
      <w:pPr>
        <w:spacing w:after="160" w:line="280" w:lineRule="auto"/>
        <w:numPr>
          <w:ilvl w:val="0"/>
          <w:numId w:val="10"/>
        </w:numPr>
      </w:pPr>
      <w:r>
        <w:rPr>
          <w:rFonts w:ascii="Calibri" w:hAnsi="Calibri" w:eastAsia="Microsoft YaHei"/>
          <w:color w:val="1F2937"/>
          <w:sz w:val="22"/>
        </w:rPr>
        <w:t>对外部 API 采用统一的超时、失败、部分成功和数据来源展示规则。</w:t>
      </w:r>
    </w:p>
    <w:p>
      <w:pPr>
        <w:pStyle w:val="Heading2"/>
      </w:pPr>
      <w:r>
        <w:rPr>
          <w:rFonts w:ascii="Calibri" w:hAnsi="Calibri" w:eastAsia="Microsoft YaHei"/>
          <w:b/>
          <w:color w:val="2E74B5"/>
          <w:sz w:val="26"/>
        </w:rPr>
        <w:t>优先级 P1：提升重复使用效率</w:t>
      </w:r>
    </w:p>
    <w:p>
      <w:pPr>
        <w:spacing w:after="160" w:line="280" w:lineRule="auto"/>
        <w:numPr>
          <w:ilvl w:val="0"/>
          <w:numId w:val="10"/>
        </w:numPr>
      </w:pPr>
      <w:r>
        <w:rPr>
          <w:rFonts w:ascii="Calibri" w:hAnsi="Calibri" w:eastAsia="Microsoft YaHei"/>
          <w:color w:val="1F2937"/>
          <w:sz w:val="22"/>
        </w:rPr>
        <w:t>在首页加入工具分类、搜索或最近使用入口，降低工具数量增加后的查找成本。</w:t>
      </w:r>
    </w:p>
    <w:p>
      <w:pPr>
        <w:spacing w:after="160" w:line="280" w:lineRule="auto"/>
        <w:numPr>
          <w:ilvl w:val="0"/>
          <w:numId w:val="10"/>
        </w:numPr>
      </w:pPr>
      <w:r>
        <w:rPr>
          <w:rFonts w:ascii="Calibri" w:hAnsi="Calibri" w:eastAsia="Microsoft YaHei"/>
          <w:color w:val="1F2937"/>
          <w:sz w:val="22"/>
        </w:rPr>
        <w:t>为机器人测试记录明确数据模型、字段校验、导入导出格式和审计需求。</w:t>
      </w:r>
    </w:p>
    <w:p>
      <w:pPr>
        <w:spacing w:after="160" w:line="280" w:lineRule="auto"/>
        <w:numPr>
          <w:ilvl w:val="0"/>
          <w:numId w:val="10"/>
        </w:numPr>
      </w:pPr>
      <w:r>
        <w:rPr>
          <w:rFonts w:ascii="Calibri" w:hAnsi="Calibri" w:eastAsia="Microsoft YaHei"/>
          <w:color w:val="1F2937"/>
          <w:sz w:val="22"/>
        </w:rPr>
        <w:t>为 ADB 操作补充命令历史、设备筛选和日志导出，但继续维持危险命令的显式确认。</w:t>
      </w:r>
    </w:p>
    <w:p>
      <w:pPr>
        <w:pStyle w:val="Heading2"/>
      </w:pPr>
      <w:r>
        <w:rPr>
          <w:rFonts w:ascii="Calibri" w:hAnsi="Calibri" w:eastAsia="Microsoft YaHei"/>
          <w:b/>
          <w:color w:val="2E74B5"/>
          <w:sz w:val="26"/>
        </w:rPr>
        <w:t>优先级 P2：形成可持续维护机制</w:t>
      </w:r>
    </w:p>
    <w:p>
      <w:pPr>
        <w:spacing w:after="160" w:line="280" w:lineRule="auto"/>
        <w:numPr>
          <w:ilvl w:val="0"/>
          <w:numId w:val="10"/>
        </w:numPr>
      </w:pPr>
      <w:r>
        <w:rPr>
          <w:rFonts w:ascii="Calibri" w:hAnsi="Calibri" w:eastAsia="Microsoft YaHei"/>
          <w:color w:val="1F2937"/>
          <w:sz w:val="22"/>
        </w:rPr>
        <w:t>将关键业务规则和安全约束沉淀为自动化检查，避免仅依赖页面行为或人工验证。</w:t>
      </w:r>
    </w:p>
    <w:p>
      <w:pPr>
        <w:spacing w:after="160" w:line="280" w:lineRule="auto"/>
        <w:numPr>
          <w:ilvl w:val="0"/>
          <w:numId w:val="10"/>
        </w:numPr>
      </w:pPr>
      <w:r>
        <w:rPr>
          <w:rFonts w:ascii="Calibri" w:hAnsi="Calibri" w:eastAsia="Microsoft YaHei"/>
          <w:color w:val="1F2937"/>
          <w:sz w:val="22"/>
        </w:rPr>
        <w:t>为每个工具保留简短的输入、输出、外部依赖和失败模式说明，便于后续维护与交接。</w:t>
      </w:r>
    </w:p>
    <w:p>
      <w:pPr>
        <w:pStyle w:val="Heading1"/>
      </w:pPr>
      <w:r>
        <w:rPr>
          <w:rFonts w:ascii="Calibri" w:hAnsi="Calibri" w:eastAsia="Microsoft YaHei"/>
          <w:b/>
          <w:color w:val="2E74B5"/>
          <w:sz w:val="32"/>
        </w:rPr>
        <w:t>六、建议的近期验收口径</w:t>
      </w:r>
    </w:p>
    <w:tbl>
      <w:tblPr>
        <w:tblStyle w:val="TableGrid"/>
        <w:tblW w:type="dxa" w:w="9360"/>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040"/>
        <w:gridCol w:w="7320"/>
      </w:tblGrid>
      <w:tr>
        <w:trPr>
          <w:tblHeader w:val="true"/>
        </w:trPr>
        <w:tc>
          <w:tcPr>
            <w:tcW w:type="dxa" w:w="204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验收主题</w:t>
            </w:r>
          </w:p>
        </w:tc>
        <w:tc>
          <w:tcPr>
            <w:tcW w:type="dxa" w:w="7320"/>
            <w:tcMar>
              <w:top w:w="80" w:type="dxa"/>
              <w:start w:w="120" w:type="dxa"/>
              <w:bottom w:w="80" w:type="dxa"/>
              <w:end w:w="120" w:type="dxa"/>
            </w:tcMar>
            <w:vAlign w:val="center"/>
            <w:shd w:fill="F2F4F7" w:val="clear"/>
          </w:tcPr>
          <w:p>
            <w:pPr>
              <w:spacing w:after="0"/>
            </w:pPr>
            <w:r>
              <w:rPr>
                <w:rFonts w:ascii="Calibri" w:hAnsi="Calibri" w:eastAsia="Microsoft YaHei"/>
                <w:b/>
                <w:color w:val="1F4D78"/>
                <w:sz w:val="20"/>
              </w:rPr>
              <w:t>完成标准</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构建与部署</w:t>
            </w:r>
          </w:p>
        </w:tc>
        <w:tc>
          <w:tcPr>
            <w:tcW w:type="dxa" w:w="73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npm run build 可重复通过；部署后的路由、静态资源和外部链接可访问。</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身份与数据</w:t>
            </w:r>
          </w:p>
        </w:tc>
        <w:tc>
          <w:tcPr>
            <w:tcW w:type="dxa" w:w="73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未登录用户不能访问受保护页面；普通用户不能执行管理员操作；Firestore 规则与前端行为一致。</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ADB 调试</w:t>
            </w:r>
          </w:p>
        </w:tc>
        <w:tc>
          <w:tcPr>
            <w:tcW w:type="dxa" w:w="73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代理可启动、可配对、可检测设备、可执行安全命令；长任务可以接收实时输出并处理断开。</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网络诊断</w:t>
            </w:r>
          </w:p>
        </w:tc>
        <w:tc>
          <w:tcPr>
            <w:tcW w:type="dxa" w:w="73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任一数据源失败时页面仍能展示部分结果，并明确标注失败或未确认，而不是直接给出确定性结论。</w:t>
            </w:r>
          </w:p>
        </w:tc>
      </w:tr>
      <w:tr>
        <w:tc>
          <w:tcPr>
            <w:tcW w:type="dxa" w:w="204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文档与交接</w:t>
            </w:r>
          </w:p>
        </w:tc>
        <w:tc>
          <w:tcPr>
            <w:tcW w:type="dxa" w:w="7320"/>
            <w:tcMar>
              <w:top w:w="80" w:type="dxa"/>
              <w:start w:w="120" w:type="dxa"/>
              <w:bottom w:w="80" w:type="dxa"/>
              <w:end w:w="120" w:type="dxa"/>
            </w:tcMar>
            <w:vAlign w:val="center"/>
          </w:tcPr>
          <w:p>
            <w:pPr>
              <w:spacing w:after="0" w:line="252" w:lineRule="auto"/>
            </w:pPr>
            <w:r>
              <w:rPr>
                <w:rFonts w:ascii="Calibri" w:hAnsi="Calibri" w:eastAsia="Microsoft YaHei"/>
                <w:color w:val="1F2937"/>
                <w:sz w:val="18"/>
              </w:rPr>
              <w:t>README、代理指南、发布指南和变更日志中的命令、路径与下载方式相互一致。</w:t>
            </w:r>
          </w:p>
        </w:tc>
      </w:tr>
    </w:tbl>
    <w:p>
      <w:pPr>
        <w:pStyle w:val="Heading1"/>
      </w:pPr>
      <w:r>
        <w:rPr>
          <w:rFonts w:ascii="Calibri" w:hAnsi="Calibri" w:eastAsia="Microsoft YaHei"/>
          <w:b/>
          <w:color w:val="2E74B5"/>
          <w:sz w:val="32"/>
        </w:rPr>
        <w:t>结论</w:t>
      </w:r>
    </w:p>
    <w:p>
      <w:pPr/>
      <w:r>
        <w:rPr>
          <w:rFonts w:ascii="Calibri" w:hAnsi="Calibri" w:eastAsia="Microsoft YaHei"/>
          <w:color w:val="1F2937"/>
          <w:sz w:val="22"/>
        </w:rPr>
        <w:t>本项目的基础方向是成立的：它已经把通用工具、网络诊断、机器人测试记录和本地 ADB 调试连接成一个可扩展入口。建议下一阶段以“稳定交付现有能力”为主线，先完成测试、权限、外部依赖和发布流程的收敛，再根据真实使用数据决定是否继续扩展工具范围。</w:t>
      </w:r>
    </w:p>
    <w:p>
      <w:pPr>
        <w:spacing w:before="280" w:after="0"/>
      </w:pPr>
      <w:r>
        <w:rPr>
          <w:rFonts w:ascii="Calibri" w:hAnsi="Calibri" w:eastAsia="Microsoft YaHei"/>
          <w:b/>
          <w:color w:val="667085"/>
          <w:sz w:val="18"/>
        </w:rPr>
        <w:t>资料范围：</w:t>
      </w:r>
      <w:r>
        <w:rPr>
          <w:rFonts w:ascii="Calibri" w:hAnsi="Calibri" w:eastAsia="Microsoft YaHei"/>
          <w:color w:val="667085"/>
          <w:sz w:val="18"/>
        </w:rPr>
        <w:t>本备忘录依据当前仓库中的 README、PROJECT_STRUCTURE.md、CHANGELOG.md、ADB 本地代理说明及源代码入口整理；未读取或复述 .env 中的敏感配置。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8"/>
      </w:rPr>
      <w:t xml:space="preserve">内部工作稿  |  第 </w:t>
    </w:r>
    <w:r>
      <w:fldChar w:fldCharType="begin"/>
      <w:instrText xml:space="preserve">PAGE</w:instrText>
      <w:fldChar w:fldCharType="separate"/>
      <w:t>1</w: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8"/>
      </w:rPr>
      <w:t>Antigravity 在线工具箱</w:t>
    </w:r>
    <w:r>
      <w:rPr>
        <w:rFonts w:ascii="Calibri" w:hAnsi="Calibri" w:eastAsia="Microsoft YaHei"/>
        <w:color w:val="667085"/>
        <w:sz w:val="18"/>
      </w:rPr>
      <w:t xml:space="preserve">    项目备忘录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项目备忘录：Antigravity 在线工具箱</dc:title>
  <dc:subject>当前状态与推进建议</dc:subject>
  <dc:creator>Antigravity 项目组</dc:creator>
  <cp:keywords/>
  <dc:description>依据项目仓库中的公开文档与源代码入口整理。</dc:description>
  <cp:lastModifiedBy/>
  <cp:revision>1</cp:revision>
  <dcterms:created xsi:type="dcterms:W3CDTF">2013-12-23T23:15:00Z</dcterms:created>
  <dcterms:modified xsi:type="dcterms:W3CDTF">2013-12-23T23:15:00Z</dcterms:modified>
  <cp:category>项目备忘录</cp:category>
</cp:coreProperties>
</file>