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left"/>
      </w:pPr>
      <w:r>
        <w:rPr>
          <w:b/>
          <w:color w:val="1F3A5F"/>
          <w:sz w:val="30"/>
        </w:rPr>
        <w:t>Internet Payment Gateway for DZZLO — Statement of Requirement</w:t>
      </w:r>
    </w:p>
    <w:p>
      <w:pPr>
        <w:spacing w:after="180"/>
      </w:pPr>
      <w:r>
        <w:rPr>
          <w:color w:val="555555"/>
          <w:sz w:val="18"/>
        </w:rPr>
        <w:t>VSYST Technologies  ·  Submitted to Union Bank of India  ·  Payment gateway via Easebuzz</w:t>
      </w:r>
    </w:p>
    <w:p>
      <w:pPr>
        <w:keepNext/>
        <w:spacing w:before="180" w:after="60"/>
        <w:jc w:val="left"/>
      </w:pPr>
      <w:r>
        <w:rPr>
          <w:b/>
          <w:color w:val="1F3A5F"/>
          <w:sz w:val="21"/>
        </w:rPr>
        <w:t>1.  Why we need an Internet Payment Gateway</w:t>
      </w:r>
    </w:p>
    <w:p>
      <w:pPr>
        <w:spacing w:after="100" w:before="0" w:line="252" w:lineRule="auto"/>
        <w:jc w:val="both"/>
      </w:pPr>
      <w:r>
        <w:t>DZZLO is a fuel ordering and credit platform used by petrol pump dealers and the transport firms that buy from them. Orders, invoices and credit limits all sit on the platform. Payment is the one leg of the loop that still sits outside it: the customer leaves the app, opens their own net banking and pushes the transfer by hand. Every difficulty below follows from that single gap.</w:t>
      </w:r>
    </w:p>
    <w:tbl>
      <w:tblPr>
        <w:tblStyle w:val="TableGrid"/>
        <w:tblW w:type="auto" w:w="0"/>
        <w:jc w:val="left"/>
        <w:tblLayout w:type="fixed"/>
        <w:tblLook w:firstColumn="1" w:firstRow="1" w:lastColumn="0" w:lastRow="0" w:noHBand="0" w:noVBand="1" w:val="04A0"/>
      </w:tblPr>
      <w:tblGrid>
        <w:gridCol w:w="5100"/>
        <w:gridCol w:w="5100"/>
      </w:tblGrid>
      <w:tr>
        <w:tc>
          <w:tcPr>
            <w:tcW w:type="dxa" w:w="4762"/>
            <w:shd w:val="clear" w:fill="EAEEF3"/>
          </w:tcPr>
          <w:p>
            <w:pPr>
              <w:spacing w:after="40" w:before="40" w:line="240" w:lineRule="auto"/>
              <w:jc w:val="left"/>
            </w:pPr>
            <w:r>
              <w:rPr>
                <w:b/>
                <w:color w:val="1F3A5F"/>
                <w:sz w:val="18"/>
              </w:rPr>
              <w:t>Today, without an IPG</w:t>
            </w:r>
          </w:p>
        </w:tc>
        <w:tc>
          <w:tcPr>
            <w:tcW w:type="dxa" w:w="4762"/>
            <w:shd w:val="clear" w:fill="EAEEF3"/>
          </w:tcPr>
          <w:p>
            <w:pPr>
              <w:spacing w:after="40" w:before="40" w:line="240" w:lineRule="auto"/>
              <w:jc w:val="left"/>
            </w:pPr>
            <w:r>
              <w:rPr>
                <w:b/>
                <w:color w:val="1F3A5F"/>
                <w:sz w:val="18"/>
              </w:rPr>
              <w:t>With the IPG inside DZZLO</w:t>
            </w:r>
          </w:p>
        </w:tc>
      </w:tr>
      <w:tr>
        <w:tc>
          <w:tcPr>
            <w:tcW w:type="dxa" w:w="4762"/>
          </w:tcPr>
          <w:p>
            <w:pPr>
              <w:spacing w:after="40" w:before="40" w:line="240" w:lineRule="auto"/>
              <w:jc w:val="left"/>
            </w:pPr>
            <w:r>
              <w:rPr>
                <w:sz w:val="18"/>
              </w:rPr>
              <w:t>The payer selects the account and types the amount. On transfers averaging ₹1 lakh and reaching ₹5 lakh, one mistyped digit is a serious incident.</w:t>
            </w:r>
          </w:p>
        </w:tc>
        <w:tc>
          <w:tcPr>
            <w:tcW w:type="dxa" w:w="4762"/>
          </w:tcPr>
          <w:p>
            <w:pPr>
              <w:spacing w:after="40" w:before="40" w:line="240" w:lineRule="auto"/>
              <w:jc w:val="left"/>
            </w:pPr>
            <w:r>
              <w:rPr>
                <w:sz w:val="18"/>
              </w:rPr>
              <w:t>The screen opens with the invoice, the dealer and the amount already filled in. No entry, so no room for error.</w:t>
            </w:r>
          </w:p>
        </w:tc>
      </w:tr>
      <w:tr>
        <w:tc>
          <w:tcPr>
            <w:tcW w:type="dxa" w:w="4762"/>
          </w:tcPr>
          <w:p>
            <w:pPr>
              <w:spacing w:after="40" w:before="40" w:line="240" w:lineRule="auto"/>
              <w:jc w:val="left"/>
            </w:pPr>
            <w:r>
              <w:rPr>
                <w:sz w:val="18"/>
              </w:rPr>
              <w:t>A payment sends nothing back. Money moves in the bank’s system while the invoice stays open in the dealer’s books; acknowledgement is manual, late and disputable.</w:t>
            </w:r>
          </w:p>
        </w:tc>
        <w:tc>
          <w:tcPr>
            <w:tcW w:type="dxa" w:w="4762"/>
          </w:tcPr>
          <w:p>
            <w:pPr>
              <w:spacing w:after="40" w:before="40" w:line="240" w:lineRule="auto"/>
              <w:jc w:val="left"/>
            </w:pPr>
            <w:r>
              <w:rPr>
                <w:sz w:val="18"/>
              </w:rPr>
              <w:t>Payment is made against a specific invoice and closes in the shared ledger at once — one entry, seen identically by both sides.</w:t>
            </w:r>
          </w:p>
        </w:tc>
      </w:tr>
      <w:tr>
        <w:tc>
          <w:tcPr>
            <w:tcW w:type="dxa" w:w="4762"/>
          </w:tcPr>
          <w:p>
            <w:pPr>
              <w:spacing w:after="40" w:before="40" w:line="240" w:lineRule="auto"/>
              <w:jc w:val="left"/>
            </w:pPr>
            <w:r>
              <w:rPr>
                <w:sz w:val="18"/>
              </w:rPr>
              <w:t>Paying is bound to the working day. A customer at their credit limit must pay to place the next order, but the transfer is recognised only when staff read the bank statement next morning.</w:t>
            </w:r>
          </w:p>
        </w:tc>
        <w:tc>
          <w:tcPr>
            <w:tcW w:type="dxa" w:w="4762"/>
          </w:tcPr>
          <w:p>
            <w:pPr>
              <w:spacing w:after="40" w:before="40" w:line="240" w:lineRule="auto"/>
              <w:jc w:val="left"/>
            </w:pPr>
            <w:r>
              <w:rPr>
                <w:sz w:val="18"/>
              </w:rPr>
              <w:t>The customer pays 24×7, the invoice confirms on the spot, the limit frees and the order goes through at any hour. Settlement to the dealer on T+1.</w:t>
            </w:r>
          </w:p>
        </w:tc>
      </w:tr>
      <w:tr>
        <w:tc>
          <w:tcPr>
            <w:tcW w:type="dxa" w:w="4762"/>
          </w:tcPr>
          <w:p>
            <w:pPr>
              <w:spacing w:after="40" w:before="40" w:line="240" w:lineRule="auto"/>
              <w:jc w:val="left"/>
            </w:pPr>
            <w:r>
              <w:rPr>
                <w:sz w:val="18"/>
              </w:rPr>
              <w:t>Beneficiary management is the customer’s burden — set up outside the platform, unlinked to any invoice, with an activation wait before the first payment.</w:t>
            </w:r>
          </w:p>
        </w:tc>
        <w:tc>
          <w:tcPr>
            <w:tcW w:type="dxa" w:w="4762"/>
          </w:tcPr>
          <w:p>
            <w:pPr>
              <w:spacing w:after="40" w:before="40" w:line="240" w:lineRule="auto"/>
              <w:jc w:val="left"/>
            </w:pPr>
            <w:r>
              <w:rPr>
                <w:sz w:val="18"/>
              </w:rPr>
              <w:t>No beneficiary management. The dealer is already on the payment screen.</w:t>
            </w:r>
          </w:p>
        </w:tc>
      </w:tr>
    </w:tbl>
    <w:p>
      <w:pPr>
        <w:spacing w:after="100" w:before="0" w:line="252" w:lineRule="auto"/>
        <w:jc w:val="both"/>
      </w:pPr>
    </w:p>
    <w:p>
      <w:pPr>
        <w:spacing w:after="100" w:before="0" w:line="252" w:lineRule="auto"/>
        <w:jc w:val="both"/>
      </w:pPr>
      <w:r>
        <w:rPr>
          <w:b/>
        </w:rPr>
        <w:t>Credit opens on the gateway’s confirmation of payment, not on settlement into the dealer’s account.</w:t>
      </w:r>
      <w:r>
        <w:t xml:space="preserve"> At the moment the gateway confirms, the customer’s money has already left their account and sits in the aggregator’s escrow under RBI payment-aggregator authorisation; T+1 settlement is a regulated cycle, not a counterparty risk. The dealer’s alternative today is to release credit against a chat-app screenshot he cannot verify. The gateway replaces an unverifiable promise with a confirmed receipt.</w:t>
      </w:r>
    </w:p>
    <w:p>
      <w:pPr>
        <w:spacing w:after="100" w:before="0" w:line="252" w:lineRule="auto"/>
        <w:jc w:val="both"/>
      </w:pPr>
      <w:r>
        <w:rPr>
          <w:b/>
        </w:rPr>
        <w:t>Why the integration matters, not merely the gateway.</w:t>
      </w:r>
      <w:r>
        <w:t xml:space="preserve"> A payment gateway on its own only moves money; the payment must still be found, matched and reconciled against a bill afterwards. No platform in this market carries a common ledger as DZZLO does. Payment made against a selected invoice, landing in a ledger both parties already share, closes on both sides at once — reconciliation is not reduced, it is removed.</w:t>
      </w:r>
    </w:p>
    <w:p>
      <w:pPr>
        <w:keepNext/>
        <w:spacing w:before="180" w:after="60"/>
        <w:jc w:val="left"/>
      </w:pPr>
      <w:r>
        <w:rPr>
          <w:b/>
          <w:color w:val="1F3A5F"/>
          <w:sz w:val="21"/>
        </w:rPr>
        <w:t>2.  What kind of IPG servicing is required</w:t>
      </w:r>
    </w:p>
    <w:p>
      <w:pPr>
        <w:spacing w:after="100" w:before="0" w:line="252" w:lineRule="auto"/>
        <w:jc w:val="both"/>
      </w:pPr>
      <w:r>
        <w:rPr>
          <w:b/>
        </w:rPr>
        <w:t>Net banking is the core requirement — NEFT, RTGS and IMPS.</w:t>
      </w:r>
      <w:r>
        <w:t xml:space="preserve"> Our customers are transport firms, and a firm paying a firm moves money by bank transfer. IMPS and NEFT carry the everyday ₹5,000–₹2 lakh range; RTGS carries ₹2 lakh and above, where our transfers reach ₹5 lakh. </w:t>
      </w:r>
      <w:r>
        <w:rPr>
          <w:b/>
        </w:rPr>
        <w:t>UPI, debit card and credit card are required in support</w:t>
      </w:r>
      <w:r>
        <w:t>, so that no customer is turned away for want of a method he holds. DZZLO runs on Android, iOS and the web, and every option must work on all three.</w:t>
      </w:r>
    </w:p>
    <w:p>
      <w:pPr>
        <w:spacing w:after="100" w:before="0" w:line="252" w:lineRule="auto"/>
        <w:jc w:val="both"/>
      </w:pPr>
      <w:r>
        <w:rPr>
          <w:b/>
        </w:rPr>
        <w:t>QR codes and POS terminals do not solve this.</w:t>
      </w:r>
      <w:r>
        <w:t xml:space="preserve"> They are not interconnected with DZZLO. A payment taken on a QR or POS is never acknowledged back to the platform, so the invoice stays open, the ledger does not close and the credit limit does not free. An integrated IPG is not a more convenient QR code; it is the only form that closes the loop.</w:t>
      </w:r>
    </w:p>
    <w:p>
      <w:pPr>
        <w:spacing w:after="100" w:before="0" w:line="252" w:lineRule="auto"/>
        <w:jc w:val="both"/>
      </w:pPr>
      <w:r>
        <w:rPr>
          <w:b/>
        </w:rPr>
        <w:t>Verification APIs alongside the payment rails.</w:t>
      </w:r>
      <w:r>
        <w:t xml:space="preserve"> The accounts on DZZLO are credit accounts. Before a firm is given a limit, and before a dealer is set up to receive settlement, we must establish that the entity is what it says it is and that the account is genuinely its own — checked at onboarding by API, not by reading documents by hand. We ask the Bank to avail these from the aggregator, to price them on the same footing as the gateway, and to tell us which of them Easebuzz in fact offers:</w:t>
      </w:r>
    </w:p>
    <w:tbl>
      <w:tblPr>
        <w:tblStyle w:val="TableGrid"/>
        <w:tblW w:type="auto" w:w="0"/>
        <w:jc w:val="left"/>
        <w:tblLayout w:type="fixed"/>
        <w:tblLook w:firstColumn="1" w:firstRow="1" w:lastColumn="0" w:lastRow="0" w:noHBand="0" w:noVBand="1" w:val="04A0"/>
      </w:tblPr>
      <w:tblGrid>
        <w:gridCol w:w="5100"/>
        <w:gridCol w:w="5100"/>
      </w:tblGrid>
      <w:tr>
        <w:tc>
          <w:tcPr>
            <w:tcW w:type="dxa" w:w="2041"/>
            <w:shd w:val="clear" w:fill="EAEEF3"/>
          </w:tcPr>
          <w:p>
            <w:pPr>
              <w:spacing w:after="40" w:before="40" w:line="240" w:lineRule="auto"/>
              <w:jc w:val="left"/>
            </w:pPr>
            <w:r>
              <w:rPr>
                <w:b/>
                <w:color w:val="1F3A5F"/>
                <w:sz w:val="18"/>
              </w:rPr>
              <w:t>Verification</w:t>
            </w:r>
          </w:p>
        </w:tc>
        <w:tc>
          <w:tcPr>
            <w:tcW w:type="dxa" w:w="7483"/>
            <w:shd w:val="clear" w:fill="EAEEF3"/>
          </w:tcPr>
          <w:p>
            <w:pPr>
              <w:spacing w:after="40" w:before="40" w:line="240" w:lineRule="auto"/>
              <w:jc w:val="left"/>
            </w:pPr>
            <w:r>
              <w:rPr>
                <w:b/>
                <w:color w:val="1F3A5F"/>
                <w:sz w:val="18"/>
              </w:rPr>
              <w:t>What it settles on DZZLO</w:t>
            </w:r>
          </w:p>
        </w:tc>
      </w:tr>
      <w:tr>
        <w:tc>
          <w:tcPr>
            <w:tcW w:type="dxa" w:w="2041"/>
          </w:tcPr>
          <w:p>
            <w:pPr>
              <w:spacing w:after="40" w:before="40" w:line="240" w:lineRule="auto"/>
              <w:jc w:val="left"/>
            </w:pPr>
            <w:r>
              <w:rPr>
                <w:sz w:val="18"/>
              </w:rPr>
              <w:t>Bank account</w:t>
            </w:r>
          </w:p>
        </w:tc>
        <w:tc>
          <w:tcPr>
            <w:tcW w:type="dxa" w:w="7483"/>
          </w:tcPr>
          <w:p>
            <w:pPr>
              <w:spacing w:after="40" w:before="40" w:line="240" w:lineRule="auto"/>
              <w:jc w:val="left"/>
            </w:pPr>
            <w:r>
              <w:rPr>
                <w:sz w:val="18"/>
              </w:rPr>
              <w:t>That the dealer’s settlement account, and the account a customer pays from, genuinely belong to that entity.</w:t>
            </w:r>
          </w:p>
        </w:tc>
      </w:tr>
      <w:tr>
        <w:tc>
          <w:tcPr>
            <w:tcW w:type="dxa" w:w="2041"/>
          </w:tcPr>
          <w:p>
            <w:pPr>
              <w:spacing w:after="40" w:before="40" w:line="240" w:lineRule="auto"/>
              <w:jc w:val="left"/>
            </w:pPr>
            <w:r>
              <w:rPr>
                <w:sz w:val="18"/>
              </w:rPr>
              <w:t>PAN</w:t>
            </w:r>
          </w:p>
        </w:tc>
        <w:tc>
          <w:tcPr>
            <w:tcW w:type="dxa" w:w="7483"/>
          </w:tcPr>
          <w:p>
            <w:pPr>
              <w:spacing w:after="40" w:before="40" w:line="240" w:lineRule="auto"/>
              <w:jc w:val="left"/>
            </w:pPr>
            <w:r>
              <w:rPr>
                <w:sz w:val="18"/>
              </w:rPr>
              <w:t>That the firm or proprietor exists as named — established before any credit limit is opened.</w:t>
            </w:r>
          </w:p>
        </w:tc>
      </w:tr>
      <w:tr>
        <w:tc>
          <w:tcPr>
            <w:tcW w:type="dxa" w:w="2041"/>
          </w:tcPr>
          <w:p>
            <w:pPr>
              <w:spacing w:after="40" w:before="40" w:line="240" w:lineRule="auto"/>
              <w:jc w:val="left"/>
            </w:pPr>
            <w:r>
              <w:rPr>
                <w:sz w:val="18"/>
              </w:rPr>
              <w:t>GSTIN</w:t>
            </w:r>
          </w:p>
        </w:tc>
        <w:tc>
          <w:tcPr>
            <w:tcW w:type="dxa" w:w="7483"/>
          </w:tcPr>
          <w:p>
            <w:pPr>
              <w:spacing w:after="40" w:before="40" w:line="240" w:lineRule="auto"/>
              <w:jc w:val="left"/>
            </w:pPr>
            <w:r>
              <w:rPr>
                <w:sz w:val="18"/>
              </w:rPr>
              <w:t>That the business is registered and the GSTIN on its invoices is live and its own.</w:t>
            </w:r>
          </w:p>
        </w:tc>
      </w:tr>
      <w:tr>
        <w:tc>
          <w:tcPr>
            <w:tcW w:type="dxa" w:w="2041"/>
          </w:tcPr>
          <w:p>
            <w:pPr>
              <w:spacing w:after="40" w:before="40" w:line="240" w:lineRule="auto"/>
              <w:jc w:val="left"/>
            </w:pPr>
            <w:r>
              <w:rPr>
                <w:sz w:val="18"/>
              </w:rPr>
              <w:t>Aadhaar</w:t>
            </w:r>
          </w:p>
        </w:tc>
        <w:tc>
          <w:tcPr>
            <w:tcW w:type="dxa" w:w="7483"/>
          </w:tcPr>
          <w:p>
            <w:pPr>
              <w:spacing w:after="40" w:before="40" w:line="240" w:lineRule="auto"/>
              <w:jc w:val="left"/>
            </w:pPr>
            <w:r>
              <w:rPr>
                <w:sz w:val="18"/>
              </w:rPr>
              <w:t>Identity of the individual signing up on behalf of the firm or the outlet.</w:t>
            </w:r>
          </w:p>
        </w:tc>
      </w:tr>
      <w:tr>
        <w:tc>
          <w:tcPr>
            <w:tcW w:type="dxa" w:w="2041"/>
          </w:tcPr>
          <w:p>
            <w:pPr>
              <w:spacing w:after="40" w:before="40" w:line="240" w:lineRule="auto"/>
              <w:jc w:val="left"/>
            </w:pPr>
            <w:r>
              <w:rPr>
                <w:sz w:val="18"/>
              </w:rPr>
              <w:t>Vehicle RC</w:t>
            </w:r>
          </w:p>
        </w:tc>
        <w:tc>
          <w:tcPr>
            <w:tcW w:type="dxa" w:w="7483"/>
          </w:tcPr>
          <w:p>
            <w:pPr>
              <w:spacing w:after="40" w:before="40" w:line="240" w:lineRule="auto"/>
              <w:jc w:val="left"/>
            </w:pPr>
            <w:r>
              <w:rPr>
                <w:sz w:val="18"/>
              </w:rPr>
              <w:t>That a vehicle presented against an order is registered to the customer firm.</w:t>
            </w:r>
          </w:p>
        </w:tc>
      </w:tr>
      <w:tr>
        <w:tc>
          <w:tcPr>
            <w:tcW w:type="dxa" w:w="2041"/>
          </w:tcPr>
          <w:p>
            <w:pPr>
              <w:spacing w:after="40" w:before="40" w:line="240" w:lineRule="auto"/>
              <w:jc w:val="left"/>
            </w:pPr>
            <w:r>
              <w:rPr>
                <w:sz w:val="18"/>
              </w:rPr>
              <w:t>Driving licence</w:t>
            </w:r>
          </w:p>
        </w:tc>
        <w:tc>
          <w:tcPr>
            <w:tcW w:type="dxa" w:w="7483"/>
          </w:tcPr>
          <w:p>
            <w:pPr>
              <w:spacing w:after="40" w:before="40" w:line="240" w:lineRule="auto"/>
              <w:jc w:val="left"/>
            </w:pPr>
            <w:r>
              <w:rPr>
                <w:sz w:val="18"/>
              </w:rPr>
              <w:t>That the person taking delivery of fuel against an order holds a valid licence.</w:t>
            </w:r>
          </w:p>
        </w:tc>
      </w:tr>
    </w:tbl>
    <w:p>
      <w:pPr>
        <w:keepNext/>
        <w:spacing w:before="180" w:after="60"/>
        <w:jc w:val="left"/>
      </w:pPr>
      <w:r>
        <w:rPr>
          <w:b/>
          <w:color w:val="1F3A5F"/>
          <w:sz w:val="21"/>
        </w:rPr>
        <w:t>3.  The problem with the offer provided by the Bank</w:t>
      </w:r>
    </w:p>
    <w:p>
      <w:pPr>
        <w:spacing w:after="100" w:before="0" w:line="252" w:lineRule="auto"/>
        <w:jc w:val="both"/>
      </w:pPr>
      <w:r>
        <w:t xml:space="preserve">The Bank’s offer has two parts: net banking priced at </w:t>
      </w:r>
      <w:r>
        <w:rPr>
          <w:b/>
        </w:rPr>
        <w:t>1.8% per transaction</w:t>
      </w:r>
      <w:r>
        <w:t xml:space="preserve">, and the program to </w:t>
      </w:r>
      <w:r>
        <w:rPr>
          <w:b/>
        </w:rPr>
        <w:t>start on UPI and RuPay debit only</w:t>
      </w:r>
      <w:r>
        <w:t>, with net banking to follow. Each on its own leaves the problem in Section 1 unsolved.</w:t>
      </w:r>
    </w:p>
    <w:p>
      <w:pPr>
        <w:spacing w:after="100" w:before="0" w:line="252" w:lineRule="auto"/>
        <w:jc w:val="both"/>
      </w:pPr>
      <w:r>
        <w:rPr>
          <w:b/>
        </w:rPr>
        <w:t>The charge is on the wrong axis.</w:t>
      </w:r>
      <w:r>
        <w:t xml:space="preserve"> The difficulty with 1.8% is the axis rather than the number. A percentage grows with the size of the transfer, and our tickets are large. Nothing on the dealer’s side moves with them: pump prices are set by the oil marketing companies and his commission is a fixed amount per litre, so there is no price he can raise to absorb a charge that scales with value. The customer will not carry it either, since he is settling a bill he already owes. A flat fee is a different proposition — a known amount per payment that does not grow with the ticket, and one the dealer can plan for. What is unworkable here is the scaling, not the paying.</w:t>
      </w:r>
    </w:p>
    <w:p>
      <w:pPr>
        <w:spacing w:after="100" w:before="0" w:line="252" w:lineRule="auto"/>
        <w:jc w:val="both"/>
      </w:pPr>
      <w:r>
        <w:rPr>
          <w:b/>
        </w:rPr>
        <w:t>Net banking is the rail we need, and the safest one the Bank can give.</w:t>
      </w:r>
      <w:r>
        <w:t xml:space="preserve"> Net banking carries no chargeback: the payer authenticates inside their own bank and pushes the money, with no reversal right to be exercised against the merchant afterwards. Debit cards do carry that exposure. The dispute itself barely arises — an identified firm pays against a specific invoice, for fuel dispensed at a physical outlet into a vehicle that was present. Enabling this rail early adds less exposure for the Bank, not more.</w:t>
      </w:r>
    </w:p>
    <w:p>
      <w:pPr>
        <w:spacing w:after="100" w:before="0" w:line="252" w:lineRule="auto"/>
        <w:jc w:val="both"/>
      </w:pPr>
      <w:r>
        <w:rPr>
          <w:b/>
        </w:rPr>
        <w:t>A UPI-and-RuPay start would measure the wrong customer.</w:t>
      </w:r>
      <w:r>
        <w:t xml:space="preserve"> We understand the intent: an estimate of the volume this platform will carry, taken first on the modes that carry no MDR. The difficulty is that the free modes are not the modes our customers pay on. UPI fits a cash customer — the walk-in paying at the pump. The accounts on DZZLO are credit accounts, and a credit customer is a firm: it pays from the firm’s account, on the firm’s authorisation, against an invoice already raised. It does not pay from a proprietor’s UPI handle, and one firm does not settle with another on a debit card. The consequence is not that we launch smaller — it is that we launch and nothing moves, because the app cannot offer customers the rail they pay on. The gateway would record near-zero volume, and the program would read as having failed for want of demand when it was never given the rail its demand runs on.</w:t>
      </w:r>
    </w:p>
    <w:p>
      <w:pPr>
        <w:spacing w:after="100" w:before="0" w:line="252" w:lineRule="auto"/>
        <w:jc w:val="both"/>
      </w:pPr>
      <w:r>
        <w:rPr>
          <w:b/>
        </w:rPr>
        <w:t>What we propose instead: one pump, on net banking.</w:t>
      </w:r>
      <w:r>
        <w:t xml:space="preserve"> The Bank’s instinct to start small and read the result before committing further is sound; our disagreement is only about what the pilot runs on. Start with a single petrol pump, on net banking, with the charge waived for that one outlet. One outlet is a contained exposure — one merchant, one settlement account, a known set of customers, and a waiver granted on a volume the Bank can size before it begins. At the end of it we would put on the table jointly with the Bank: transaction count and value, what the waiver costs on a real month’s volume, how the payment flow performed end to end, and how many of that outlet’s customers moved off their own net banking onto paying in-app. We are asking to be measured on the rail we say this business runs on.</w:t>
      </w:r>
    </w:p>
    <w:p>
      <w:pPr>
        <w:spacing w:after="100" w:before="0" w:line="252" w:lineRule="auto"/>
        <w:jc w:val="both"/>
      </w:pPr>
      <w:r>
        <w:rPr>
          <w:b/>
        </w:rPr>
        <w:t>And then the Bank’s own dealers: HPCL on eDFS.</w:t>
      </w:r>
      <w:r>
        <w:t xml:space="preserve"> Union Bank of India extends the eDFS facility to HPCL dealers — petrol pump dealers who are already the Bank’s customers, already onboarded and already known to it. For the Bank it is the cheapest expansion available: no customer to acquire, no fresh onboarding risk, and IPG throughput added to accounts it already holds. We ask the Bank to help us reach them, by putting the program to those dealers itself or by approaching them together with us. We are not asking for any customer information — what we ask for is the Bank’s channel, not its data.</w:t>
      </w:r>
    </w:p>
    <w:p>
      <w:pPr>
        <w:keepNext/>
        <w:spacing w:before="180" w:after="60"/>
        <w:jc w:val="left"/>
      </w:pPr>
      <w:r>
        <w:rPr>
          <w:b/>
          <w:color w:val="1F3A5F"/>
          <w:sz w:val="21"/>
        </w:rPr>
        <w:t>4.  What we are asking, and what we will meet</w:t>
      </w:r>
    </w:p>
    <w:p>
      <w:pPr>
        <w:spacing w:after="100" w:before="0" w:line="252" w:lineRule="auto"/>
        <w:jc w:val="both"/>
      </w:pPr>
      <w:r>
        <w:t xml:space="preserve">1.  </w:t>
      </w:r>
      <w:r>
        <w:rPr>
          <w:b/>
        </w:rPr>
        <w:t>A waiver of the charge on net banking</w:t>
      </w:r>
      <w:r>
        <w:t>, recorded in the terms and conditions rather than held as an informal concession.</w:t>
      </w:r>
    </w:p>
    <w:p>
      <w:pPr>
        <w:spacing w:after="100" w:before="0" w:line="252" w:lineRule="auto"/>
        <w:jc w:val="both"/>
      </w:pPr>
      <w:r>
        <w:t xml:space="preserve">2.  Failing that, </w:t>
      </w:r>
      <w:r>
        <w:rPr>
          <w:b/>
        </w:rPr>
        <w:t>a flat fee per transaction</w:t>
      </w:r>
      <w:r>
        <w:t xml:space="preserve"> — any reasonable amount, so long as it is not a percentage of the transfer. The Bank sets the level; we ask only that it not scale with the value of the payment.</w:t>
      </w:r>
    </w:p>
    <w:p>
      <w:pPr>
        <w:spacing w:after="100" w:before="0" w:line="252" w:lineRule="auto"/>
        <w:jc w:val="both"/>
      </w:pPr>
      <w:r>
        <w:rPr>
          <w:b/>
        </w:rPr>
        <w:t>If the waiver is governed by a threshold, we ask the Bank to state it.</w:t>
      </w:r>
      <w:r>
        <w:t xml:space="preserve"> If there is a minimum number of onboarded dealers, a committed monthly transaction count or value, or a balance to be maintained, we would far rather meet a stated condition than argue against a rate. Every dealer we bring onto this program is a Union Bank of India current account, with the outlet’s settlement and float running through it. Beyond throughput, we are prepared to make </w:t>
      </w:r>
      <w:r>
        <w:rPr>
          <w:b/>
        </w:rPr>
        <w:t>a deposit with the Bank</w:t>
      </w:r>
      <w:r>
        <w:t xml:space="preserve"> part of joining the program, so that what the waiver is priced against is not only money passing through but balances that stay — asked of the dealer at onboarding rather than hoped for afterwards.</w:t>
      </w:r>
    </w:p>
    <w:p>
      <w:pPr>
        <w:spacing w:after="100" w:before="0" w:line="252" w:lineRule="auto"/>
        <w:jc w:val="both"/>
      </w:pPr>
      <w:r>
        <w:rPr>
          <w:b/>
        </w:rPr>
        <w:t>Projected volumes.</w:t>
      </w:r>
      <w:r>
        <w:t xml:space="preserve"> Projected transaction counts and values across 10–15 dealers, built from observed throughput at the outlets, are provided separately so the Bank can price the ask against real numbers, together with the expected current-account balances and deposits per dealer. These are projections, shown with their basis, and we would welcome a review at twelve months against actuals. The projection sits alongside the pilot offer above, not in place of it: the Bank can have the estimate on paper and verify it on one outlet before committing further.</w:t>
      </w:r>
    </w:p>
    <w:p>
      <w:pPr>
        <w:keepNext/>
        <w:spacing w:before="180" w:after="60"/>
        <w:jc w:val="left"/>
      </w:pPr>
      <w:r>
        <w:rPr>
          <w:b/>
          <w:color w:val="1F3A5F"/>
          <w:sz w:val="21"/>
        </w:rPr>
        <w:t>5.  What we ask the Bank to confirm with the aggregator</w:t>
      </w:r>
    </w:p>
    <w:p>
      <w:pPr>
        <w:spacing w:after="60" w:before="0" w:line="252" w:lineRule="auto"/>
        <w:jc w:val="both"/>
      </w:pPr>
      <w:r>
        <w:t xml:space="preserve">1.  </w:t>
      </w:r>
      <w:r>
        <w:rPr>
          <w:b/>
        </w:rPr>
        <w:t>Net banking — NEFT, RTGS and IMPS — can be enabled on this merchant account</w:t>
      </w:r>
      <w:r>
        <w:t>, on Android, iOS and web alike.</w:t>
      </w:r>
    </w:p>
    <w:p>
      <w:pPr>
        <w:spacing w:after="60" w:before="0" w:line="252" w:lineRule="auto"/>
        <w:jc w:val="both"/>
      </w:pPr>
      <w:r>
        <w:t xml:space="preserve">2.  </w:t>
      </w:r>
      <w:r>
        <w:rPr>
          <w:b/>
        </w:rPr>
        <w:t>A single transaction of ₹5 lakh completes</w:t>
      </w:r>
      <w:r>
        <w:t xml:space="preserve"> through the net-banking flow. We need to know where the ceiling sits, and whether it is set by the aggregator or by the customer’s own bank.</w:t>
      </w:r>
    </w:p>
    <w:p>
      <w:pPr>
        <w:spacing w:after="60" w:before="0" w:line="252" w:lineRule="auto"/>
        <w:jc w:val="both"/>
      </w:pPr>
      <w:r>
        <w:t xml:space="preserve">3.  </w:t>
      </w:r>
      <w:r>
        <w:rPr>
          <w:b/>
        </w:rPr>
        <w:t>A current account operating on maker–checker can complete the payment</w:t>
      </w:r>
      <w:r>
        <w:t>. Our customers are transport firms whose accounts commonly need a second authoriser who is not sitting in the payment session. If the flow cannot be completed from such an account, the gateway does not reach the customers it is meant to serve.</w:t>
      </w:r>
    </w:p>
    <w:p>
      <w:pPr>
        <w:spacing w:after="60" w:before="0" w:line="252" w:lineRule="auto"/>
        <w:jc w:val="both"/>
      </w:pPr>
      <w:r>
        <w:t xml:space="preserve">4.  </w:t>
      </w:r>
      <w:r>
        <w:rPr>
          <w:b/>
        </w:rPr>
        <w:t>UPI, debit card and credit card are available alongside</w:t>
      </w:r>
      <w:r>
        <w:t>, so that no customer is turned away for want of a method he holds.</w:t>
      </w:r>
    </w:p>
    <w:p>
      <w:pPr>
        <w:spacing w:after="60" w:before="0" w:line="252" w:lineRule="auto"/>
        <w:jc w:val="both"/>
      </w:pPr>
      <w:r>
        <w:t xml:space="preserve">5.  </w:t>
      </w:r>
      <w:r>
        <w:rPr>
          <w:b/>
        </w:rPr>
        <w:t>The six verification services listed in Section 2 can be enabled on this account and priced alongside the gateway</w:t>
      </w:r>
      <w:r>
        <w:t>, and which of them the aggregator in fact offers.</w:t>
      </w:r>
    </w:p>
    <w:p>
      <w:pPr>
        <w:spacing w:after="100" w:before="0" w:line="252" w:lineRule="auto"/>
        <w:jc w:val="both"/>
      </w:pPr>
      <w:r>
        <w:t>These are questions of capability rather than commercials, and the answers decide what we are asking to be built. We would rather have them confirmed now than discover a limit after onboarding.</w:t>
      </w:r>
    </w:p>
    <w:p>
      <w:pPr>
        <w:keepNext/>
        <w:spacing w:before="180" w:after="60"/>
        <w:jc w:val="left"/>
      </w:pPr>
      <w:r>
        <w:rPr>
          <w:b/>
          <w:color w:val="1F3A5F"/>
          <w:sz w:val="21"/>
        </w:rPr>
        <w:t>6.  A question we would like to put to the Bank</w:t>
      </w:r>
    </w:p>
    <w:p>
      <w:pPr>
        <w:spacing w:after="100" w:before="0" w:line="252" w:lineRule="auto"/>
        <w:jc w:val="both"/>
      </w:pPr>
      <w:r>
        <w:t xml:space="preserve">Should VSYST collect the payments and settle out to the dealers, instead of the aggregator settling to each dealer directly — and what would such a structure involve? We are not proposing it, and nothing else in this document depends on the answer; we ask because the Bank sees far more of these arrangements than we do. </w:t>
      </w:r>
      <w:r>
        <w:rPr>
          <w:b/>
        </w:rPr>
        <w:t>The default stands as it is today:</w:t>
      </w:r>
      <w:r>
        <w:t xml:space="preserve"> the aggregator settles to each dealer’s own account on T+1, and VSYST touches no customer money.</w:t>
      </w:r>
    </w:p>
    <w:sectPr w:rsidR="00FC693F" w:rsidRPr="0006063C" w:rsidSect="00034616">
      <w:pgSz w:w="12240" w:h="15840"/>
      <w:pgMar w:top="850"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52" w:lineRule="auto"/>
      <w:jc w:val="both"/>
    </w:pPr>
    <w:rPr>
      <w:rFonts w:ascii="Calibri" w:hAnsi="Calibri" w:eastAsia="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