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20" w:after="80"/>
      </w:pPr>
      <w:r>
        <w:rPr>
          <w:rFonts w:ascii="Calibri" w:hAnsi="Calibri"/>
          <w:b/>
          <w:color w:val="0D5C3A"/>
          <w:sz w:val="40"/>
        </w:rPr>
        <w:t>Progressive Laboratory Evaluation Report: SAGRI (Krishi Sahayak)</w:t>
      </w:r>
    </w:p>
    <w:p>
      <w:pPr>
        <w:pStyle w:val="Heading2"/>
        <w:spacing w:before="260" w:after="60"/>
      </w:pPr>
      <w:r>
        <w:rPr>
          <w:rFonts w:ascii="Calibri" w:hAnsi="Calibri"/>
          <w:b/>
          <w:color w:val="1E3A8A"/>
          <w:sz w:val="28"/>
        </w:rPr>
        <w:t>Phased Implementation: Milestone 1 &amp; Milestone 2 Evaluation Report</w:t>
      </w:r>
    </w:p>
    <w:p>
      <w:r>
        <w:rPr>
          <w:rFonts w:ascii="Calibri" w:hAnsi="Calibri"/>
          <w:b/>
          <w:color w:val="1F2937"/>
          <w:sz w:val="21"/>
        </w:rPr>
        <w:t>Course:</w:t>
      </w:r>
      <w:r>
        <w:rPr>
          <w:rFonts w:ascii="Calibri" w:hAnsi="Calibri"/>
          <w:color w:val="1F2937"/>
          <w:sz w:val="21"/>
        </w:rPr>
        <w:t xml:space="preserve"> Artificial Intelligence and Machine Learning Laboratory (CSET302 / Lab Week 8)</w:t>
      </w:r>
    </w:p>
    <w:p>
      <w:r>
        <w:rPr>
          <w:rFonts w:ascii="Calibri" w:hAnsi="Calibri"/>
          <w:b/>
          <w:color w:val="1F2937"/>
          <w:sz w:val="21"/>
        </w:rPr>
        <w:t>Academic Institution:</w:t>
      </w:r>
      <w:r>
        <w:rPr>
          <w:rFonts w:ascii="Calibri" w:hAnsi="Calibri"/>
          <w:color w:val="1F2937"/>
          <w:sz w:val="21"/>
        </w:rPr>
        <w:t xml:space="preserve"> Bennett University, Greater Noida (Times of India Group)</w:t>
      </w:r>
    </w:p>
    <w:p>
      <w:r>
        <w:rPr>
          <w:rFonts w:ascii="Calibri" w:hAnsi="Calibri"/>
          <w:b/>
          <w:color w:val="1F2937"/>
          <w:sz w:val="21"/>
        </w:rPr>
        <w:t>School:</w:t>
      </w:r>
      <w:r>
        <w:rPr>
          <w:rFonts w:ascii="Calibri" w:hAnsi="Calibri"/>
          <w:color w:val="1F2937"/>
          <w:sz w:val="21"/>
        </w:rPr>
        <w:t xml:space="preserve"> School of Computer Science Engineering and Technology (SCSET)</w:t>
      </w:r>
    </w:p>
    <w:p>
      <w:r>
        <w:rPr>
          <w:rFonts w:ascii="Calibri" w:hAnsi="Calibri"/>
          <w:b/>
          <w:color w:val="1F2937"/>
          <w:sz w:val="21"/>
        </w:rPr>
        <w:t>Evaluation Dates:</w:t>
      </w:r>
      <w:r>
        <w:rPr>
          <w:rFonts w:ascii="Calibri" w:hAnsi="Calibri"/>
          <w:color w:val="1F2937"/>
          <w:sz w:val="21"/>
        </w:rPr>
        <w:t xml:space="preserve"> October 5 to October 9, 2026</w:t>
      </w:r>
    </w:p>
    <w:p>
      <w:r>
        <w:rPr>
          <w:rFonts w:ascii="Calibri" w:hAnsi="Calibri"/>
          <w:b/>
          <w:color w:val="1F2937"/>
          <w:sz w:val="21"/>
        </w:rPr>
        <w:t>Evaluation Scope:</w:t>
      </w:r>
      <w:r>
        <w:rPr>
          <w:rFonts w:ascii="Calibri" w:hAnsi="Calibri"/>
          <w:color w:val="1F2937"/>
          <w:sz w:val="21"/>
        </w:rPr>
        <w:t xml:space="preserve"> Progressive Phased Lab Evaluation (Milestone 1 &amp; 2 Deliverables — 12 Marks)</w:t>
      </w:r>
    </w:p>
    <w:p>
      <w:r>
        <w:rPr>
          <w:rFonts w:ascii="Calibri" w:hAnsi="Calibri"/>
          <w:b/>
          <w:color w:val="1F2937"/>
          <w:sz w:val="21"/>
        </w:rPr>
        <w:t>Upcoming Final Phase:</w:t>
      </w:r>
      <w:r>
        <w:rPr>
          <w:rFonts w:ascii="Calibri" w:hAnsi="Calibri"/>
          <w:color w:val="1F2937"/>
          <w:sz w:val="21"/>
        </w:rPr>
        <w:t xml:space="preserve"> Milestone 3 (Full Ecosystem Integration, Macro Risk &amp; Market Models, Final Defense)</w:t>
      </w:r>
    </w:p>
    <w:p>
      <w:pPr>
        <w:spacing w:before="80" w:after="120"/>
      </w:pPr>
      <w:r>
        <w:rPr>
          <w:color w:val="CBD5E1"/>
        </w:rPr>
        <w:t>━━━━━━━━━━━━━━━━━━━━━━━━━━━━━━━━━━━━━━━━━━━━━━━━━━━━━━━━━━━━</w:t>
      </w:r>
    </w:p>
    <w:p>
      <w:pPr>
        <w:pStyle w:val="Heading3"/>
        <w:spacing w:before="180" w:after="40"/>
      </w:pPr>
      <w:r>
        <w:rPr>
          <w:rFonts w:ascii="Calibri" w:hAnsi="Calibri"/>
          <w:b/>
          <w:color w:val="0F172A"/>
          <w:sz w:val="23"/>
        </w:rPr>
        <w:t>Project Information &amp; Phased Lifecycle Overview</w:t>
      </w:r>
    </w:p>
    <w:tbl>
      <w:tblPr>
        <w:tblW w:type="auto" w:w="0"/>
        <w:jc w:val="center"/>
        <w:tblLayout w:type="autofit"/>
        <w:tblLook w:firstColumn="1" w:firstRow="1" w:lastColumn="0" w:lastRow="0" w:noHBand="0" w:noVBand="1" w:val="04A0"/>
      </w:tblPr>
      <w:tblGrid>
        <w:gridCol w:w="4824"/>
        <w:gridCol w:w="4824"/>
      </w:tblGrid>
      <w:tr>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Project Attribute</w:t>
            </w:r>
          </w:p>
        </w:tc>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Official Details</w:t>
            </w:r>
          </w:p>
        </w:tc>
      </w:tr>
      <w:tr>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Project Title</w:t>
            </w:r>
          </w:p>
        </w:tc>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SAGRI: AI-Based Advisory System for Crop, Disease, and Market Planning</w:t>
            </w:r>
          </w:p>
        </w:tc>
      </w:tr>
      <w:tr>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Institution</w:t>
            </w:r>
          </w:p>
        </w:tc>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Bennett University, Greater Noida</w:t>
            </w:r>
          </w:p>
        </w:tc>
      </w:tr>
      <w:tr>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Department</w:t>
            </w:r>
          </w:p>
        </w:tc>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School of Computer Science Engineering and Technology (SCSET)</w:t>
            </w:r>
          </w:p>
        </w:tc>
      </w:tr>
      <w:tr>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Faculty Guide &amp; Evaluator</w:t>
            </w:r>
          </w:p>
        </w:tc>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Monu Singh</w:t>
            </w:r>
          </w:p>
        </w:tc>
      </w:tr>
      <w:tr>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Project Repository</w:t>
            </w:r>
          </w:p>
        </w:tc>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onsolas" w:hAnsi="Consolas"/>
                <w:color w:val="0F5132"/>
                <w:sz w:val="16"/>
              </w:rPr>
              <w:t>AyushGU12/sagri_final</w:t>
            </w:r>
          </w:p>
        </w:tc>
      </w:tr>
      <w:tr>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Technology Stack</w:t>
            </w:r>
          </w:p>
        </w:tc>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Python 3.11, Scikit-Learn, XGBoost, ONNX Runtime, FastAPI, React 18, Vite 6, Tailwind CSS</w:t>
            </w:r>
          </w:p>
        </w:tc>
      </w:tr>
      <w:tr>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Current Project Stage</w:t>
            </w:r>
          </w:p>
        </w:tc>
        <w:tc>
          <w:tcPr>
            <w:tcW w:type="dxa" w:w="4824"/>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Phase 2 of 3 (Milestones 1 &amp; 2 Evaluated Today; Milestone 3 Scheduled for Final Defense)</w:t>
            </w:r>
          </w:p>
        </w:tc>
      </w:tr>
    </w:tbl>
    <w:p/>
    <w:p>
      <w:r>
        <w:rPr>
          <w:rFonts w:ascii="Calibri" w:hAnsi="Calibri"/>
          <w:b/>
          <w:color w:val="1F2937"/>
          <w:sz w:val="21"/>
        </w:rPr>
        <w:t>Collaborative Engineering Project Team:</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Enrollment No.</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Student Name</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Core Engineering Focus</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Phased Academic Contribution</w:t>
            </w:r>
          </w:p>
        </w:tc>
      </w:tr>
      <w:tr>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S24CSEU0502</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Shikhar Kesharwani</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Machine Learning &amp; Statistical Modeling</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Soil-Crop Suitability Modeling, Gini Split Calibration, Baseline Data Preprocessing</w:t>
            </w:r>
          </w:p>
        </w:tc>
      </w:tr>
      <w:tr>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S24CSEU0465</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Santusht Lakhanpal</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Computer Vision &amp; Pathology Pipeline</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MobileNetV2 Deep Learning, PlantVillage Augmentation, ONNX CPU Runtime Optimization</w:t>
            </w:r>
          </w:p>
        </w:tc>
      </w:tr>
      <w:tr>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S24CSEU0460</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Sanchit Jain</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Full-Stack Architecture &amp; API Gateway</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Asynchronous FastAPI Services, React Web UI Prototype, Pydantic Data Contracts</w:t>
            </w:r>
          </w:p>
        </w:tc>
      </w:tr>
    </w:tbl>
    <w:p/>
    <w:p>
      <w:pPr>
        <w:spacing w:before="80" w:after="120"/>
      </w:pPr>
      <w:r>
        <w:rPr>
          <w:color w:val="CBD5E1"/>
        </w:rPr>
        <w:t>━━━━━━━━━━━━━━━━━━━━━━━━━━━━━━━━━━━━━━━━━━━━━━━━━━━━━━━━━━━━</w:t>
      </w:r>
    </w:p>
    <w:p>
      <w:pPr>
        <w:pStyle w:val="Heading3"/>
        <w:spacing w:before="180" w:after="40"/>
      </w:pPr>
      <w:r>
        <w:rPr>
          <w:rFonts w:ascii="Calibri" w:hAnsi="Calibri"/>
          <w:b/>
          <w:color w:val="0F172A"/>
          <w:sz w:val="23"/>
        </w:rPr>
        <w:t>Phased Project Progression Matrix (3-Stage Engineering Roadmap)</w:t>
      </w:r>
    </w:p>
    <w:p>
      <w:r>
        <w:rPr>
          <w:rFonts w:ascii="Calibri" w:hAnsi="Calibri"/>
          <w:color w:val="1F2937"/>
          <w:sz w:val="21"/>
        </w:rPr>
        <w:t>To ensure disciplined software engineering, our team structured SAGRI across three phased milestones. This allows progressive validation of foundational data pipelines, individual predictive models, and full-stack integration over the semester:</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Engineering Phase</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Primary Objectives &amp; Technical Scope</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Target Deliverables</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Evaluation Status</w:t>
            </w:r>
          </w:p>
        </w:tc>
      </w:tr>
      <w:tr>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Milestone 1: Foundations &amp; Dataset Architecture</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Problem formulation, feasibility studies, literature review of existing agricultural advisory tools, acquisition and cleaning of ICAR, PlantVillage, ICRISAT, and Agmarknet datasets.</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Requirement specifications, feasibility analysis, curated tabular and image datasets, preprocessing and feature engineering scripts.</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100% Completed</w:t>
            </w:r>
            <w:r>
              <w:rPr>
                <w:rFonts w:ascii="Calibri" w:hAnsi="Calibri"/>
                <w:color w:val="1F2937"/>
                <w:sz w:val="18"/>
              </w:rPr>
              <w:t xml:space="preserve"> (Evaluated Week 4)</w:t>
            </w:r>
          </w:p>
        </w:tc>
      </w:tr>
      <w:tr>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Milestone 2: Core Predictive Models &amp; API Gateway (Current Evaluation)</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Training and validation of core agronomic models: Crop Recommendation (Random Forest) and Plant Pathology Scanner (MobileNetV2 ONNX). Development of asynchronous FastAPI REST API endpoints and initial React advisory UI prototype.</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Random Forest crop model (99.3%), ONNX disease model (96.8%, 112ms CPU latency), core REST API routes, connected web UI prototype, empirical benchmark metrics.</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100% Completed &amp; Under Evaluation Today</w:t>
            </w:r>
            <w:r>
              <w:rPr>
                <w:rFonts w:ascii="Calibri" w:hAnsi="Calibri"/>
                <w:color w:val="1F2937"/>
                <w:sz w:val="18"/>
              </w:rPr>
              <w:t xml:space="preserve"> (Lab Week 8)</w:t>
            </w:r>
          </w:p>
        </w:tc>
      </w:tr>
      <w:tr>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Milestone 3: Advanced Macro Models &amp; Full Ecosystem (Final Evaluation)</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Integration of macro-agricultural models: Climate-Induced Crop Failure Risk Radar (XGBoost) and Mandi Commodity Price Forecaster (WPI Random Forest). Full deployment of complete Farmer Dashboard ecosystem (Weather, Soil Health, Market Prices, Community, Expert Connect) with Docker containerization.</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XGBoost risk model (0.892 ROC-AUC), WPI price forecast model (8.35% MAPE), comprehensive multi-page Farmer Dashboard, Docker containerization, final project report.</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In Progress / Scheduled for Final Project Evaluation</w:t>
            </w:r>
          </w:p>
        </w:tc>
      </w:tr>
    </w:tbl>
    <w:p/>
    <w:p>
      <w:pPr>
        <w:spacing w:before="80" w:after="120"/>
      </w:pPr>
      <w:r>
        <w:rPr>
          <w:color w:val="CBD5E1"/>
        </w:rPr>
        <w:t>━━━━━━━━━━━━━━━━━━━━━━━━━━━━━━━━━━━━━━━━━━━━━━━━━━━━━━━━━━━━</w:t>
      </w:r>
    </w:p>
    <w:p>
      <w:pPr>
        <w:pStyle w:val="Heading2"/>
        <w:spacing w:before="260" w:after="60"/>
      </w:pPr>
      <w:r>
        <w:rPr>
          <w:rFonts w:ascii="Calibri" w:hAnsi="Calibri"/>
          <w:b/>
          <w:color w:val="1E3A8A"/>
          <w:sz w:val="28"/>
        </w:rPr>
        <w:t>1. Executive Summary &amp; Problem Statement</w:t>
      </w:r>
    </w:p>
    <w:p>
      <w:r>
        <w:rPr>
          <w:rFonts w:ascii="Calibri" w:hAnsi="Calibri"/>
          <w:color w:val="1F2937"/>
          <w:sz w:val="21"/>
        </w:rPr>
        <w:t>Agriculture forms the socioeconomic foundation of India, employing over 45% of the national workforce and sustaining rural livelihoods across the country. Despite its vital role, smallholder farmers—who operate more than 85% of Indian agricultural landholdings—routinely suffer severe financial distress due to fragmented advisory services, subjective guesswork, and volatile market mechanisms.</w:t>
      </w:r>
    </w:p>
    <w:p>
      <w:r>
        <w:rPr>
          <w:rFonts w:ascii="Calibri" w:hAnsi="Calibri"/>
          <w:color w:val="1F2937"/>
          <w:sz w:val="21"/>
        </w:rPr>
        <w:t>Through our laboratory research and field scoping at Bennett University, our project team identified three interrelated bottlenecks that severely limit farming productivity:</w:t>
      </w:r>
    </w:p>
    <w:p>
      <w:pPr>
        <w:spacing w:after="50"/>
        <w:ind w:left="504" w:hanging="504"/>
      </w:pPr>
      <w:r>
        <w:rPr>
          <w:rFonts w:ascii="Calibri" w:hAnsi="Calibri"/>
          <w:b/>
          <w:color w:val="0D5C3A"/>
        </w:rPr>
        <w:t xml:space="preserve">1. </w:t>
      </w:r>
      <w:r>
        <w:rPr>
          <w:rFonts w:ascii="Calibri" w:hAnsi="Calibri"/>
          <w:b/>
          <w:color w:val="1F2937"/>
          <w:sz w:val="20"/>
        </w:rPr>
        <w:t>Uninformed Crop Sowing:</w:t>
      </w:r>
      <w:r>
        <w:rPr>
          <w:rFonts w:ascii="Calibri" w:hAnsi="Calibri"/>
          <w:color w:val="1F2937"/>
          <w:sz w:val="20"/>
        </w:rPr>
        <w:t xml:space="preserve"> Sowing decisions are overwhelmingly dictated by traditional habit rather than physiological soil chemistry (Nitrogen, Phosphorus, Potassium, and pH) or hyper-local meteorological conditions. This mismatch leads to degraded soil fertility, wasted fertilizer expenditure, and poor yields.</w:t>
      </w:r>
    </w:p>
    <w:p>
      <w:pPr>
        <w:spacing w:after="50"/>
        <w:ind w:left="504" w:hanging="504"/>
      </w:pPr>
      <w:r>
        <w:rPr>
          <w:rFonts w:ascii="Calibri" w:hAnsi="Calibri"/>
          <w:b/>
          <w:color w:val="0D5C3A"/>
        </w:rPr>
        <w:t xml:space="preserve">2. </w:t>
      </w:r>
      <w:r>
        <w:rPr>
          <w:rFonts w:ascii="Calibri" w:hAnsi="Calibri"/>
          <w:b/>
          <w:color w:val="1F2937"/>
          <w:sz w:val="20"/>
        </w:rPr>
        <w:t>Delayed Foliar Pathology Detection:</w:t>
      </w:r>
      <w:r>
        <w:rPr>
          <w:rFonts w:ascii="Calibri" w:hAnsi="Calibri"/>
          <w:color w:val="1F2937"/>
          <w:sz w:val="20"/>
        </w:rPr>
        <w:t xml:space="preserve"> Leaf blights, bacterial spots, and fungal infections are typically detected only after symptoms become widespread across the field. With agricultural extension officer ratios often exceeding 1 officer per 1,100 farmers in India, accessible and prompt laboratory diagnosis remains out of reach for smallholders.</w:t>
      </w:r>
    </w:p>
    <w:p>
      <w:pPr>
        <w:spacing w:after="50"/>
        <w:ind w:left="504" w:hanging="504"/>
      </w:pPr>
      <w:r>
        <w:rPr>
          <w:rFonts w:ascii="Calibri" w:hAnsi="Calibri"/>
          <w:b/>
          <w:color w:val="0D5C3A"/>
        </w:rPr>
        <w:t xml:space="preserve">3. </w:t>
      </w:r>
      <w:r>
        <w:rPr>
          <w:rFonts w:ascii="Calibri" w:hAnsi="Calibri"/>
          <w:b/>
          <w:color w:val="1F2937"/>
          <w:sz w:val="20"/>
        </w:rPr>
        <w:t>Mandi Price Asymmetry and Distress Selling:</w:t>
      </w:r>
      <w:r>
        <w:rPr>
          <w:rFonts w:ascii="Calibri" w:hAnsi="Calibri"/>
          <w:color w:val="1F2937"/>
          <w:sz w:val="20"/>
        </w:rPr>
        <w:t xml:space="preserve"> Due to lack of forward-looking commodity price intelligence, smallholders sell produce immediately post-harvest during supply gluts. Middlemen exploit this uncertainty, forcing distress sales well below viable economic margins.</w:t>
      </w:r>
    </w:p>
    <w:p>
      <w:pPr>
        <w:pStyle w:val="Heading3"/>
        <w:spacing w:before="180" w:after="40"/>
      </w:pPr>
      <w:r>
        <w:rPr>
          <w:rFonts w:ascii="Calibri" w:hAnsi="Calibri"/>
          <w:b/>
          <w:color w:val="0F172A"/>
          <w:sz w:val="23"/>
        </w:rPr>
        <w:t>The Phased SAGRI Solution</w:t>
      </w:r>
    </w:p>
    <w:p>
      <w:r>
        <w:rPr>
          <w:rFonts w:ascii="Calibri" w:hAnsi="Calibri"/>
          <w:color w:val="1F2937"/>
          <w:sz w:val="21"/>
        </w:rPr>
        <w:t xml:space="preserve">To address these challenges methodically, our team designed </w:t>
      </w:r>
      <w:r>
        <w:rPr>
          <w:rFonts w:ascii="Calibri" w:hAnsi="Calibri"/>
          <w:b/>
          <w:color w:val="1F2937"/>
          <w:sz w:val="21"/>
        </w:rPr>
        <w:t>SAGRI (Krishi Sahayak)</w:t>
      </w:r>
      <w:r>
        <w:rPr>
          <w:rFonts w:ascii="Calibri" w:hAnsi="Calibri"/>
          <w:color w:val="1F2937"/>
          <w:sz w:val="21"/>
        </w:rPr>
        <w:t xml:space="preserve"> as a modular precision agriculture advisory platform developed in three distinct phases:</w:t>
      </w:r>
    </w:p>
    <w:p>
      <w:pPr>
        <w:pStyle w:val="ListBullet"/>
        <w:spacing w:after="40"/>
      </w:pPr>
      <w:r>
        <w:rPr>
          <w:rFonts w:ascii="Calibri" w:hAnsi="Calibri"/>
          <w:b/>
          <w:color w:val="1F2937"/>
          <w:sz w:val="20"/>
        </w:rPr>
        <w:t>In Milestone 1 &amp; Milestone 2 (Current Scope Evaluated Today):</w:t>
      </w:r>
      <w:r>
        <w:rPr>
          <w:rFonts w:ascii="Calibri" w:hAnsi="Calibri"/>
          <w:color w:val="1F2937"/>
          <w:sz w:val="20"/>
        </w:rPr>
        <w:t xml:space="preserve"> Our team built and validated the core farm-level advisory intelligence:</w:t>
      </w:r>
    </w:p>
    <w:p>
      <w:pPr>
        <w:pStyle w:val="ListBullet"/>
        <w:spacing w:after="40"/>
      </w:pPr>
      <w:r>
        <w:rPr>
          <w:rFonts w:ascii="Calibri" w:hAnsi="Calibri"/>
          <w:b/>
          <w:color w:val="1F2937"/>
          <w:sz w:val="20"/>
        </w:rPr>
        <w:t>Agronomic Crop Recommendation:</w:t>
      </w:r>
      <w:r>
        <w:rPr>
          <w:rFonts w:ascii="Calibri" w:hAnsi="Calibri"/>
          <w:color w:val="1F2937"/>
          <w:sz w:val="20"/>
        </w:rPr>
        <w:t xml:space="preserve"> Recommends the optimal top-3 crops calibrated across 7 soil and meteorological parameters using an ensemble Random Forest classifier (</w:t>
      </w:r>
      <w:r>
        <w:rPr>
          <w:rFonts w:ascii="Calibri" w:hAnsi="Calibri"/>
          <w:b/>
          <w:color w:val="1F2937"/>
          <w:sz w:val="20"/>
        </w:rPr>
        <w:t>99.3% accuracy</w:t>
      </w:r>
      <w:r>
        <w:rPr>
          <w:rFonts w:ascii="Calibri" w:hAnsi="Calibri"/>
          <w:color w:val="1F2937"/>
          <w:sz w:val="20"/>
        </w:rPr>
        <w:t>).</w:t>
      </w:r>
    </w:p>
    <w:p>
      <w:pPr>
        <w:pStyle w:val="ListBullet"/>
        <w:spacing w:after="40"/>
      </w:pPr>
      <w:r>
        <w:rPr>
          <w:rFonts w:ascii="Calibri" w:hAnsi="Calibri"/>
          <w:b/>
          <w:color w:val="1F2937"/>
          <w:sz w:val="20"/>
        </w:rPr>
        <w:t>Leaf Pathology Diagnostic Scanner:</w:t>
      </w:r>
      <w:r>
        <w:rPr>
          <w:rFonts w:ascii="Calibri" w:hAnsi="Calibri"/>
          <w:color w:val="1F2937"/>
          <w:sz w:val="20"/>
        </w:rPr>
        <w:t xml:space="preserve"> Identifies 38 distinct plant disease classes across 14 crops from leaf imagery using MobileNetV2 exported to ONNX Runtime (</w:t>
      </w:r>
      <w:r>
        <w:rPr>
          <w:rFonts w:ascii="Calibri" w:hAnsi="Calibri"/>
          <w:b/>
          <w:color w:val="1F2937"/>
          <w:sz w:val="20"/>
        </w:rPr>
        <w:t>112 ms CPU inference latency</w:t>
      </w:r>
      <w:r>
        <w:rPr>
          <w:rFonts w:ascii="Calibri" w:hAnsi="Calibri"/>
          <w:color w:val="1F2937"/>
          <w:sz w:val="20"/>
        </w:rPr>
        <w:t xml:space="preserve">, </w:t>
      </w:r>
      <w:r>
        <w:rPr>
          <w:rFonts w:ascii="Calibri" w:hAnsi="Calibri"/>
          <w:b/>
          <w:color w:val="1F2937"/>
          <w:sz w:val="20"/>
        </w:rPr>
        <w:t>96.8% accuracy</w:t>
      </w:r>
      <w:r>
        <w:rPr>
          <w:rFonts w:ascii="Calibri" w:hAnsi="Calibri"/>
          <w:color w:val="1F2937"/>
          <w:sz w:val="20"/>
        </w:rPr>
        <w:t>).</w:t>
      </w:r>
    </w:p>
    <w:p>
      <w:pPr>
        <w:pStyle w:val="ListBullet"/>
        <w:spacing w:after="40"/>
      </w:pPr>
      <w:r>
        <w:rPr>
          <w:rFonts w:ascii="Calibri" w:hAnsi="Calibri"/>
          <w:b/>
          <w:color w:val="1F2937"/>
          <w:sz w:val="20"/>
        </w:rPr>
        <w:t>Asynchronous FastAPI Gateway &amp; UI Prototype:</w:t>
      </w:r>
      <w:r>
        <w:rPr>
          <w:rFonts w:ascii="Calibri" w:hAnsi="Calibri"/>
          <w:color w:val="1F2937"/>
          <w:sz w:val="20"/>
        </w:rPr>
        <w:t xml:space="preserve"> Connects the validated models to an interactive React web interface on </w:t>
      </w:r>
      <w:r>
        <w:rPr>
          <w:rFonts w:ascii="Consolas" w:hAnsi="Consolas"/>
          <w:color w:val="0F5132"/>
          <w:sz w:val="18"/>
        </w:rPr>
        <w:t>http://localhost:5173</w:t>
      </w:r>
      <w:r>
        <w:rPr>
          <w:rFonts w:ascii="Calibri" w:hAnsi="Calibri"/>
          <w:color w:val="1F2937"/>
          <w:sz w:val="20"/>
        </w:rPr>
        <w:t>.</w:t>
      </w:r>
    </w:p>
    <w:p>
      <w:pPr>
        <w:pStyle w:val="ListBullet"/>
        <w:spacing w:after="40"/>
      </w:pPr>
      <w:r>
        <w:rPr>
          <w:rFonts w:ascii="Calibri" w:hAnsi="Calibri"/>
          <w:b/>
          <w:color w:val="1F2937"/>
          <w:sz w:val="20"/>
        </w:rPr>
        <w:t>In Milestone 3 (Final Phase to be Presented Later):</w:t>
      </w:r>
      <w:r>
        <w:rPr>
          <w:rFonts w:ascii="Calibri" w:hAnsi="Calibri"/>
          <w:color w:val="1F2937"/>
          <w:sz w:val="20"/>
        </w:rPr>
        <w:t xml:space="preserve"> Our team will present the macro-level predictive engines and complete farmer ecosystem that are currently being integrated:</w:t>
      </w:r>
    </w:p>
    <w:p>
      <w:pPr>
        <w:pStyle w:val="ListBullet"/>
        <w:spacing w:after="40"/>
      </w:pPr>
      <w:r>
        <w:rPr>
          <w:rFonts w:ascii="Calibri" w:hAnsi="Calibri"/>
          <w:b/>
          <w:color w:val="1F2937"/>
          <w:sz w:val="20"/>
        </w:rPr>
        <w:t>Climate-Induced Crop Failure Risk Radar:</w:t>
      </w:r>
      <w:r>
        <w:rPr>
          <w:rFonts w:ascii="Calibri" w:hAnsi="Calibri"/>
          <w:color w:val="1F2937"/>
          <w:sz w:val="20"/>
        </w:rPr>
        <w:t xml:space="preserve"> Regularized XGBoost classifier evaluated across 325,418 historical records with strict temporal validation (</w:t>
      </w:r>
      <w:r>
        <w:rPr>
          <w:rFonts w:ascii="Calibri" w:hAnsi="Calibri"/>
          <w:b/>
          <w:color w:val="1F2937"/>
          <w:sz w:val="20"/>
        </w:rPr>
        <w:t>0.892 ROC-AUC</w:t>
      </w:r>
      <w:r>
        <w:rPr>
          <w:rFonts w:ascii="Calibri" w:hAnsi="Calibri"/>
          <w:color w:val="1F2937"/>
          <w:sz w:val="20"/>
        </w:rPr>
        <w:t>).</w:t>
      </w:r>
    </w:p>
    <w:p>
      <w:pPr>
        <w:pStyle w:val="ListBullet"/>
        <w:spacing w:after="40"/>
      </w:pPr>
      <w:r>
        <w:rPr>
          <w:rFonts w:ascii="Calibri" w:hAnsi="Calibri"/>
          <w:b/>
          <w:color w:val="1F2937"/>
          <w:sz w:val="20"/>
        </w:rPr>
        <w:t>Mandi Commodity Price Forecaster:</w:t>
      </w:r>
      <w:r>
        <w:rPr>
          <w:rFonts w:ascii="Calibri" w:hAnsi="Calibri"/>
          <w:color w:val="1F2937"/>
          <w:sz w:val="20"/>
        </w:rPr>
        <w:t xml:space="preserve"> Random Forest regressor adjusted for inflation with the Wholesale Price Index (WPI) (</w:t>
      </w:r>
      <w:r>
        <w:rPr>
          <w:rFonts w:ascii="Calibri" w:hAnsi="Calibri"/>
          <w:b/>
          <w:color w:val="1F2937"/>
          <w:sz w:val="20"/>
        </w:rPr>
        <w:t>8.35% MAPE</w:t>
      </w:r>
      <w:r>
        <w:rPr>
          <w:rFonts w:ascii="Calibri" w:hAnsi="Calibri"/>
          <w:color w:val="1F2937"/>
          <w:sz w:val="20"/>
        </w:rPr>
        <w:t>).</w:t>
      </w:r>
    </w:p>
    <w:p>
      <w:pPr>
        <w:pStyle w:val="ListBullet"/>
        <w:spacing w:after="40"/>
      </w:pPr>
      <w:r>
        <w:rPr>
          <w:rFonts w:ascii="Calibri" w:hAnsi="Calibri"/>
          <w:b/>
          <w:color w:val="1F2937"/>
          <w:sz w:val="20"/>
        </w:rPr>
        <w:t>Comprehensive Farmer Portal:</w:t>
      </w:r>
      <w:r>
        <w:rPr>
          <w:rFonts w:ascii="Calibri" w:hAnsi="Calibri"/>
          <w:color w:val="1F2937"/>
          <w:sz w:val="20"/>
        </w:rPr>
        <w:t xml:space="preserve"> Real-time weather intelligence, interactive mandi price arrival tables, soil health diagnostics, expert consultation, and Docker deployment.</w:t>
      </w:r>
    </w:p>
    <w:p>
      <w:pPr>
        <w:spacing w:before="80" w:after="120"/>
      </w:pPr>
      <w:r>
        <w:rPr>
          <w:color w:val="CBD5E1"/>
        </w:rPr>
        <w:t>━━━━━━━━━━━━━━━━━━━━━━━━━━━━━━━━━━━━━━━━━━━━━━━━━━━━━━━━━━━━</w:t>
      </w:r>
    </w:p>
    <w:p>
      <w:pPr>
        <w:pStyle w:val="Heading2"/>
        <w:spacing w:before="260" w:after="60"/>
      </w:pPr>
      <w:r>
        <w:rPr>
          <w:rFonts w:ascii="Calibri" w:hAnsi="Calibri"/>
          <w:b/>
          <w:color w:val="1E3A8A"/>
          <w:sz w:val="28"/>
        </w:rPr>
        <w:t>2. Review of Existing Systems (Rubric Criterion 1 - 3 Marks)</w:t>
      </w:r>
    </w:p>
    <w:p>
      <w:pPr>
        <w:pStyle w:val="Heading3"/>
        <w:spacing w:before="180" w:after="40"/>
      </w:pPr>
      <w:r>
        <w:rPr>
          <w:rFonts w:ascii="Calibri" w:hAnsi="Calibri"/>
          <w:b/>
          <w:color w:val="0F172A"/>
          <w:sz w:val="23"/>
        </w:rPr>
        <w:t>2.1 Comparative Analysis of Current Agricultural Advisory Solutions</w:t>
      </w:r>
    </w:p>
    <w:p>
      <w:r>
        <w:rPr>
          <w:rFonts w:ascii="Calibri" w:hAnsi="Calibri"/>
          <w:color w:val="1F2937"/>
          <w:sz w:val="21"/>
        </w:rPr>
        <w:t>Our team conducted a thorough comparative study of current commercial, governmental, and academic systems to benchmark our architectural decisions against state-of-the-art implementations:</w:t>
      </w:r>
    </w:p>
    <w:p>
      <w:pPr>
        <w:spacing w:after="50"/>
        <w:ind w:left="504" w:hanging="504"/>
      </w:pPr>
      <w:r>
        <w:rPr>
          <w:rFonts w:ascii="Calibri" w:hAnsi="Calibri"/>
          <w:b/>
          <w:color w:val="0D5C3A"/>
        </w:rPr>
        <w:t xml:space="preserve">1. </w:t>
      </w:r>
      <w:r>
        <w:rPr>
          <w:rFonts w:ascii="Calibri" w:hAnsi="Calibri"/>
          <w:b/>
          <w:color w:val="1F2937"/>
          <w:sz w:val="20"/>
        </w:rPr>
        <w:t>Kisan Call Centers (KCC) and mKisan SMS Portal:</w:t>
      </w:r>
    </w:p>
    <w:p>
      <w:pPr>
        <w:pStyle w:val="ListBullet"/>
        <w:spacing w:after="40"/>
      </w:pPr>
      <w:r>
        <w:rPr>
          <w:rFonts w:ascii="Calibri" w:hAnsi="Calibri"/>
          <w:i/>
          <w:color w:val="1F2937"/>
          <w:sz w:val="20"/>
        </w:rPr>
        <w:t>Strengths:</w:t>
      </w:r>
      <w:r>
        <w:rPr>
          <w:rFonts w:ascii="Calibri" w:hAnsi="Calibri"/>
          <w:color w:val="1F2937"/>
          <w:sz w:val="20"/>
        </w:rPr>
        <w:t xml:space="preserve"> Exceptional geographic reach across rural India; available in 22 regional languages.</w:t>
      </w:r>
    </w:p>
    <w:p>
      <w:pPr>
        <w:pStyle w:val="ListBullet"/>
        <w:spacing w:after="40"/>
      </w:pPr>
      <w:r>
        <w:rPr>
          <w:rFonts w:ascii="Calibri" w:hAnsi="Calibri"/>
          <w:i/>
          <w:color w:val="1F2937"/>
          <w:sz w:val="20"/>
        </w:rPr>
        <w:t>Architectural Limitations:</w:t>
      </w:r>
      <w:r>
        <w:rPr>
          <w:rFonts w:ascii="Calibri" w:hAnsi="Calibri"/>
          <w:color w:val="1F2937"/>
          <w:sz w:val="20"/>
        </w:rPr>
        <w:t xml:space="preserve"> Interactive voice response (IVR) lines suffer from severe congestion during peak kharif and rabi sowing windows. SMS advisories broadcast coarse, district-level weather alerts rather than farm-specific soil chemistry recommendations, and voice operators cannot visually inspect plant leaves.</w:t>
      </w:r>
    </w:p>
    <w:p>
      <w:pPr>
        <w:spacing w:after="50"/>
        <w:ind w:left="504" w:hanging="504"/>
      </w:pPr>
      <w:r>
        <w:rPr>
          <w:rFonts w:ascii="Calibri" w:hAnsi="Calibri"/>
          <w:b/>
          <w:color w:val="0D5C3A"/>
        </w:rPr>
        <w:t xml:space="preserve">2. </w:t>
      </w:r>
      <w:r>
        <w:rPr>
          <w:rFonts w:ascii="Calibri" w:hAnsi="Calibri"/>
          <w:b/>
          <w:color w:val="1F2937"/>
          <w:sz w:val="20"/>
        </w:rPr>
        <w:t>Plantix Commercial Mobile Application:</w:t>
      </w:r>
    </w:p>
    <w:p>
      <w:pPr>
        <w:pStyle w:val="ListBullet"/>
        <w:spacing w:after="40"/>
      </w:pPr>
      <w:r>
        <w:rPr>
          <w:rFonts w:ascii="Calibri" w:hAnsi="Calibri"/>
          <w:i/>
          <w:color w:val="1F2937"/>
          <w:sz w:val="20"/>
        </w:rPr>
        <w:t>Strengths:</w:t>
      </w:r>
      <w:r>
        <w:rPr>
          <w:rFonts w:ascii="Calibri" w:hAnsi="Calibri"/>
          <w:color w:val="1F2937"/>
          <w:sz w:val="20"/>
        </w:rPr>
        <w:t xml:space="preserve"> High diagnostic accuracy on foliar diseases using proprietary deep convolutional networks.</w:t>
      </w:r>
    </w:p>
    <w:p>
      <w:pPr>
        <w:pStyle w:val="ListBullet"/>
        <w:spacing w:after="40"/>
      </w:pPr>
      <w:r>
        <w:rPr>
          <w:rFonts w:ascii="Calibri" w:hAnsi="Calibri"/>
          <w:i/>
          <w:color w:val="1F2937"/>
          <w:sz w:val="20"/>
        </w:rPr>
        <w:t>Architectural Limitations:</w:t>
      </w:r>
      <w:r>
        <w:rPr>
          <w:rFonts w:ascii="Calibri" w:hAnsi="Calibri"/>
          <w:color w:val="1F2937"/>
          <w:sz w:val="20"/>
        </w:rPr>
        <w:t xml:space="preserve"> Closed-source proprietary ecosystem that functions as a single-purpose diagnostic tool. It completely lacks soil nutrient matching, climate yield risk modeling, and APMC mandi price forecasting.</w:t>
      </w:r>
    </w:p>
    <w:p>
      <w:pPr>
        <w:spacing w:after="50"/>
        <w:ind w:left="504" w:hanging="504"/>
      </w:pPr>
      <w:r>
        <w:rPr>
          <w:rFonts w:ascii="Calibri" w:hAnsi="Calibri"/>
          <w:b/>
          <w:color w:val="0D5C3A"/>
        </w:rPr>
        <w:t xml:space="preserve">3. </w:t>
      </w:r>
      <w:r>
        <w:rPr>
          <w:rFonts w:ascii="Calibri" w:hAnsi="Calibri"/>
          <w:b/>
          <w:color w:val="1F2937"/>
          <w:sz w:val="20"/>
        </w:rPr>
        <w:t>e-NAM and Agmarknet Portals:</w:t>
      </w:r>
    </w:p>
    <w:p>
      <w:pPr>
        <w:pStyle w:val="ListBullet"/>
        <w:spacing w:after="40"/>
      </w:pPr>
      <w:r>
        <w:rPr>
          <w:rFonts w:ascii="Calibri" w:hAnsi="Calibri"/>
          <w:i/>
          <w:color w:val="1F2937"/>
          <w:sz w:val="20"/>
        </w:rPr>
        <w:t>Strengths:</w:t>
      </w:r>
      <w:r>
        <w:rPr>
          <w:rFonts w:ascii="Calibri" w:hAnsi="Calibri"/>
          <w:color w:val="1F2937"/>
          <w:sz w:val="20"/>
        </w:rPr>
        <w:t xml:space="preserve"> Authentic daily transaction records and arrivals from registered APMC mandis across India.</w:t>
      </w:r>
    </w:p>
    <w:p>
      <w:pPr>
        <w:pStyle w:val="ListBullet"/>
        <w:spacing w:after="40"/>
      </w:pPr>
      <w:r>
        <w:rPr>
          <w:rFonts w:ascii="Calibri" w:hAnsi="Calibri"/>
          <w:i/>
          <w:color w:val="1F2937"/>
          <w:sz w:val="20"/>
        </w:rPr>
        <w:t>Architectural Limitations:</w:t>
      </w:r>
      <w:r>
        <w:rPr>
          <w:rFonts w:ascii="Calibri" w:hAnsi="Calibri"/>
          <w:color w:val="1F2937"/>
          <w:sz w:val="20"/>
        </w:rPr>
        <w:t xml:space="preserve"> Strictly retrospective and tabular. Farmers cannot view predictive price forecasts to plan harvest timings, and the portal interfaces present steep friction on mobile devices.</w:t>
      </w:r>
    </w:p>
    <w:p>
      <w:pPr>
        <w:spacing w:after="50"/>
        <w:ind w:left="504" w:hanging="504"/>
      </w:pPr>
      <w:r>
        <w:rPr>
          <w:rFonts w:ascii="Calibri" w:hAnsi="Calibri"/>
          <w:b/>
          <w:color w:val="0D5C3A"/>
        </w:rPr>
        <w:t xml:space="preserve">4. </w:t>
      </w:r>
      <w:r>
        <w:rPr>
          <w:rFonts w:ascii="Calibri" w:hAnsi="Calibri"/>
          <w:b/>
          <w:color w:val="1F2937"/>
          <w:sz w:val="20"/>
        </w:rPr>
        <w:t>Academic Baselines and Open-Source Notebooks:</w:t>
      </w:r>
    </w:p>
    <w:p>
      <w:pPr>
        <w:pStyle w:val="ListBullet"/>
        <w:spacing w:after="40"/>
      </w:pPr>
      <w:r>
        <w:rPr>
          <w:rFonts w:ascii="Calibri" w:hAnsi="Calibri"/>
          <w:i/>
          <w:color w:val="1F2937"/>
          <w:sz w:val="20"/>
        </w:rPr>
        <w:t>Strengths:</w:t>
      </w:r>
      <w:r>
        <w:rPr>
          <w:rFonts w:ascii="Calibri" w:hAnsi="Calibri"/>
          <w:color w:val="1F2937"/>
          <w:sz w:val="20"/>
        </w:rPr>
        <w:t xml:space="preserve"> Readily available reference implementations for standard tabular datasets.</w:t>
      </w:r>
    </w:p>
    <w:p>
      <w:pPr>
        <w:pStyle w:val="ListBullet"/>
        <w:spacing w:after="40"/>
      </w:pPr>
      <w:r>
        <w:rPr>
          <w:rFonts w:ascii="Calibri" w:hAnsi="Calibri"/>
          <w:i/>
          <w:color w:val="1F2937"/>
          <w:sz w:val="20"/>
        </w:rPr>
        <w:t>Architectural Limitations:</w:t>
      </w:r>
      <w:r>
        <w:rPr>
          <w:rFonts w:ascii="Calibri" w:hAnsi="Calibri"/>
          <w:color w:val="1F2937"/>
          <w:sz w:val="20"/>
        </w:rPr>
        <w:t xml:space="preserve"> The overwhelming majority of published research relies on random train-test splitting on time-series meteorological data. This introduces severe </w:t>
      </w:r>
      <w:r>
        <w:rPr>
          <w:rFonts w:ascii="Calibri" w:hAnsi="Calibri"/>
          <w:b/>
          <w:color w:val="1F2937"/>
          <w:sz w:val="20"/>
        </w:rPr>
        <w:t>temporal data leakage</w:t>
      </w:r>
      <w:r>
        <w:rPr>
          <w:rFonts w:ascii="Calibri" w:hAnsi="Calibri"/>
          <w:color w:val="1F2937"/>
          <w:sz w:val="20"/>
        </w:rPr>
        <w:t>, artificially inflating test scores while failing catastrophically on future seasons. Furthermore, these models rarely bridge the gap from experimental scripts to production REST APIs.</w:t>
      </w:r>
    </w:p>
    <w:p>
      <w:pPr>
        <w:pStyle w:val="Heading3"/>
        <w:spacing w:before="180" w:after="40"/>
      </w:pPr>
      <w:r>
        <w:rPr>
          <w:rFonts w:ascii="Calibri" w:hAnsi="Calibri"/>
          <w:b/>
          <w:color w:val="0F172A"/>
          <w:sz w:val="23"/>
        </w:rPr>
        <w:t>2.2 System Comparison Matrix</w:t>
      </w:r>
    </w:p>
    <w:tbl>
      <w:tblPr>
        <w:tblW w:type="auto" w:w="0"/>
        <w:jc w:val="center"/>
        <w:tblLayout w:type="autofit"/>
        <w:tblLook w:firstColumn="1" w:firstRow="1" w:lastColumn="0" w:lastRow="0" w:noHBand="0" w:noVBand="1" w:val="04A0"/>
      </w:tblPr>
      <w:tblGrid>
        <w:gridCol w:w="1608"/>
        <w:gridCol w:w="1608"/>
        <w:gridCol w:w="1608"/>
        <w:gridCol w:w="1608"/>
        <w:gridCol w:w="1608"/>
        <w:gridCol w:w="1608"/>
      </w:tblGrid>
      <w:tr>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Evaluation Dimension</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Kisan Call Center (KCC)</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Plantix App</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e-NAM / Agmarknet</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Academic Baselines</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SAGRI (Milestone 1 &amp; 2 Prototype)</w:t>
            </w:r>
          </w:p>
        </w:tc>
      </w:tr>
      <w:tr>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Soil NPK Crop Matching</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Manual operator advice</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Not Supported</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Not Supported</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Offline scripts</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Supported (Top-3 Probabilities)</w:t>
            </w:r>
          </w:p>
        </w:tc>
      </w:tr>
      <w:tr>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Computer Vision Pathology</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Not Supported</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Proprietary Cloud</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Not Supported</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High-VRAM GPUs</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Supported (112 ms CPU ONNX)</w:t>
            </w:r>
          </w:p>
        </w:tc>
      </w:tr>
      <w:tr>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Yield Risk Forecasting</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Qualitative warning</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Not Supported</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Not Supported</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Random-split leak</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i/>
                <w:color w:val="1F2937"/>
                <w:sz w:val="18"/>
              </w:rPr>
              <w:t>Architected for Milestone 3</w:t>
            </w:r>
          </w:p>
        </w:tc>
      </w:tr>
      <w:tr>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Price Trend Prediction</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Not Supported</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Not Supported</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Historical logs only</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ARIMA / Basic</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i/>
                <w:color w:val="1F2937"/>
                <w:sz w:val="18"/>
              </w:rPr>
              <w:t>Architected for Milestone 3</w:t>
            </w:r>
          </w:p>
        </w:tc>
      </w:tr>
      <w:tr>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Deployment Architecture</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Telephony / SMS</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Native Android App</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Legacy Web Portal</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Jupyter Notebook</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Full-Stack (FastAPI + React Prototype)</w:t>
            </w:r>
          </w:p>
        </w:tc>
      </w:tr>
      <w:tr>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Software Cost &amp; Licensing</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Free (Govt.)</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Freemium / Paid</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Free (Govt.)</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Open Notebook</w:t>
            </w:r>
          </w:p>
        </w:tc>
        <w:tc>
          <w:tcPr>
            <w:tcW w:type="dxa" w:w="160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100% Open-Source &amp; Free</w:t>
            </w:r>
          </w:p>
        </w:tc>
      </w:tr>
    </w:tbl>
    <w:p/>
    <w:p>
      <w:pPr>
        <w:pStyle w:val="Heading3"/>
        <w:spacing w:before="180" w:after="40"/>
      </w:pPr>
      <w:r>
        <w:rPr>
          <w:rFonts w:ascii="Calibri" w:hAnsi="Calibri"/>
          <w:b/>
          <w:color w:val="0F172A"/>
          <w:sz w:val="23"/>
        </w:rPr>
        <w:t>2.3 Key Contributions Delivered in Milestone 1 &amp; 2</w:t>
      </w:r>
    </w:p>
    <w:p>
      <w:pPr>
        <w:pStyle w:val="ListBullet"/>
        <w:spacing w:after="40"/>
      </w:pPr>
      <w:r>
        <w:rPr>
          <w:rFonts w:ascii="Calibri" w:hAnsi="Calibri"/>
          <w:b/>
          <w:color w:val="1F2937"/>
          <w:sz w:val="20"/>
        </w:rPr>
        <w:t>Soil-Calibrated Top-3 Crop Suitability:</w:t>
      </w:r>
      <w:r>
        <w:rPr>
          <w:rFonts w:ascii="Calibri" w:hAnsi="Calibri"/>
          <w:color w:val="1F2937"/>
          <w:sz w:val="20"/>
        </w:rPr>
        <w:t xml:space="preserve"> Developed a 100-tree Random Forest model providing ranked probability recommendations across 22 crop classes.</w:t>
      </w:r>
    </w:p>
    <w:p>
      <w:pPr>
        <w:pStyle w:val="ListBullet"/>
        <w:spacing w:after="40"/>
      </w:pPr>
      <w:r>
        <w:rPr>
          <w:rFonts w:ascii="Calibri" w:hAnsi="Calibri"/>
          <w:b/>
          <w:color w:val="1F2937"/>
          <w:sz w:val="20"/>
        </w:rPr>
        <w:t>Edge-Optimized CPU Leaf Diagnosis:</w:t>
      </w:r>
      <w:r>
        <w:rPr>
          <w:rFonts w:ascii="Calibri" w:hAnsi="Calibri"/>
          <w:color w:val="1F2937"/>
          <w:sz w:val="20"/>
        </w:rPr>
        <w:t xml:space="preserve"> Implemented MobileNetV2 with ONNX Runtime, achieving 112 ms inference on standard CPU hardware without GPU server dependencies.</w:t>
      </w:r>
    </w:p>
    <w:p>
      <w:pPr>
        <w:pStyle w:val="ListBullet"/>
        <w:spacing w:after="40"/>
      </w:pPr>
      <w:r>
        <w:rPr>
          <w:rFonts w:ascii="Calibri" w:hAnsi="Calibri"/>
          <w:b/>
          <w:color w:val="1F2937"/>
          <w:sz w:val="20"/>
        </w:rPr>
        <w:t>ICAR-Calibrated State Profiles:</w:t>
      </w:r>
      <w:r>
        <w:rPr>
          <w:rFonts w:ascii="Calibri" w:hAnsi="Calibri"/>
          <w:color w:val="1F2937"/>
          <w:sz w:val="20"/>
        </w:rPr>
        <w:t xml:space="preserve"> Integrated baseline soil fertility distributions across 34 Indian states to enable instant advisory generation even when lab soil tests are unavailable.</w:t>
      </w:r>
    </w:p>
    <w:p>
      <w:pPr>
        <w:pStyle w:val="ListBullet"/>
        <w:spacing w:after="40"/>
      </w:pPr>
      <w:r>
        <w:rPr>
          <w:rFonts w:ascii="Calibri" w:hAnsi="Calibri"/>
          <w:b/>
          <w:color w:val="1F2937"/>
          <w:sz w:val="20"/>
        </w:rPr>
        <w:t>Asynchronous REST Microservices:</w:t>
      </w:r>
      <w:r>
        <w:rPr>
          <w:rFonts w:ascii="Calibri" w:hAnsi="Calibri"/>
          <w:color w:val="1F2937"/>
          <w:sz w:val="20"/>
        </w:rPr>
        <w:t xml:space="preserve"> Built FastAPI endpoints ensuring sub-200ms end-to-end response times for client requests.</w:t>
      </w:r>
    </w:p>
    <w:p>
      <w:pPr>
        <w:spacing w:before="80" w:after="120"/>
      </w:pPr>
      <w:r>
        <w:rPr>
          <w:color w:val="CBD5E1"/>
        </w:rPr>
        <w:t>━━━━━━━━━━━━━━━━━━━━━━━━━━━━━━━━━━━━━━━━━━━━━━━━━━━━━━━━━━━━</w:t>
      </w:r>
    </w:p>
    <w:p>
      <w:pPr>
        <w:pStyle w:val="Heading2"/>
        <w:spacing w:before="260" w:after="60"/>
      </w:pPr>
      <w:r>
        <w:rPr>
          <w:rFonts w:ascii="Calibri" w:hAnsi="Calibri"/>
          <w:b/>
          <w:color w:val="1E3A8A"/>
          <w:sz w:val="28"/>
        </w:rPr>
        <w:t>3. Project Feasibility Analysis (Rubric Criterion 1 - 3 Marks)</w:t>
      </w:r>
    </w:p>
    <w:p>
      <w:r>
        <w:rPr>
          <w:rFonts w:ascii="Calibri" w:hAnsi="Calibri"/>
          <w:color w:val="1F2937"/>
          <w:sz w:val="21"/>
        </w:rPr>
        <w:t>Our team conducted a rigorous feasibility assessment across technical, economic, and operational dimensions before commencing full-stack implementation:</w:t>
      </w:r>
    </w:p>
    <w:p>
      <w:pPr>
        <w:pStyle w:val="Heading3"/>
        <w:spacing w:before="180" w:after="40"/>
      </w:pPr>
      <w:r>
        <w:rPr>
          <w:rFonts w:ascii="Calibri" w:hAnsi="Calibri"/>
          <w:b/>
          <w:color w:val="0F172A"/>
          <w:sz w:val="23"/>
        </w:rPr>
        <w:t>3.1 Technical Feasibility</w:t>
      </w:r>
    </w:p>
    <w:p>
      <w:pPr>
        <w:pStyle w:val="ListBullet"/>
        <w:spacing w:after="40"/>
      </w:pPr>
      <w:r>
        <w:rPr>
          <w:rFonts w:ascii="Calibri" w:hAnsi="Calibri"/>
          <w:b/>
          <w:color w:val="1F2937"/>
          <w:sz w:val="20"/>
        </w:rPr>
        <w:t>Maturity of Stack:</w:t>
      </w:r>
      <w:r>
        <w:rPr>
          <w:rFonts w:ascii="Calibri" w:hAnsi="Calibri"/>
          <w:color w:val="1F2937"/>
          <w:sz w:val="20"/>
        </w:rPr>
        <w:t xml:space="preserve"> Built on industry-standard, production-proven technologies: Python 3.11, Scikit-Learn 1.4+, ONNX Runtime 1.17+, FastAPI 0.110+, and React 18 with Vite 6.</w:t>
      </w:r>
    </w:p>
    <w:p>
      <w:pPr>
        <w:pStyle w:val="ListBullet"/>
        <w:spacing w:after="40"/>
      </w:pPr>
      <w:r>
        <w:rPr>
          <w:rFonts w:ascii="Calibri" w:hAnsi="Calibri"/>
          <w:b/>
          <w:color w:val="1F2937"/>
          <w:sz w:val="20"/>
        </w:rPr>
        <w:t>In-Memory Model Residency:</w:t>
      </w:r>
      <w:r>
        <w:rPr>
          <w:rFonts w:ascii="Calibri" w:hAnsi="Calibri"/>
          <w:color w:val="1F2937"/>
          <w:sz w:val="20"/>
        </w:rPr>
        <w:t xml:space="preserve"> All serialized models (</w:t>
      </w:r>
      <w:r>
        <w:rPr>
          <w:rFonts w:ascii="Consolas" w:hAnsi="Consolas"/>
          <w:color w:val="0F5132"/>
          <w:sz w:val="18"/>
        </w:rPr>
        <w:t>.pkl</w:t>
      </w:r>
      <w:r>
        <w:rPr>
          <w:rFonts w:ascii="Calibri" w:hAnsi="Calibri"/>
          <w:color w:val="1F2937"/>
          <w:sz w:val="20"/>
        </w:rPr>
        <w:t xml:space="preserve"> and </w:t>
      </w:r>
      <w:r>
        <w:rPr>
          <w:rFonts w:ascii="Consolas" w:hAnsi="Consolas"/>
          <w:color w:val="0F5132"/>
          <w:sz w:val="18"/>
        </w:rPr>
        <w:t>.onnx</w:t>
      </w:r>
      <w:r>
        <w:rPr>
          <w:rFonts w:ascii="Calibri" w:hAnsi="Calibri"/>
          <w:color w:val="1F2937"/>
          <w:sz w:val="20"/>
        </w:rPr>
        <w:t>) are loaded into RAM once during the FastAPI application startup event (</w:t>
      </w:r>
      <w:r>
        <w:rPr>
          <w:rFonts w:ascii="Consolas" w:hAnsi="Consolas"/>
          <w:color w:val="0F5132"/>
          <w:sz w:val="18"/>
        </w:rPr>
        <w:t>lifespan</w:t>
      </w:r>
      <w:r>
        <w:rPr>
          <w:rFonts w:ascii="Calibri" w:hAnsi="Calibri"/>
          <w:color w:val="1F2937"/>
          <w:sz w:val="20"/>
        </w:rPr>
        <w:t>), reducing per-request model loading overhead to under 2 ms.</w:t>
      </w:r>
    </w:p>
    <w:p>
      <w:pPr>
        <w:pStyle w:val="ListBullet"/>
        <w:spacing w:after="40"/>
      </w:pPr>
      <w:r>
        <w:rPr>
          <w:rFonts w:ascii="Calibri" w:hAnsi="Calibri"/>
          <w:b/>
          <w:color w:val="1F2937"/>
          <w:sz w:val="20"/>
        </w:rPr>
        <w:t>Low-Bandwidth Client Bundle:</w:t>
      </w:r>
      <w:r>
        <w:rPr>
          <w:rFonts w:ascii="Calibri" w:hAnsi="Calibri"/>
          <w:color w:val="1F2937"/>
          <w:sz w:val="20"/>
        </w:rPr>
        <w:t xml:space="preserve"> The frontend production build produces a highly compressed 430 KB gzip bundle, ensuring sub-second rendering over 3G/4G rural mobile connections.</w:t>
      </w:r>
    </w:p>
    <w:p>
      <w:pPr>
        <w:pStyle w:val="Heading3"/>
        <w:spacing w:before="180" w:after="40"/>
      </w:pPr>
      <w:r>
        <w:rPr>
          <w:rFonts w:ascii="Calibri" w:hAnsi="Calibri"/>
          <w:b/>
          <w:color w:val="0F172A"/>
          <w:sz w:val="23"/>
        </w:rPr>
        <w:t>3.2 Economic Feasibility</w:t>
      </w:r>
    </w:p>
    <w:p>
      <w:pPr>
        <w:pStyle w:val="ListBullet"/>
        <w:spacing w:after="40"/>
      </w:pPr>
      <w:r>
        <w:rPr>
          <w:rFonts w:ascii="Calibri" w:hAnsi="Calibri"/>
          <w:b/>
          <w:color w:val="1F2937"/>
          <w:sz w:val="20"/>
        </w:rPr>
        <w:t>Zero Software Licensing Cost:</w:t>
      </w:r>
      <w:r>
        <w:rPr>
          <w:rFonts w:ascii="Calibri" w:hAnsi="Calibri"/>
          <w:color w:val="1F2937"/>
          <w:sz w:val="20"/>
        </w:rPr>
        <w:t xml:space="preserve"> All underlying libraries, frameworks, runtime engines, and datasets are open-source and free for educational and non-commercial deployment.</w:t>
      </w:r>
    </w:p>
    <w:p>
      <w:pPr>
        <w:pStyle w:val="ListBullet"/>
        <w:spacing w:after="40"/>
      </w:pPr>
      <w:r>
        <w:rPr>
          <w:rFonts w:ascii="Calibri" w:hAnsi="Calibri"/>
          <w:b/>
          <w:color w:val="1F2937"/>
          <w:sz w:val="20"/>
        </w:rPr>
        <w:t>Hardware Agnostic Execution:</w:t>
      </w:r>
      <w:r>
        <w:rPr>
          <w:rFonts w:ascii="Calibri" w:hAnsi="Calibri"/>
          <w:color w:val="1F2937"/>
          <w:sz w:val="20"/>
        </w:rPr>
        <w:t xml:space="preserve"> Eliminating GPU dependencies via MobileNetV2 ONNX conversion allows the entire backend to execute on standard dual-core x86/ARM cloud tiers or local farm-level edge hardware.</w:t>
      </w:r>
    </w:p>
    <w:p>
      <w:pPr>
        <w:pStyle w:val="ListBullet"/>
        <w:spacing w:after="40"/>
      </w:pPr>
      <w:r>
        <w:rPr>
          <w:rFonts w:ascii="Calibri" w:hAnsi="Calibri"/>
          <w:b/>
          <w:color w:val="1F2937"/>
          <w:sz w:val="20"/>
        </w:rPr>
        <w:t>Total Operational Budget:</w:t>
      </w:r>
      <w:r>
        <w:rPr>
          <w:rFonts w:ascii="Calibri" w:hAnsi="Calibri"/>
          <w:color w:val="1F2937"/>
          <w:sz w:val="20"/>
        </w:rPr>
        <w:t xml:space="preserve"> ₹0 (Fully deployable within free-tier cloud architectures including Vercel and Supabase).</w:t>
      </w:r>
    </w:p>
    <w:p>
      <w:pPr>
        <w:pStyle w:val="Heading3"/>
        <w:spacing w:before="180" w:after="40"/>
      </w:pPr>
      <w:r>
        <w:rPr>
          <w:rFonts w:ascii="Calibri" w:hAnsi="Calibri"/>
          <w:b/>
          <w:color w:val="0F172A"/>
          <w:sz w:val="23"/>
        </w:rPr>
        <w:t>3.3 Operational Feasibility</w:t>
      </w:r>
    </w:p>
    <w:p>
      <w:pPr>
        <w:pStyle w:val="ListBullet"/>
        <w:spacing w:after="40"/>
      </w:pPr>
      <w:r>
        <w:rPr>
          <w:rFonts w:ascii="Calibri" w:hAnsi="Calibri"/>
          <w:b/>
          <w:color w:val="1F2937"/>
          <w:sz w:val="20"/>
        </w:rPr>
        <w:t>Low-Cognitive-Load UX:</w:t>
      </w:r>
      <w:r>
        <w:rPr>
          <w:rFonts w:ascii="Calibri" w:hAnsi="Calibri"/>
          <w:color w:val="1F2937"/>
          <w:sz w:val="20"/>
        </w:rPr>
        <w:t xml:space="preserve"> Interface utilizes clear semantic color tokens (emerald for optimal/safe, amber for moderate caution, rose for urgent disease/risk), dropdown menus with state-level auto-fill, and percentage confidence meters.</w:t>
      </w:r>
    </w:p>
    <w:p>
      <w:pPr>
        <w:pStyle w:val="ListBullet"/>
        <w:spacing w:after="40"/>
      </w:pPr>
      <w:r>
        <w:rPr>
          <w:rFonts w:ascii="Calibri" w:hAnsi="Calibri"/>
          <w:b/>
          <w:color w:val="1F2937"/>
          <w:sz w:val="20"/>
        </w:rPr>
        <w:t>Actionable Diagnostic Outputs:</w:t>
      </w:r>
      <w:r>
        <w:rPr>
          <w:rFonts w:ascii="Calibri" w:hAnsi="Calibri"/>
          <w:color w:val="1F2937"/>
          <w:sz w:val="20"/>
        </w:rPr>
        <w:t xml:space="preserve"> Leaf pathology scans return dual organic cultural remedies and chemical therapeutic dosages curated from ICAR/CIBRC agricultural guidelines.</w:t>
      </w:r>
    </w:p>
    <w:p>
      <w:pPr>
        <w:spacing w:before="80" w:after="120"/>
      </w:pPr>
      <w:r>
        <w:rPr>
          <w:color w:val="CBD5E1"/>
        </w:rPr>
        <w:t>━━━━━━━━━━━━━━━━━━━━━━━━━━━━━━━━━━━━━━━━━━━━━━━━━━━━━━━━━━━━</w:t>
      </w:r>
    </w:p>
    <w:p>
      <w:pPr>
        <w:pStyle w:val="Heading2"/>
        <w:spacing w:before="260" w:after="60"/>
      </w:pPr>
      <w:r>
        <w:rPr>
          <w:rFonts w:ascii="Calibri" w:hAnsi="Calibri"/>
          <w:b/>
          <w:color w:val="1E3A8A"/>
          <w:sz w:val="28"/>
        </w:rPr>
        <w:t>4. Objectives and Methodology (Rubric Criterion 2 - 3 Marks)</w:t>
      </w:r>
    </w:p>
    <w:p>
      <w:pPr>
        <w:pStyle w:val="Heading3"/>
        <w:spacing w:before="180" w:after="40"/>
      </w:pPr>
      <w:r>
        <w:rPr>
          <w:rFonts w:ascii="Calibri" w:hAnsi="Calibri"/>
          <w:b/>
          <w:color w:val="0F172A"/>
          <w:sz w:val="23"/>
        </w:rPr>
        <w:t>4.1 Measurable Engineering Targets for Current Evaluation (Milestone 2)</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Engineering Objective</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Quantitative Target (Milestone 2)</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Achieved Milestone Metric</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Current Evaluation Status</w:t>
            </w:r>
          </w:p>
        </w:tc>
      </w:tr>
      <w:tr>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Crop Suitability Classification</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 xml:space="preserve">Accuracy </w:t>
            </w:r>
            <w:r>
              <w:rPr>
                <w:rFonts w:ascii="Cambria Math" w:hAnsi="Cambria Math"/>
                <w:i/>
                <w:color w:val="1E3A8A"/>
                <w:sz w:val="18"/>
              </w:rPr>
              <w:t>≥ 98.0%</w:t>
            </w:r>
            <w:r>
              <w:rPr>
                <w:rFonts w:ascii="Calibri" w:hAnsi="Calibri"/>
                <w:color w:val="1F2937"/>
                <w:sz w:val="18"/>
              </w:rPr>
              <w:t xml:space="preserve"> across 22 crop classes</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99.3% Test Accuracy</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Validated in Milestone 2</w:t>
            </w:r>
          </w:p>
        </w:tc>
      </w:tr>
      <w:tr>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Plant Pathology Diagnosis</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 xml:space="preserve">Top-1 Accuracy </w:t>
            </w:r>
            <w:r>
              <w:rPr>
                <w:rFonts w:ascii="Cambria Math" w:hAnsi="Cambria Math"/>
                <w:i/>
                <w:color w:val="1E3A8A"/>
                <w:sz w:val="18"/>
              </w:rPr>
              <w:t>≥ 95.0%</w:t>
            </w:r>
            <w:r>
              <w:rPr>
                <w:rFonts w:ascii="Calibri" w:hAnsi="Calibri"/>
                <w:color w:val="1F2937"/>
                <w:sz w:val="18"/>
              </w:rPr>
              <w:t xml:space="preserve">, Latency </w:t>
            </w:r>
            <w:r>
              <w:rPr>
                <w:rFonts w:ascii="Cambria Math" w:hAnsi="Cambria Math"/>
                <w:i/>
                <w:color w:val="1E3A8A"/>
                <w:sz w:val="18"/>
              </w:rPr>
              <w:t>≤ 150 ms</w:t>
            </w:r>
            <w:r>
              <w:rPr>
                <w:rFonts w:ascii="Calibri" w:hAnsi="Calibri"/>
                <w:color w:val="1F2937"/>
                <w:sz w:val="18"/>
              </w:rPr>
              <w:t xml:space="preserve"> on CPU</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96.8% Accuracy, 112 ms Latency</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Validated in Milestone 2</w:t>
            </w:r>
          </w:p>
        </w:tc>
      </w:tr>
      <w:tr>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Core API Response Latency</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 xml:space="preserve">Server processing time </w:t>
            </w:r>
            <w:r>
              <w:rPr>
                <w:rFonts w:ascii="Cambria Math" w:hAnsi="Cambria Math"/>
                <w:i/>
                <w:color w:val="1E3A8A"/>
                <w:sz w:val="18"/>
              </w:rPr>
              <w:t>≤ 200 ms</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~42 ms (Crop) / ~112 ms (Disease)</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Validated in Milestone 2</w:t>
            </w:r>
          </w:p>
        </w:tc>
      </w:tr>
      <w:tr>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State Profile Auto-Fill</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Instant retrieval for 34 Indian states</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&lt; 5 ms cached response</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Validated in Milestone 2</w:t>
            </w:r>
          </w:p>
        </w:tc>
      </w:tr>
      <w:tr>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End-to-End Client Roundtrip</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 xml:space="preserve">Complete web request/render </w:t>
            </w:r>
            <w:r>
              <w:rPr>
                <w:rFonts w:ascii="Cambria Math" w:hAnsi="Cambria Math"/>
                <w:i/>
                <w:color w:val="1E3A8A"/>
                <w:sz w:val="18"/>
              </w:rPr>
              <w:t>≤ 500 ms</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180 ms – 250 ms Mean Latency</w:t>
            </w:r>
          </w:p>
        </w:tc>
        <w:tc>
          <w:tcPr>
            <w:tcW w:type="dxa" w:w="2412"/>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Validated in Milestone 2</w:t>
            </w:r>
          </w:p>
        </w:tc>
      </w:tr>
    </w:tbl>
    <w:p/>
    <w:p>
      <w:pPr>
        <w:pStyle w:val="Heading3"/>
        <w:spacing w:before="180" w:after="40"/>
      </w:pPr>
      <w:r>
        <w:rPr>
          <w:rFonts w:ascii="Calibri" w:hAnsi="Calibri"/>
          <w:b/>
          <w:color w:val="0F172A"/>
          <w:sz w:val="23"/>
        </w:rPr>
        <w:t>4.2 System Architecture Overview (Milestones 1 &amp; 2 Prototype)</w:t>
      </w:r>
    </w:p>
    <w:p>
      <w:pPr>
        <w:spacing w:before="80" w:after="120"/>
        <w:ind w:left="504" w:right="504"/>
      </w:pPr>
      <w:r>
        <w:rPr>
          <w:rFonts w:ascii="Consolas" w:hAnsi="Consolas"/>
          <w:color w:val="1E293B"/>
          <w:sz w:val="17"/>
        </w:rPr>
        <w:t>flowchart TD</w:t>
        <w:br/>
        <w:t xml:space="preserve">    subgraph ClientLayer["Frontend Client Layer (React 18 + Vite + Tailwind CSS)"]</w:t>
        <w:br/>
        <w:t xml:space="preserve">        UI_Crop["Crop Recommendation Advisory"]</w:t>
        <w:br/>
        <w:t xml:space="preserve">        UI_Disease["Leaf Pathology Diagnostic Scanner"]</w:t>
        <w:br/>
        <w:t xml:space="preserve">        UI_Dash["Farmer Advisory Overview Portal"]</w:t>
        <w:br/>
        <w:t xml:space="preserve">    end</w:t>
        <w:br/>
        <w:br/>
        <w:t xml:space="preserve">    subgraph APILayer["API Gateway (Python FastAPI Async Service)"]</w:t>
        <w:br/>
        <w:t xml:space="preserve">        Router["CORS &amp; REST Endpoints Router"]</w:t>
        <w:br/>
        <w:t xml:space="preserve">        PydanticValidator["Pydantic Data Contract Validation"]</w:t>
        <w:br/>
        <w:t xml:space="preserve">        ModelCache["In-Memory Model Residency Engine"]</w:t>
        <w:br/>
        <w:t xml:space="preserve">    end</w:t>
        <w:br/>
        <w:br/>
        <w:t xml:space="preserve">    subgraph M2Models["AI / ML Predictive Core (Milestone 2 Completed Scope)"]</w:t>
        <w:br/>
        <w:t xml:space="preserve">        M1["Crop Recommendation&lt;br/&gt;(Random Forest Ensemble - 100 Trees)"]</w:t>
        <w:br/>
        <w:t xml:space="preserve">        M2["Pathology Diagnosis&lt;br/&gt;(MobileNetV2 ONNX Runtime)"]</w:t>
        <w:br/>
        <w:t xml:space="preserve">    end</w:t>
        <w:br/>
        <w:br/>
        <w:t xml:space="preserve">    subgraph M3Scope["Scheduled for Milestone 3 Final Evaluation"]</w:t>
        <w:br/>
        <w:t xml:space="preserve">        M3["Crop Failure Risk Radar&lt;br/&gt;(Regularized XGBoost Engine)"]</w:t>
        <w:br/>
        <w:t xml:space="preserve">        M4["Mandi Price Forecaster&lt;br/&gt;(Random Forest Regressor + WPI)"]</w:t>
        <w:br/>
        <w:t xml:space="preserve">        M5["Full Ecosystem Modules&lt;br/&gt;(Weather, Soil Health, Market)"]</w:t>
        <w:br/>
        <w:t xml:space="preserve">    end</w:t>
        <w:br/>
        <w:br/>
        <w:t xml:space="preserve">    subgraph DataLayer["Agronomic Knowledge Base &amp; Datasets"]</w:t>
        <w:br/>
        <w:t xml:space="preserve">        D1["ICAR Soil Fertility Norms (2,200 Rows)"]</w:t>
        <w:br/>
        <w:t xml:space="preserve">        D2["PlantVillage (54,303 Images, 38 Classes)"]</w:t>
        <w:br/>
        <w:t xml:space="preserve">        D3["CIBRC / ICAR Pathological Remedies DB"]</w:t>
        <w:br/>
        <w:t xml:space="preserve">    end</w:t>
        <w:br/>
        <w:br/>
        <w:t xml:space="preserve">    UI_Crop --&gt;|JSON: Soil NPK, pH, Climate| Router</w:t>
        <w:br/>
        <w:t xml:space="preserve">    UI_Disease --&gt;|Base64 Foliar Image| Router</w:t>
        <w:br/>
        <w:t xml:space="preserve">    UI_Dash --&gt; Router</w:t>
        <w:br/>
        <w:br/>
        <w:t xml:space="preserve">    Router --&gt; PydanticValidator</w:t>
        <w:br/>
        <w:t xml:space="preserve">    PydanticValidator --&gt; ModelCache</w:t>
        <w:br/>
        <w:t xml:space="preserve">    ModelCache --&gt; M1</w:t>
        <w:br/>
        <w:t xml:space="preserve">    ModelCache --&gt; M2</w:t>
        <w:br/>
        <w:br/>
        <w:t xml:space="preserve">    M1 -.-&gt; D1</w:t>
        <w:br/>
        <w:t xml:space="preserve">    M2 -.-&gt; D2</w:t>
        <w:br/>
        <w:t xml:space="preserve">    M2 -.-&gt; D3</w:t>
      </w:r>
    </w:p>
    <w:p>
      <w:pPr>
        <w:spacing w:before="80" w:after="120"/>
      </w:pPr>
      <w:r>
        <w:rPr>
          <w:color w:val="CBD5E1"/>
        </w:rPr>
        <w:t>━━━━━━━━━━━━━━━━━━━━━━━━━━━━━━━━━━━━━━━━━━━━━━━━━━━━━━━━━━━━</w:t>
      </w:r>
    </w:p>
    <w:p>
      <w:pPr>
        <w:pStyle w:val="Heading2"/>
        <w:spacing w:before="260" w:after="60"/>
      </w:pPr>
      <w:r>
        <w:rPr>
          <w:rFonts w:ascii="Calibri" w:hAnsi="Calibri"/>
          <w:b/>
          <w:color w:val="1E3A8A"/>
          <w:sz w:val="28"/>
        </w:rPr>
        <w:t>5. Machine Learning Algorithms &amp; Technical Formulations (Rubric Criterion 3 - 3 Marks)</w:t>
      </w:r>
    </w:p>
    <w:p>
      <w:pPr>
        <w:pStyle w:val="Heading3"/>
        <w:spacing w:before="180" w:after="40"/>
      </w:pPr>
      <w:r>
        <w:rPr>
          <w:rFonts w:ascii="Calibri" w:hAnsi="Calibri"/>
          <w:b/>
          <w:color w:val="0F172A"/>
          <w:sz w:val="23"/>
        </w:rPr>
        <w:t>5.1 Model 1: Crop Recommendation Ensemble (Milestone 2 Completed)</w:t>
      </w:r>
    </w:p>
    <w:p>
      <w:pPr>
        <w:pStyle w:val="Heading4"/>
        <w:spacing w:before="140" w:after="20"/>
      </w:pPr>
      <w:r>
        <w:rPr>
          <w:rFonts w:ascii="Calibri" w:hAnsi="Calibri"/>
          <w:b/>
          <w:color w:val="475569"/>
          <w:sz w:val="21"/>
        </w:rPr>
        <w:t>Mathematical Formulation &amp; Splitting Criterion</w:t>
      </w:r>
    </w:p>
    <w:p>
      <w:r>
        <w:rPr>
          <w:rFonts w:ascii="Calibri" w:hAnsi="Calibri"/>
          <w:color w:val="1F2937"/>
          <w:sz w:val="21"/>
        </w:rPr>
        <w:t xml:space="preserve">The Crop Recommendation module utilizes an ensemble of </w:t>
      </w:r>
      <w:r>
        <w:rPr>
          <w:rFonts w:ascii="Cambria Math" w:hAnsi="Cambria Math"/>
          <w:i/>
          <w:color w:val="1E3A8A"/>
          <w:sz w:val="21"/>
        </w:rPr>
        <w:t>B = 100</w:t>
      </w:r>
      <w:r>
        <w:rPr>
          <w:rFonts w:ascii="Calibri" w:hAnsi="Calibri"/>
          <w:color w:val="1F2937"/>
          <w:sz w:val="21"/>
        </w:rPr>
        <w:t xml:space="preserve"> decorrelated decision trees </w:t>
      </w:r>
      <w:r>
        <w:rPr>
          <w:rFonts w:ascii="Cambria Math" w:hAnsi="Cambria Math"/>
          <w:i/>
          <w:color w:val="1E3A8A"/>
          <w:sz w:val="21"/>
        </w:rPr>
        <w:t>T_b_b=1^B</w:t>
      </w:r>
      <w:r>
        <w:rPr>
          <w:rFonts w:ascii="Calibri" w:hAnsi="Calibri"/>
          <w:color w:val="1F2937"/>
          <w:sz w:val="21"/>
        </w:rPr>
        <w:t xml:space="preserve">. At each internal split node of every tree, a random subset of </w:t>
      </w:r>
      <w:r>
        <w:rPr>
          <w:rFonts w:ascii="Cambria Math" w:hAnsi="Cambria Math"/>
          <w:i/>
          <w:color w:val="1E3A8A"/>
          <w:sz w:val="21"/>
        </w:rPr>
        <w:t>m ≈ sqrtp = sqrt7 ≈ 3</w:t>
      </w:r>
      <w:r>
        <w:rPr>
          <w:rFonts w:ascii="Calibri" w:hAnsi="Calibri"/>
          <w:color w:val="1F2937"/>
          <w:sz w:val="21"/>
        </w:rPr>
        <w:t xml:space="preserve"> features is evaluated to identify the split threshold that maximizes the reduction in </w:t>
      </w:r>
      <w:r>
        <w:rPr>
          <w:rFonts w:ascii="Calibri" w:hAnsi="Calibri"/>
          <w:b/>
          <w:color w:val="1F2937"/>
          <w:sz w:val="21"/>
        </w:rPr>
        <w:t>Gini Impurity</w:t>
      </w:r>
      <w:r>
        <w:rPr>
          <w:rFonts w:ascii="Calibri" w:hAnsi="Calibri"/>
          <w:color w:val="1F2937"/>
          <w:sz w:val="21"/>
        </w:rPr>
        <w:t>:</w:t>
      </w:r>
    </w:p>
    <w:p>
      <w:r>
        <w:rPr>
          <w:rFonts w:ascii="Cambria Math" w:hAnsi="Cambria Math"/>
          <w:i/>
          <w:color w:val="1E3A8A"/>
          <w:sz w:val="21"/>
        </w:rPr>
      </w:r>
      <w:r>
        <w:rPr>
          <w:rFonts w:ascii="Calibri" w:hAnsi="Calibri"/>
          <w:color w:val="1F2937"/>
          <w:sz w:val="21"/>
        </w:rPr>
        <w:t>\text{Gini}(D) = 1 - \sum_{i=1}^{C} p_i^2</w:t>
      </w:r>
      <w:r>
        <w:rPr>
          <w:rFonts w:ascii="Cambria Math" w:hAnsi="Cambria Math"/>
          <w:i/>
          <w:color w:val="1E3A8A"/>
          <w:sz w:val="21"/>
        </w:rPr>
      </w:r>
    </w:p>
    <w:p>
      <w:r>
        <w:rPr>
          <w:rFonts w:ascii="Calibri" w:hAnsi="Calibri"/>
          <w:color w:val="1F2937"/>
          <w:sz w:val="21"/>
        </w:rPr>
        <w:t xml:space="preserve">where </w:t>
      </w:r>
      <w:r>
        <w:rPr>
          <w:rFonts w:ascii="Cambria Math" w:hAnsi="Cambria Math"/>
          <w:i/>
          <w:color w:val="1E3A8A"/>
          <w:sz w:val="21"/>
        </w:rPr>
        <w:t>p_i</w:t>
      </w:r>
      <w:r>
        <w:rPr>
          <w:rFonts w:ascii="Calibri" w:hAnsi="Calibri"/>
          <w:color w:val="1F2937"/>
          <w:sz w:val="21"/>
        </w:rPr>
        <w:t xml:space="preserve"> denotes the relative class probability of crop class </w:t>
      </w:r>
      <w:r>
        <w:rPr>
          <w:rFonts w:ascii="Cambria Math" w:hAnsi="Cambria Math"/>
          <w:i/>
          <w:color w:val="1E3A8A"/>
          <w:sz w:val="21"/>
        </w:rPr>
        <w:t>i in 1, 2, dots, 22</w:t>
      </w:r>
      <w:r>
        <w:rPr>
          <w:rFonts w:ascii="Calibri" w:hAnsi="Calibri"/>
          <w:color w:val="1F2937"/>
          <w:sz w:val="21"/>
        </w:rPr>
        <w:t xml:space="preserve"> within node partition </w:t>
      </w:r>
      <w:r>
        <w:rPr>
          <w:rFonts w:ascii="Cambria Math" w:hAnsi="Cambria Math"/>
          <w:i/>
          <w:color w:val="1E3A8A"/>
          <w:sz w:val="21"/>
        </w:rPr>
        <w:t>D</w:t>
      </w:r>
      <w:r>
        <w:rPr>
          <w:rFonts w:ascii="Calibri" w:hAnsi="Calibri"/>
          <w:color w:val="1F2937"/>
          <w:sz w:val="21"/>
        </w:rPr>
        <w:t>. The chosen split maximizes the Gini Information Gain:</w:t>
      </w:r>
    </w:p>
    <w:p>
      <w:r>
        <w:rPr>
          <w:rFonts w:ascii="Cambria Math" w:hAnsi="Cambria Math"/>
          <w:i/>
          <w:color w:val="1E3A8A"/>
          <w:sz w:val="21"/>
        </w:rPr>
      </w:r>
      <w:r>
        <w:rPr>
          <w:rFonts w:ascii="Calibri" w:hAnsi="Calibri"/>
          <w:color w:val="1F2937"/>
          <w:sz w:val="21"/>
        </w:rPr>
        <w:t>\Delta \text{Gini} = \text{Gini}(D) - \left( \frac{|D_L|}{|D|} \text{Gini}(D_L) + \frac{|D_R|}{|D|} \text{Gini}(D_R) \right)</w:t>
      </w:r>
      <w:r>
        <w:rPr>
          <w:rFonts w:ascii="Cambria Math" w:hAnsi="Cambria Math"/>
          <w:i/>
          <w:color w:val="1E3A8A"/>
          <w:sz w:val="21"/>
        </w:rPr>
      </w:r>
    </w:p>
    <w:p>
      <w:pPr>
        <w:pStyle w:val="Heading4"/>
        <w:spacing w:before="140" w:after="20"/>
      </w:pPr>
      <w:r>
        <w:rPr>
          <w:rFonts w:ascii="Calibri" w:hAnsi="Calibri"/>
          <w:b/>
          <w:color w:val="475569"/>
          <w:sz w:val="21"/>
        </w:rPr>
        <w:t>Architectural Justification &amp; Confidence Estimation</w:t>
      </w:r>
    </w:p>
    <w:p>
      <w:pPr>
        <w:pStyle w:val="ListBullet"/>
        <w:spacing w:after="40"/>
      </w:pPr>
      <w:r>
        <w:rPr>
          <w:rFonts w:ascii="Calibri" w:hAnsi="Calibri"/>
          <w:b/>
          <w:color w:val="1F2937"/>
          <w:sz w:val="20"/>
        </w:rPr>
        <w:t>Overfitting Mitigation:</w:t>
      </w:r>
      <w:r>
        <w:rPr>
          <w:rFonts w:ascii="Calibri" w:hAnsi="Calibri"/>
          <w:color w:val="1F2937"/>
          <w:sz w:val="20"/>
        </w:rPr>
        <w:t xml:space="preserve"> Individual decision trees exhibit high variance on non-linear soil data. Averaging across 100 randomized trees reduces variance without introducing systematic bias.</w:t>
      </w:r>
    </w:p>
    <w:p>
      <w:pPr>
        <w:pStyle w:val="ListBullet"/>
        <w:spacing w:after="40"/>
      </w:pPr>
      <w:r>
        <w:rPr>
          <w:rFonts w:ascii="Calibri" w:hAnsi="Calibri"/>
          <w:b/>
          <w:color w:val="1F2937"/>
          <w:sz w:val="20"/>
        </w:rPr>
        <w:t>Handling Invariant Physiological Thresholds:</w:t>
      </w:r>
      <w:r>
        <w:rPr>
          <w:rFonts w:ascii="Calibri" w:hAnsi="Calibri"/>
          <w:color w:val="1F2937"/>
          <w:sz w:val="20"/>
        </w:rPr>
        <w:t xml:space="preserve"> Tabular agricultural features have sharp physiological thresholds (e.g., paddy rice strictly requires annual rainfall exceeding 180 mm and pH between 5.5 and 7.0). Tree ensembles isolate orthogonal parameter boundaries natively without requiring artificial scaling or transformation.</w:t>
      </w:r>
    </w:p>
    <w:p>
      <w:pPr>
        <w:pStyle w:val="ListBullet"/>
        <w:spacing w:after="40"/>
      </w:pPr>
      <w:r>
        <w:rPr>
          <w:rFonts w:ascii="Calibri" w:hAnsi="Calibri"/>
          <w:b/>
          <w:color w:val="1F2937"/>
          <w:sz w:val="20"/>
        </w:rPr>
        <w:t>Top-3 Calibrated Probabilities:</w:t>
      </w:r>
      <w:r>
        <w:rPr>
          <w:rFonts w:ascii="Calibri" w:hAnsi="Calibri"/>
          <w:color w:val="1F2937"/>
          <w:sz w:val="20"/>
        </w:rPr>
        <w:t xml:space="preserve"> Rather than outputting a single hard class prediction, our implementation utilizes </w:t>
      </w:r>
      <w:r>
        <w:rPr>
          <w:rFonts w:ascii="Consolas" w:hAnsi="Consolas"/>
          <w:color w:val="0F5132"/>
          <w:sz w:val="18"/>
        </w:rPr>
        <w:t>.predict_proba()</w:t>
      </w:r>
      <w:r>
        <w:rPr>
          <w:rFonts w:ascii="Calibri" w:hAnsi="Calibri"/>
          <w:color w:val="1F2937"/>
          <w:sz w:val="20"/>
        </w:rPr>
        <w:t xml:space="preserve"> to compute the normalized vote fraction across all trees, presenting farmers with their primary, secondary, and tertiary crop options along with percentage viability.</w:t>
      </w:r>
    </w:p>
    <w:p>
      <w:pPr>
        <w:spacing w:before="80" w:after="120"/>
      </w:pPr>
      <w:r>
        <w:rPr>
          <w:color w:val="CBD5E1"/>
        </w:rPr>
        <w:t>━━━━━━━━━━━━━━━━━━━━━━━━━━━━━━━━━━━━━━━━━━━━━━━━━━━━━━━━━━━━</w:t>
      </w:r>
    </w:p>
    <w:p>
      <w:pPr>
        <w:pStyle w:val="Heading3"/>
        <w:spacing w:before="180" w:after="40"/>
      </w:pPr>
      <w:r>
        <w:rPr>
          <w:rFonts w:ascii="Calibri" w:hAnsi="Calibri"/>
          <w:b/>
          <w:color w:val="0F172A"/>
          <w:sz w:val="23"/>
        </w:rPr>
        <w:t>5.2 Model 2: Plant Pathology Diagnosis via MobileNetV2 ONNX (Milestone 2 Completed)</w:t>
      </w:r>
    </w:p>
    <w:p>
      <w:pPr>
        <w:pStyle w:val="Heading4"/>
        <w:spacing w:before="140" w:after="20"/>
      </w:pPr>
      <w:r>
        <w:rPr>
          <w:rFonts w:ascii="Calibri" w:hAnsi="Calibri"/>
          <w:b/>
          <w:color w:val="475569"/>
          <w:sz w:val="21"/>
        </w:rPr>
        <w:t>Mathematical Foundations: Depthwise Separable Convolutions</w:t>
      </w:r>
    </w:p>
    <w:p>
      <w:r>
        <w:rPr>
          <w:rFonts w:ascii="Calibri" w:hAnsi="Calibri"/>
          <w:color w:val="1F2937"/>
          <w:sz w:val="21"/>
        </w:rPr>
        <w:t>Standard convolution operations simultaneously filter spatial features and combine channel representations, incurring high computational cost:</w:t>
      </w:r>
    </w:p>
    <w:p>
      <w:r>
        <w:rPr>
          <w:rFonts w:ascii="Cambria Math" w:hAnsi="Cambria Math"/>
          <w:i/>
          <w:color w:val="1E3A8A"/>
          <w:sz w:val="21"/>
        </w:rPr>
      </w:r>
      <w:r>
        <w:rPr>
          <w:rFonts w:ascii="Calibri" w:hAnsi="Calibri"/>
          <w:color w:val="1F2937"/>
          <w:sz w:val="21"/>
        </w:rPr>
        <w:t>\text{Cost}_{\text{standard}} = D_K \cdot D_K \cdot M \cdot N \cdot D_F \cdot D_F</w:t>
      </w:r>
      <w:r>
        <w:rPr>
          <w:rFonts w:ascii="Cambria Math" w:hAnsi="Cambria Math"/>
          <w:i/>
          <w:color w:val="1E3A8A"/>
          <w:sz w:val="21"/>
        </w:rPr>
      </w:r>
    </w:p>
    <w:p>
      <w:r>
        <w:rPr>
          <w:rFonts w:ascii="Calibri" w:hAnsi="Calibri"/>
          <w:color w:val="1F2937"/>
          <w:sz w:val="21"/>
        </w:rPr>
        <w:t xml:space="preserve">where </w:t>
      </w:r>
      <w:r>
        <w:rPr>
          <w:rFonts w:ascii="Cambria Math" w:hAnsi="Cambria Math"/>
          <w:i/>
          <w:color w:val="1E3A8A"/>
          <w:sz w:val="21"/>
        </w:rPr>
        <w:t>D_K</w:t>
      </w:r>
      <w:r>
        <w:rPr>
          <w:rFonts w:ascii="Calibri" w:hAnsi="Calibri"/>
          <w:color w:val="1F2937"/>
          <w:sz w:val="21"/>
        </w:rPr>
        <w:t xml:space="preserve"> is the filter size (</w:t>
      </w:r>
      <w:r>
        <w:rPr>
          <w:rFonts w:ascii="Cambria Math" w:hAnsi="Cambria Math"/>
          <w:i/>
          <w:color w:val="1E3A8A"/>
          <w:sz w:val="21"/>
        </w:rPr>
        <w:t>3 × 3</w:t>
      </w:r>
      <w:r>
        <w:rPr>
          <w:rFonts w:ascii="Calibri" w:hAnsi="Calibri"/>
          <w:color w:val="1F2937"/>
          <w:sz w:val="21"/>
        </w:rPr>
        <w:t xml:space="preserve">), </w:t>
      </w:r>
      <w:r>
        <w:rPr>
          <w:rFonts w:ascii="Cambria Math" w:hAnsi="Cambria Math"/>
          <w:i/>
          <w:color w:val="1E3A8A"/>
          <w:sz w:val="21"/>
        </w:rPr>
        <w:t>M</w:t>
      </w:r>
      <w:r>
        <w:rPr>
          <w:rFonts w:ascii="Calibri" w:hAnsi="Calibri"/>
          <w:color w:val="1F2937"/>
          <w:sz w:val="21"/>
        </w:rPr>
        <w:t xml:space="preserve"> is the input channel depth, </w:t>
      </w:r>
      <w:r>
        <w:rPr>
          <w:rFonts w:ascii="Cambria Math" w:hAnsi="Cambria Math"/>
          <w:i/>
          <w:color w:val="1E3A8A"/>
          <w:sz w:val="21"/>
        </w:rPr>
        <w:t>N</w:t>
      </w:r>
      <w:r>
        <w:rPr>
          <w:rFonts w:ascii="Calibri" w:hAnsi="Calibri"/>
          <w:color w:val="1F2937"/>
          <w:sz w:val="21"/>
        </w:rPr>
        <w:t xml:space="preserve"> is the output channel count, and </w:t>
      </w:r>
      <w:r>
        <w:rPr>
          <w:rFonts w:ascii="Cambria Math" w:hAnsi="Cambria Math"/>
          <w:i/>
          <w:color w:val="1E3A8A"/>
          <w:sz w:val="21"/>
        </w:rPr>
        <w:t>D_F</w:t>
      </w:r>
      <w:r>
        <w:rPr>
          <w:rFonts w:ascii="Calibri" w:hAnsi="Calibri"/>
          <w:color w:val="1F2937"/>
          <w:sz w:val="21"/>
        </w:rPr>
        <w:t xml:space="preserve"> is the spatial feature map dimension.</w:t>
      </w:r>
    </w:p>
    <w:p>
      <w:r>
        <w:rPr>
          <w:rFonts w:ascii="Calibri" w:hAnsi="Calibri"/>
          <w:color w:val="1F2937"/>
          <w:sz w:val="21"/>
        </w:rPr>
        <w:t>MobileNetV2 factors this operation into two distinct, lightweight convolutions:</w:t>
      </w:r>
    </w:p>
    <w:p>
      <w:pPr>
        <w:spacing w:after="50"/>
        <w:ind w:left="504" w:hanging="504"/>
      </w:pPr>
      <w:r>
        <w:rPr>
          <w:rFonts w:ascii="Calibri" w:hAnsi="Calibri"/>
          <w:b/>
          <w:color w:val="0D5C3A"/>
        </w:rPr>
        <w:t xml:space="preserve">1. </w:t>
      </w:r>
      <w:r>
        <w:rPr>
          <w:rFonts w:ascii="Calibri" w:hAnsi="Calibri"/>
          <w:b/>
          <w:color w:val="1F2937"/>
          <w:sz w:val="20"/>
        </w:rPr>
        <w:t>Depthwise Convolution:</w:t>
      </w:r>
      <w:r>
        <w:rPr>
          <w:rFonts w:ascii="Calibri" w:hAnsi="Calibri"/>
          <w:color w:val="1F2937"/>
          <w:sz w:val="20"/>
        </w:rPr>
        <w:t xml:space="preserve"> Applies a single convolutional filter per input channel:</w:t>
      </w:r>
    </w:p>
    <w:p>
      <w:r>
        <w:rPr>
          <w:rFonts w:ascii="Cambria Math" w:hAnsi="Cambria Math"/>
          <w:i/>
          <w:color w:val="1E3A8A"/>
          <w:sz w:val="21"/>
        </w:rPr>
      </w:r>
      <w:r>
        <w:rPr>
          <w:rFonts w:ascii="Calibri" w:hAnsi="Calibri"/>
          <w:color w:val="1F2937"/>
          <w:sz w:val="21"/>
        </w:rPr>
        <w:t>\text{Cost}_{\text{depthwise}} = D_K \cdot D_K \cdot M \cdot D_F \cdot D_F</w:t>
      </w:r>
      <w:r>
        <w:rPr>
          <w:rFonts w:ascii="Cambria Math" w:hAnsi="Cambria Math"/>
          <w:i/>
          <w:color w:val="1E3A8A"/>
          <w:sz w:val="21"/>
        </w:rPr>
      </w:r>
    </w:p>
    <w:p>
      <w:pPr>
        <w:spacing w:after="50"/>
        <w:ind w:left="504" w:hanging="504"/>
      </w:pPr>
      <w:r>
        <w:rPr>
          <w:rFonts w:ascii="Calibri" w:hAnsi="Calibri"/>
          <w:b/>
          <w:color w:val="0D5C3A"/>
        </w:rPr>
        <w:t xml:space="preserve">2. </w:t>
      </w:r>
      <w:r>
        <w:rPr>
          <w:rFonts w:ascii="Calibri" w:hAnsi="Calibri"/>
          <w:b/>
          <w:color w:val="1F2937"/>
          <w:sz w:val="20"/>
        </w:rPr>
        <w:t>Pointwise Convolution:</w:t>
      </w:r>
      <w:r>
        <w:rPr>
          <w:rFonts w:ascii="Calibri" w:hAnsi="Calibri"/>
          <w:color w:val="1F2937"/>
          <w:sz w:val="20"/>
        </w:rPr>
        <w:t xml:space="preserve"> Applies a </w:t>
      </w:r>
      <w:r>
        <w:rPr>
          <w:rFonts w:ascii="Cambria Math" w:hAnsi="Cambria Math"/>
          <w:i/>
          <w:color w:val="1E3A8A"/>
          <w:sz w:val="20"/>
        </w:rPr>
        <w:t>1 × 1</w:t>
      </w:r>
      <w:r>
        <w:rPr>
          <w:rFonts w:ascii="Calibri" w:hAnsi="Calibri"/>
          <w:color w:val="1F2937"/>
          <w:sz w:val="20"/>
        </w:rPr>
        <w:t xml:space="preserve"> convolution across all channels to blend spatial features into new representations:</w:t>
      </w:r>
    </w:p>
    <w:p>
      <w:r>
        <w:rPr>
          <w:rFonts w:ascii="Cambria Math" w:hAnsi="Cambria Math"/>
          <w:i/>
          <w:color w:val="1E3A8A"/>
          <w:sz w:val="21"/>
        </w:rPr>
      </w:r>
      <w:r>
        <w:rPr>
          <w:rFonts w:ascii="Calibri" w:hAnsi="Calibri"/>
          <w:color w:val="1F2937"/>
          <w:sz w:val="21"/>
        </w:rPr>
        <w:t>\text{Cost}_{\text{pointwise}} = 1 \cdot 1 \cdot M \cdot N \cdot D_F \cdot D_F</w:t>
      </w:r>
      <w:r>
        <w:rPr>
          <w:rFonts w:ascii="Cambria Math" w:hAnsi="Cambria Math"/>
          <w:i/>
          <w:color w:val="1E3A8A"/>
          <w:sz w:val="21"/>
        </w:rPr>
      </w:r>
    </w:p>
    <w:p>
      <w:r>
        <w:rPr>
          <w:rFonts w:ascii="Calibri" w:hAnsi="Calibri"/>
          <w:color w:val="1F2937"/>
          <w:sz w:val="21"/>
        </w:rPr>
        <w:t>The total computational reduction ratio is given by:</w:t>
      </w:r>
    </w:p>
    <w:p>
      <w:r>
        <w:rPr>
          <w:rFonts w:ascii="Cambria Math" w:hAnsi="Cambria Math"/>
          <w:i/>
          <w:color w:val="1E3A8A"/>
          <w:sz w:val="21"/>
        </w:rPr>
      </w:r>
      <w:r>
        <w:rPr>
          <w:rFonts w:ascii="Calibri" w:hAnsi="Calibri"/>
          <w:color w:val="1F2937"/>
          <w:sz w:val="21"/>
        </w:rPr>
        <w:t>\text{Reduction Ratio} = \frac{D_K \cdot D_K \cdot M \cdot D_F \cdot D_F + M \cdot N \cdot D_F \cdot D_F}{D_K \cdot D_K \cdot M \cdot N \cdot D_F \cdot D_F} = \frac{1}{N} + \frac{1}{D_K^2} \approx \frac{1}{N} + \frac{1}{9}</w:t>
      </w:r>
      <w:r>
        <w:rPr>
          <w:rFonts w:ascii="Cambria Math" w:hAnsi="Cambria Math"/>
          <w:i/>
          <w:color w:val="1E3A8A"/>
          <w:sz w:val="21"/>
        </w:rPr>
      </w:r>
    </w:p>
    <w:p>
      <w:r>
        <w:rPr>
          <w:rFonts w:ascii="Calibri" w:hAnsi="Calibri"/>
          <w:color w:val="1F2937"/>
          <w:sz w:val="21"/>
        </w:rPr>
        <w:t xml:space="preserve">For </w:t>
      </w:r>
      <w:r>
        <w:rPr>
          <w:rFonts w:ascii="Cambria Math" w:hAnsi="Cambria Math"/>
          <w:i/>
          <w:color w:val="1E3A8A"/>
          <w:sz w:val="21"/>
        </w:rPr>
        <w:t>3 × 3</w:t>
      </w:r>
      <w:r>
        <w:rPr>
          <w:rFonts w:ascii="Calibri" w:hAnsi="Calibri"/>
          <w:color w:val="1F2937"/>
          <w:sz w:val="21"/>
        </w:rPr>
        <w:t xml:space="preserve"> filters, this architectural optimization reduces mathematical floating-point operations by approximately </w:t>
      </w:r>
      <w:r>
        <w:rPr>
          <w:rFonts w:ascii="Calibri" w:hAnsi="Calibri"/>
          <w:b/>
          <w:color w:val="1F2937"/>
          <w:sz w:val="21"/>
        </w:rPr>
        <w:t>88% to 90%</w:t>
      </w:r>
      <w:r>
        <w:rPr>
          <w:rFonts w:ascii="Calibri" w:hAnsi="Calibri"/>
          <w:color w:val="1F2937"/>
          <w:sz w:val="21"/>
        </w:rPr>
        <w:t xml:space="preserve"> compared to traditional architectures like ResNet-50, while preserving </w:t>
      </w:r>
      <w:r>
        <w:rPr>
          <w:rFonts w:ascii="Calibri" w:hAnsi="Calibri"/>
          <w:b/>
          <w:color w:val="1F2937"/>
          <w:sz w:val="21"/>
        </w:rPr>
        <w:t>96.8% diagnostic accuracy</w:t>
      </w:r>
      <w:r>
        <w:rPr>
          <w:rFonts w:ascii="Calibri" w:hAnsi="Calibri"/>
          <w:color w:val="1F2937"/>
          <w:sz w:val="21"/>
        </w:rPr>
        <w:t>.</w:t>
      </w:r>
    </w:p>
    <w:p>
      <w:pPr>
        <w:pStyle w:val="Heading4"/>
        <w:spacing w:before="140" w:after="20"/>
      </w:pPr>
      <w:r>
        <w:rPr>
          <w:rFonts w:ascii="Calibri" w:hAnsi="Calibri"/>
          <w:b/>
          <w:color w:val="475569"/>
          <w:sz w:val="21"/>
        </w:rPr>
        <w:t>ONNX Graph Serialization Justification</w:t>
      </w:r>
    </w:p>
    <w:p>
      <w:r>
        <w:rPr>
          <w:rFonts w:ascii="Calibri" w:hAnsi="Calibri"/>
          <w:color w:val="1F2937"/>
          <w:sz w:val="21"/>
        </w:rPr>
        <w:t xml:space="preserve">Deploying standard deep learning runtimes (such as full TensorFlow or PyTorch packages) incurs a memory footprint exceeding 500 MB and high initialization overhead. By exporting the model graph into the </w:t>
      </w:r>
      <w:r>
        <w:rPr>
          <w:rFonts w:ascii="Calibri" w:hAnsi="Calibri"/>
          <w:b/>
          <w:color w:val="1F2937"/>
          <w:sz w:val="21"/>
        </w:rPr>
        <w:t>Open Neural Network Exchange (ONNX)</w:t>
      </w:r>
      <w:r>
        <w:rPr>
          <w:rFonts w:ascii="Calibri" w:hAnsi="Calibri"/>
          <w:color w:val="1F2937"/>
          <w:sz w:val="21"/>
        </w:rPr>
        <w:t xml:space="preserve"> specification (</w:t>
      </w:r>
      <w:r>
        <w:rPr>
          <w:rFonts w:ascii="Consolas" w:hAnsi="Consolas"/>
          <w:color w:val="0F5132"/>
          <w:sz w:val="19"/>
        </w:rPr>
        <w:t>disease_model.onnx</w:t>
      </w:r>
      <w:r>
        <w:rPr>
          <w:rFonts w:ascii="Calibri" w:hAnsi="Calibri"/>
          <w:color w:val="1F2937"/>
          <w:sz w:val="21"/>
        </w:rPr>
        <w:t xml:space="preserve">), inference executes via </w:t>
      </w:r>
      <w:r>
        <w:rPr>
          <w:rFonts w:ascii="Consolas" w:hAnsi="Consolas"/>
          <w:color w:val="0F5132"/>
          <w:sz w:val="19"/>
        </w:rPr>
        <w:t>onnxruntime</w:t>
      </w:r>
      <w:r>
        <w:rPr>
          <w:rFonts w:ascii="Calibri" w:hAnsi="Calibri"/>
          <w:color w:val="1F2937"/>
          <w:sz w:val="21"/>
        </w:rPr>
        <w:t xml:space="preserve"> utilizing fused operator kernels and native C++ SIMD vectorization. This achieves a deterministic inference latency of </w:t>
      </w:r>
      <w:r>
        <w:rPr>
          <w:rFonts w:ascii="Calibri" w:hAnsi="Calibri"/>
          <w:b/>
          <w:color w:val="1F2937"/>
          <w:sz w:val="21"/>
        </w:rPr>
        <w:t>112 milliseconds on standard commodity CPU cores</w:t>
      </w:r>
      <w:r>
        <w:rPr>
          <w:rFonts w:ascii="Calibri" w:hAnsi="Calibri"/>
          <w:color w:val="1F2937"/>
          <w:sz w:val="21"/>
        </w:rPr>
        <w:t>.</w:t>
      </w:r>
    </w:p>
    <w:p>
      <w:pPr>
        <w:spacing w:before="80" w:after="120"/>
      </w:pPr>
      <w:r>
        <w:rPr>
          <w:color w:val="CBD5E1"/>
        </w:rPr>
        <w:t>━━━━━━━━━━━━━━━━━━━━━━━━━━━━━━━━━━━━━━━━━━━━━━━━━━━━━━━━━━━━</w:t>
      </w:r>
    </w:p>
    <w:p>
      <w:pPr>
        <w:pStyle w:val="Heading3"/>
        <w:spacing w:before="180" w:after="40"/>
      </w:pPr>
      <w:r>
        <w:rPr>
          <w:rFonts w:ascii="Calibri" w:hAnsi="Calibri"/>
          <w:b/>
          <w:color w:val="0F172A"/>
          <w:sz w:val="23"/>
        </w:rPr>
        <w:t>5.3 Mathematical Formulations for Milestone 3 Models (Architected &amp; In-Progress)</w:t>
      </w:r>
    </w:p>
    <w:p>
      <w:r>
        <w:rPr>
          <w:rFonts w:ascii="Calibri" w:hAnsi="Calibri"/>
          <w:color w:val="1F2937"/>
          <w:sz w:val="21"/>
        </w:rPr>
        <w:t>As part of our phased roadmap, our team has completed the theoretical formulation and initial training for the two macro-level models to be fully demonstrated in Milestone 3:</w:t>
      </w:r>
    </w:p>
    <w:p>
      <w:pPr>
        <w:spacing w:after="50"/>
        <w:ind w:left="504" w:hanging="504"/>
      </w:pPr>
      <w:r>
        <w:rPr>
          <w:rFonts w:ascii="Calibri" w:hAnsi="Calibri"/>
          <w:b/>
          <w:color w:val="0D5C3A"/>
        </w:rPr>
        <w:t xml:space="preserve">1. </w:t>
      </w:r>
      <w:r>
        <w:rPr>
          <w:rFonts w:ascii="Calibri" w:hAnsi="Calibri"/>
          <w:b/>
          <w:color w:val="1F2937"/>
          <w:sz w:val="20"/>
        </w:rPr>
        <w:t>Crop Failure Risk Radar (XGBoost Objective Formulation):</w:t>
      </w:r>
    </w:p>
    <w:p>
      <w:r>
        <w:rPr>
          <w:rFonts w:ascii="Calibri" w:hAnsi="Calibri"/>
          <w:color w:val="1F2937"/>
          <w:sz w:val="21"/>
        </w:rPr>
        <w:t>XGBoost minimizes a second-order regularized objective function:</w:t>
      </w:r>
    </w:p>
    <w:p>
      <w:r>
        <w:rPr>
          <w:rFonts w:ascii="Cambria Math" w:hAnsi="Cambria Math"/>
          <w:i/>
          <w:color w:val="1E3A8A"/>
          <w:sz w:val="21"/>
        </w:rPr>
      </w:r>
      <w:r>
        <w:rPr>
          <w:rFonts w:ascii="Calibri" w:hAnsi="Calibri"/>
          <w:color w:val="1F2937"/>
          <w:sz w:val="21"/>
        </w:rPr>
        <w:t>\tilde{\mathcal{L}}^{(t)} \approx \sum_{i=1}^n \left[ g_i f_t(x_i) + \frac{1}{2} h_i f_t^2(x_i) \right] + \gamma T + \frac{1}{2} \lambda \sum_{j=1}^T w_j^2</w:t>
      </w:r>
      <w:r>
        <w:rPr>
          <w:rFonts w:ascii="Cambria Math" w:hAnsi="Cambria Math"/>
          <w:i/>
          <w:color w:val="1E3A8A"/>
          <w:sz w:val="21"/>
        </w:rPr>
      </w:r>
    </w:p>
    <w:p>
      <w:r>
        <w:rPr>
          <w:rFonts w:ascii="Calibri" w:hAnsi="Calibri"/>
          <w:color w:val="1F2937"/>
          <w:sz w:val="21"/>
        </w:rPr>
        <w:t xml:space="preserve">where </w:t>
      </w:r>
      <w:r>
        <w:rPr>
          <w:rFonts w:ascii="Cambria Math" w:hAnsi="Cambria Math"/>
          <w:i/>
          <w:color w:val="1E3A8A"/>
          <w:sz w:val="21"/>
        </w:rPr>
        <w:t>g_i</w:t>
      </w:r>
      <w:r>
        <w:rPr>
          <w:rFonts w:ascii="Calibri" w:hAnsi="Calibri"/>
          <w:color w:val="1F2937"/>
          <w:sz w:val="21"/>
        </w:rPr>
        <w:t xml:space="preserve"> and </w:t>
      </w:r>
      <w:r>
        <w:rPr>
          <w:rFonts w:ascii="Cambria Math" w:hAnsi="Cambria Math"/>
          <w:i/>
          <w:color w:val="1E3A8A"/>
          <w:sz w:val="21"/>
        </w:rPr>
        <w:t>h_i</w:t>
      </w:r>
      <w:r>
        <w:rPr>
          <w:rFonts w:ascii="Calibri" w:hAnsi="Calibri"/>
          <w:color w:val="1F2937"/>
          <w:sz w:val="21"/>
        </w:rPr>
        <w:t xml:space="preserve"> represent the first and second-order gradients, </w:t>
      </w:r>
      <w:r>
        <w:rPr>
          <w:rFonts w:ascii="Cambria Math" w:hAnsi="Cambria Math"/>
          <w:i/>
          <w:color w:val="1E3A8A"/>
          <w:sz w:val="21"/>
        </w:rPr>
        <w:t>gamma</w:t>
      </w:r>
      <w:r>
        <w:rPr>
          <w:rFonts w:ascii="Calibri" w:hAnsi="Calibri"/>
          <w:color w:val="1F2937"/>
          <w:sz w:val="21"/>
        </w:rPr>
        <w:t xml:space="preserve"> penalizes tree leaf count </w:t>
      </w:r>
      <w:r>
        <w:rPr>
          <w:rFonts w:ascii="Cambria Math" w:hAnsi="Cambria Math"/>
          <w:i/>
          <w:color w:val="1E3A8A"/>
          <w:sz w:val="21"/>
        </w:rPr>
        <w:t>T</w:t>
      </w:r>
      <w:r>
        <w:rPr>
          <w:rFonts w:ascii="Calibri" w:hAnsi="Calibri"/>
          <w:color w:val="1F2937"/>
          <w:sz w:val="21"/>
        </w:rPr>
        <w:t xml:space="preserve">, and </w:t>
      </w:r>
      <w:r>
        <w:rPr>
          <w:rFonts w:ascii="Cambria Math" w:hAnsi="Cambria Math"/>
          <w:i/>
          <w:color w:val="1E3A8A"/>
          <w:sz w:val="21"/>
        </w:rPr>
        <w:t>lambda</w:t>
      </w:r>
      <w:r>
        <w:rPr>
          <w:rFonts w:ascii="Calibri" w:hAnsi="Calibri"/>
          <w:color w:val="1F2937"/>
          <w:sz w:val="21"/>
        </w:rPr>
        <w:t xml:space="preserve"> enforces </w:t>
      </w:r>
      <w:r>
        <w:rPr>
          <w:rFonts w:ascii="Cambria Math" w:hAnsi="Cambria Math"/>
          <w:i/>
          <w:color w:val="1E3A8A"/>
          <w:sz w:val="21"/>
        </w:rPr>
        <w:t>L_2</w:t>
      </w:r>
      <w:r>
        <w:rPr>
          <w:rFonts w:ascii="Calibri" w:hAnsi="Calibri"/>
          <w:color w:val="1F2937"/>
          <w:sz w:val="21"/>
        </w:rPr>
        <w:t xml:space="preserve"> regularization on leaf weights </w:t>
      </w:r>
      <w:r>
        <w:rPr>
          <w:rFonts w:ascii="Cambria Math" w:hAnsi="Cambria Math"/>
          <w:i/>
          <w:color w:val="1E3A8A"/>
          <w:sz w:val="21"/>
        </w:rPr>
        <w:t>w</w:t>
      </w:r>
      <w:r>
        <w:rPr>
          <w:rFonts w:ascii="Calibri" w:hAnsi="Calibri"/>
          <w:color w:val="1F2937"/>
          <w:sz w:val="21"/>
        </w:rPr>
        <w:t xml:space="preserve">. To eliminate temporal data leakage, our team established a strict chronological split (1960–2012 training vs 2013–2017 testing), achieving </w:t>
      </w:r>
      <w:r>
        <w:rPr>
          <w:rFonts w:ascii="Calibri" w:hAnsi="Calibri"/>
          <w:b/>
          <w:color w:val="1F2937"/>
          <w:sz w:val="21"/>
        </w:rPr>
        <w:t>0.892 ROC-AUC</w:t>
      </w:r>
      <w:r>
        <w:rPr>
          <w:rFonts w:ascii="Calibri" w:hAnsi="Calibri"/>
          <w:color w:val="1F2937"/>
          <w:sz w:val="21"/>
        </w:rPr>
        <w:t>.</w:t>
      </w:r>
    </w:p>
    <w:p>
      <w:pPr>
        <w:spacing w:after="50"/>
        <w:ind w:left="504" w:hanging="504"/>
      </w:pPr>
      <w:r>
        <w:rPr>
          <w:rFonts w:ascii="Calibri" w:hAnsi="Calibri"/>
          <w:b/>
          <w:color w:val="0D5C3A"/>
        </w:rPr>
        <w:t xml:space="preserve">2. </w:t>
      </w:r>
      <w:r>
        <w:rPr>
          <w:rFonts w:ascii="Calibri" w:hAnsi="Calibri"/>
          <w:b/>
          <w:color w:val="1F2937"/>
          <w:sz w:val="20"/>
        </w:rPr>
        <w:t>Mandi Price Forecaster (WPI Inflation Deflation Formulation):</w:t>
      </w:r>
    </w:p>
    <w:p>
      <w:r>
        <w:rPr>
          <w:rFonts w:ascii="Calibri" w:hAnsi="Calibri"/>
          <w:color w:val="1F2937"/>
          <w:sz w:val="21"/>
        </w:rPr>
        <w:t>To eliminate macroeconomic monetary distortion across past decades, historical mandi transaction prices are deflated using the Wholesale Price Index (WPI):</w:t>
      </w:r>
    </w:p>
    <w:p>
      <w:r>
        <w:rPr>
          <w:rFonts w:ascii="Cambria Math" w:hAnsi="Cambria Math"/>
          <w:i/>
          <w:color w:val="1E3A8A"/>
          <w:sz w:val="21"/>
        </w:rPr>
      </w:r>
      <w:r>
        <w:rPr>
          <w:rFonts w:ascii="Calibri" w:hAnsi="Calibri"/>
          <w:color w:val="1F2937"/>
          <w:sz w:val="21"/>
        </w:rPr>
        <w:t>\text{Real Price}_t = \frac{\text{Nominal Price}_t}{\text{WPI}_t} \times 100</w:t>
      </w:r>
      <w:r>
        <w:rPr>
          <w:rFonts w:ascii="Cambria Math" w:hAnsi="Cambria Math"/>
          <w:i/>
          <w:color w:val="1E3A8A"/>
          <w:sz w:val="21"/>
        </w:rPr>
      </w:r>
    </w:p>
    <w:p>
      <w:r>
        <w:rPr>
          <w:rFonts w:ascii="Calibri" w:hAnsi="Calibri"/>
          <w:color w:val="1F2937"/>
          <w:sz w:val="21"/>
        </w:rPr>
        <w:t xml:space="preserve">Predictive accuracy on unseen testing series yields a </w:t>
      </w:r>
      <w:r>
        <w:rPr>
          <w:rFonts w:ascii="Calibri" w:hAnsi="Calibri"/>
          <w:b/>
          <w:color w:val="1F2937"/>
          <w:sz w:val="21"/>
        </w:rPr>
        <w:t>Mean Absolute Percentage Error (MAPE) of 8.35%</w:t>
      </w:r>
      <w:r>
        <w:rPr>
          <w:rFonts w:ascii="Calibri" w:hAnsi="Calibri"/>
          <w:color w:val="1F2937"/>
          <w:sz w:val="21"/>
        </w:rPr>
        <w:t>:</w:t>
      </w:r>
    </w:p>
    <w:p>
      <w:r>
        <w:rPr>
          <w:rFonts w:ascii="Cambria Math" w:hAnsi="Cambria Math"/>
          <w:i/>
          <w:color w:val="1E3A8A"/>
          <w:sz w:val="21"/>
        </w:rPr>
      </w:r>
      <w:r>
        <w:rPr>
          <w:rFonts w:ascii="Calibri" w:hAnsi="Calibri"/>
          <w:color w:val="1F2937"/>
          <w:sz w:val="21"/>
        </w:rPr>
        <w:t>\text{MAPE} = \frac{100\%}{n} \sum_{t=1}^n \left| \frac{A_t - F_t}{A_t} \right|</w:t>
      </w:r>
      <w:r>
        <w:rPr>
          <w:rFonts w:ascii="Cambria Math" w:hAnsi="Cambria Math"/>
          <w:i/>
          <w:color w:val="1E3A8A"/>
          <w:sz w:val="21"/>
        </w:rPr>
      </w:r>
    </w:p>
    <w:p>
      <w:pPr>
        <w:spacing w:before="80" w:after="120"/>
      </w:pPr>
      <w:r>
        <w:rPr>
          <w:color w:val="CBD5E1"/>
        </w:rPr>
        <w:t>━━━━━━━━━━━━━━━━━━━━━━━━━━━━━━━━━━━━━━━━━━━━━━━━━━━━━━━━━━━━</w:t>
      </w:r>
    </w:p>
    <w:p>
      <w:pPr>
        <w:pStyle w:val="Heading2"/>
        <w:spacing w:before="260" w:after="60"/>
      </w:pPr>
      <w:r>
        <w:rPr>
          <w:rFonts w:ascii="Calibri" w:hAnsi="Calibri"/>
          <w:b/>
          <w:color w:val="1E3A8A"/>
          <w:sz w:val="28"/>
        </w:rPr>
        <w:t>6. Implementation, REST API &amp; System Integration (Rubric Criterion 4 - 3 Marks)</w:t>
      </w:r>
    </w:p>
    <w:p>
      <w:pPr>
        <w:pStyle w:val="Heading3"/>
        <w:spacing w:before="180" w:after="40"/>
      </w:pPr>
      <w:r>
        <w:rPr>
          <w:rFonts w:ascii="Calibri" w:hAnsi="Calibri"/>
          <w:b/>
          <w:color w:val="0F172A"/>
          <w:sz w:val="23"/>
        </w:rPr>
        <w:t>6.1 Verified REST API Endpoints (`backend/main.py`)</w:t>
      </w:r>
    </w:p>
    <w:p>
      <w:r>
        <w:rPr>
          <w:rFonts w:ascii="Calibri" w:hAnsi="Calibri"/>
          <w:color w:val="1F2937"/>
          <w:sz w:val="21"/>
        </w:rPr>
        <w:t xml:space="preserve">All core endpoints evaluated under Milestone 2 are active, asynchronous, and verified on </w:t>
      </w:r>
      <w:r>
        <w:rPr>
          <w:rFonts w:ascii="Consolas" w:hAnsi="Consolas"/>
          <w:color w:val="0F5132"/>
          <w:sz w:val="19"/>
        </w:rPr>
        <w:t>http://localhost:8000</w:t>
      </w:r>
      <w:r>
        <w:rPr>
          <w:rFonts w:ascii="Calibri" w:hAnsi="Calibri"/>
          <w:color w:val="1F2937"/>
          <w:sz w:val="21"/>
        </w:rPr>
        <w:t>:</w:t>
      </w:r>
    </w:p>
    <w:tbl>
      <w:tblPr>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HTTP Method</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API Route</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Request Payload Summary</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Response Structure</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Milestone Scope &amp; Status</w:t>
            </w:r>
          </w:p>
        </w:tc>
      </w:tr>
      <w:tr>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onsolas" w:hAnsi="Consolas"/>
                <w:color w:val="0F5132"/>
                <w:sz w:val="16"/>
              </w:rPr>
              <w:t>GET</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onsolas" w:hAnsi="Consolas"/>
                <w:color w:val="0F5132"/>
                <w:sz w:val="16"/>
              </w:rPr>
              <w:t>/health</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None</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Service status, runtime version, uptime</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Milestone 2 (Verified 200 OK)</w:t>
            </w:r>
          </w:p>
        </w:tc>
      </w:tr>
      <w:tr>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onsolas" w:hAnsi="Consolas"/>
                <w:color w:val="0F5132"/>
                <w:sz w:val="16"/>
              </w:rPr>
              <w:t>GET</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onsolas" w:hAnsi="Consolas"/>
                <w:color w:val="0F5132"/>
                <w:sz w:val="16"/>
              </w:rPr>
              <w:t>/api/states</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None</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Array of 34 supported Indian states</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Milestone 2 (Verified 200 OK)</w:t>
            </w:r>
          </w:p>
        </w:tc>
      </w:tr>
      <w:tr>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onsolas" w:hAnsi="Consolas"/>
                <w:color w:val="0F5132"/>
                <w:sz w:val="16"/>
              </w:rPr>
              <w:t>GET</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onsolas" w:hAnsi="Consolas"/>
                <w:color w:val="0F5132"/>
                <w:sz w:val="16"/>
              </w:rPr>
              <w:t>/api/state-profile/{state}</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State name string</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State N-P-K, pH, and rainfall averages</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Milestone 2 (Verified 200 OK)</w:t>
            </w:r>
          </w:p>
        </w:tc>
      </w:tr>
      <w:tr>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onsolas" w:hAnsi="Consolas"/>
                <w:color w:val="0F5132"/>
                <w:sz w:val="16"/>
              </w:rPr>
              <w:t>POST</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onsolas" w:hAnsi="Consolas"/>
                <w:color w:val="0F5132"/>
                <w:sz w:val="16"/>
              </w:rPr>
              <w:t>/api/predict_crop</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Soil N, P, K, pH, temp, humidity, rainfall</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Ranked Top-3 crops with confidence %</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Milestone 2 (Verified 200 OK)</w:t>
            </w:r>
          </w:p>
        </w:tc>
      </w:tr>
      <w:tr>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onsolas" w:hAnsi="Consolas"/>
                <w:color w:val="0F5132"/>
                <w:sz w:val="16"/>
              </w:rPr>
              <w:t>POST</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onsolas" w:hAnsi="Consolas"/>
                <w:color w:val="0F5132"/>
                <w:sz w:val="16"/>
              </w:rPr>
              <w:t>/api/detect_disease</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Base64-encoded leaf photograph</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Disease class, confidence, organic/chemical cure</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Milestone 2 (Verified 200 OK)</w:t>
            </w:r>
          </w:p>
        </w:tc>
      </w:tr>
      <w:tr>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onsolas" w:hAnsi="Consolas"/>
                <w:color w:val="0F5132"/>
                <w:sz w:val="16"/>
              </w:rPr>
              <w:t>POST</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onsolas" w:hAnsi="Consolas"/>
                <w:color w:val="0F5132"/>
                <w:sz w:val="16"/>
              </w:rPr>
              <w:t>/api/expert-chat</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Farmer query message</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Agronomic advisory response</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Milestone 2 (Verified 200 OK)</w:t>
            </w:r>
          </w:p>
        </w:tc>
      </w:tr>
      <w:tr>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onsolas" w:hAnsi="Consolas"/>
                <w:color w:val="0F5132"/>
                <w:sz w:val="16"/>
              </w:rPr>
              <w:t>POST</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onsolas" w:hAnsi="Consolas"/>
                <w:color w:val="0F5132"/>
                <w:sz w:val="16"/>
              </w:rPr>
              <w:t>/api/predict_risk</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State, district, crop, season, year</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Risk score (0-100), alert level, mitigation plan</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i/>
                <w:color w:val="1F2937"/>
                <w:sz w:val="18"/>
              </w:rPr>
              <w:t>Milestone 3 (Final Defense Scope)</w:t>
            </w:r>
          </w:p>
        </w:tc>
      </w:tr>
      <w:tr>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onsolas" w:hAnsi="Consolas"/>
                <w:color w:val="0F5132"/>
                <w:sz w:val="16"/>
              </w:rPr>
              <w:t>POST</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onsolas" w:hAnsi="Consolas"/>
                <w:color w:val="0F5132"/>
                <w:sz w:val="16"/>
              </w:rPr>
              <w:t>/api/forecast_price</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Crop name, state, district</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30-day forecasted daily price array</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i/>
                <w:color w:val="1F2937"/>
                <w:sz w:val="18"/>
              </w:rPr>
              <w:t>Milestone 3 (Final Defense Scope)</w:t>
            </w:r>
          </w:p>
        </w:tc>
      </w:tr>
      <w:tr>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onsolas" w:hAnsi="Consolas"/>
                <w:color w:val="0F5132"/>
                <w:sz w:val="16"/>
              </w:rPr>
              <w:t>POST</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onsolas" w:hAnsi="Consolas"/>
                <w:color w:val="0F5132"/>
                <w:sz w:val="16"/>
              </w:rPr>
              <w:t>/api/historical_prices</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Crop name, state, district</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Historical mandi arrival volumes and prices</w:t>
            </w:r>
          </w:p>
        </w:tc>
        <w:tc>
          <w:tcPr>
            <w:tcW w:type="dxa" w:w="1930"/>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i/>
                <w:color w:val="1F2937"/>
                <w:sz w:val="18"/>
              </w:rPr>
              <w:t>Milestone 3 (Final Defense Scope)</w:t>
            </w:r>
          </w:p>
        </w:tc>
      </w:tr>
    </w:tbl>
    <w:p/>
    <w:p>
      <w:pPr>
        <w:spacing w:before="80" w:after="120"/>
      </w:pPr>
      <w:r>
        <w:rPr>
          <w:color w:val="CBD5E1"/>
        </w:rPr>
        <w:t>━━━━━━━━━━━━━━━━━━━━━━━━━━━━━━━━━━━━━━━━━━━━━━━━━━━━━━━━━━━━</w:t>
      </w:r>
    </w:p>
    <w:p>
      <w:pPr>
        <w:pStyle w:val="Heading3"/>
        <w:spacing w:before="180" w:after="40"/>
      </w:pPr>
      <w:r>
        <w:rPr>
          <w:rFonts w:ascii="Calibri" w:hAnsi="Calibri"/>
          <w:b/>
          <w:color w:val="0F172A"/>
          <w:sz w:val="23"/>
        </w:rPr>
        <w:t>6.2 Running System Verification Proof (Milestone 2 Prototype)</w:t>
      </w:r>
    </w:p>
    <w:p>
      <w:pPr>
        <w:spacing w:before="80" w:after="120"/>
        <w:ind w:left="504" w:right="504"/>
      </w:pPr>
      <w:r>
        <w:rPr>
          <w:rFonts w:ascii="Consolas" w:hAnsi="Consolas"/>
          <w:color w:val="1E293B"/>
          <w:sz w:val="17"/>
        </w:rPr>
        <w:t>+-----------------------------------------------------------------------------------+</w:t>
        <w:br/>
        <w:t>|  [SYSTEM VERIFICATION SCREENSHOT 1]                                               |</w:t>
        <w:br/>
        <w:t>|  Figure 1: SAGRI Precision Crop Recommendation Interface (http://localhost:5173)  |</w:t>
        <w:br/>
        <w:t>|  Demonstrating soil NPK input fields, state auto-fill, and Top-3 confidence ranked |</w:t>
        <w:br/>
        <w:t>|  advisory output (Rice 94.2%, Jute 4.1%, Maize 1.7%).                             |</w:t>
        <w:br/>
        <w:t>+-----------------------------------------------------------------------------------+</w:t>
      </w:r>
    </w:p>
    <w:p>
      <w:pPr>
        <w:spacing w:before="80" w:after="120"/>
        <w:ind w:left="504" w:right="504"/>
      </w:pPr>
      <w:r>
        <w:rPr>
          <w:rFonts w:ascii="Consolas" w:hAnsi="Consolas"/>
          <w:color w:val="1E293B"/>
          <w:sz w:val="17"/>
        </w:rPr>
        <w:t>+-----------------------------------------------------------------------------------+</w:t>
        <w:br/>
        <w:t>|  [SYSTEM VERIFICATION SCREENSHOT 2]                                               |</w:t>
        <w:br/>
        <w:t>|  Figure 2: Plant Pathology Foliar Diagnostic Scanner (http://localhost:5173)      |</w:t>
        <w:br/>
        <w:t>|  Demonstrating uploaded diseased leaf image, ONNX model classification output     |</w:t>
        <w:br/>
        <w:t>|  (Tomato Early Blight - 97.4% confidence), and dual organic/chemical remedies.   |</w:t>
        <w:br/>
        <w:t>+-----------------------------------------------------------------------------------+</w:t>
      </w:r>
    </w:p>
    <w:p>
      <w:pPr>
        <w:spacing w:before="80" w:after="120"/>
        <w:ind w:left="504" w:right="504"/>
      </w:pPr>
      <w:r>
        <w:rPr>
          <w:rFonts w:ascii="Consolas" w:hAnsi="Consolas"/>
          <w:color w:val="1E293B"/>
          <w:sz w:val="17"/>
        </w:rPr>
        <w:t>+-----------------------------------------------------------------------------------+</w:t>
        <w:br/>
        <w:t>|  [SYSTEM VERIFICATION SCREENSHOT 3]                                               |</w:t>
        <w:br/>
        <w:t>|  Figure 3: Interactive Swagger API Documentation Gateway (http://localhost:8000/docs)</w:t>
        <w:br/>
        <w:t>|  Demonstrating live FastAPI endpoints, Pydantic data validation schemas, and      |</w:t>
        <w:br/>
        <w:t>|  sub-200ms latency execution logs for Milestone 2 evaluated routes.               |</w:t>
        <w:br/>
        <w:t>+-----------------------------------------------------------------------------------+</w:t>
      </w:r>
    </w:p>
    <w:p>
      <w:pPr>
        <w:spacing w:before="80" w:after="120"/>
      </w:pPr>
      <w:r>
        <w:rPr>
          <w:color w:val="CBD5E1"/>
        </w:rPr>
        <w:t>━━━━━━━━━━━━━━━━━━━━━━━━━━━━━━━━━━━━━━━━━━━━━━━━━━━━━━━━━━━━</w:t>
      </w:r>
    </w:p>
    <w:p>
      <w:pPr>
        <w:pStyle w:val="Heading2"/>
        <w:spacing w:before="260" w:after="60"/>
      </w:pPr>
      <w:r>
        <w:rPr>
          <w:rFonts w:ascii="Calibri" w:hAnsi="Calibri"/>
          <w:b/>
          <w:color w:val="1E3A8A"/>
          <w:sz w:val="28"/>
        </w:rPr>
        <w:t>7. Experimental Results &amp; Performance Benchmarks (Milestone 2 Scope)</w:t>
      </w:r>
    </w:p>
    <w:p>
      <w:pPr>
        <w:pStyle w:val="Heading3"/>
        <w:spacing w:before="180" w:after="40"/>
      </w:pPr>
      <w:r>
        <w:rPr>
          <w:rFonts w:ascii="Calibri" w:hAnsi="Calibri"/>
          <w:b/>
          <w:color w:val="0F172A"/>
          <w:sz w:val="23"/>
        </w:rPr>
        <w:t>7.1 Quantitative Benchmark Summary</w:t>
      </w:r>
    </w:p>
    <w:tbl>
      <w:tblPr>
        <w:tblW w:type="auto" w:w="0"/>
        <w:jc w:val="center"/>
        <w:tblLayout w:type="autofit"/>
        <w:tblLook w:firstColumn="1" w:firstRow="1" w:lastColumn="0" w:lastRow="0" w:noHBand="0" w:noVBand="1" w:val="04A0"/>
      </w:tblPr>
      <w:tblGrid>
        <w:gridCol w:w="1378"/>
        <w:gridCol w:w="1378"/>
        <w:gridCol w:w="1378"/>
        <w:gridCol w:w="1378"/>
        <w:gridCol w:w="1378"/>
        <w:gridCol w:w="1378"/>
        <w:gridCol w:w="1378"/>
      </w:tblGrid>
      <w:tr>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Functional Module</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Machine Learning Architecture</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Dataset Size &amp; Class Count</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Primary Evaluation Metric</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Mean CPU Latency</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Resident RAM</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0D5C3A"/>
          </w:tcPr>
          <w:p>
            <w:pPr>
              <w:spacing w:before="40" w:after="40"/>
            </w:pPr>
            <w:r>
              <w:rPr>
                <w:rFonts w:ascii="Calibri" w:hAnsi="Calibri"/>
                <w:b/>
                <w:color w:val="FFFFFF"/>
                <w:sz w:val="19"/>
              </w:rPr>
              <w:t>Lifecycle Stage</w:t>
            </w:r>
          </w:p>
        </w:tc>
      </w:tr>
      <w:tr>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Crop Recommendation</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Random Forest (100 Trees)</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2,200 rows (22 crop classes)</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99.3% Test Accuracy</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~42 ms</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~65 MB</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Evaluated in M2</w:t>
            </w:r>
          </w:p>
        </w:tc>
      </w:tr>
      <w:tr>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Disease Detection</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MobileNetV2 (ONNX Graph)</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54,303 images (38 pathology classes)</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96.8% Top-1 Accuracy</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~112 ms</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~210 MB</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Evaluated in M2</w:t>
            </w:r>
          </w:p>
        </w:tc>
      </w:tr>
      <w:tr>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Crop Failure Risk</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Regularized XGBoost</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325,418 rows (Temporal split)</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0.892 Test ROC-AUC</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b/>
                <w:color w:val="1F2937"/>
                <w:sz w:val="18"/>
              </w:rPr>
              <w:t>~36 ms</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color w:val="1F2937"/>
                <w:sz w:val="18"/>
              </w:rPr>
              <w:t>~180 MB</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8FAFC"/>
          </w:tcPr>
          <w:p>
            <w:pPr>
              <w:spacing w:before="40" w:after="40"/>
            </w:pPr>
            <w:r>
              <w:rPr>
                <w:rFonts w:ascii="Calibri" w:hAnsi="Calibri"/>
                <w:i/>
                <w:color w:val="1F2937"/>
                <w:sz w:val="18"/>
              </w:rPr>
              <w:t>Milestone 3 Final Scope</w:t>
            </w:r>
          </w:p>
        </w:tc>
      </w:tr>
      <w:tr>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Mandi Price Forecast</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Random Forest + WPI Normalization</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19.4 MB APMC logs (30 commodities)</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8.35% Test MAPE</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b/>
                <w:color w:val="1F2937"/>
                <w:sz w:val="18"/>
              </w:rPr>
              <w:t>~260 ms</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color w:val="1F2937"/>
                <w:sz w:val="18"/>
              </w:rPr>
              <w:t>~365 MB</w:t>
            </w:r>
          </w:p>
        </w:tc>
        <w:tc>
          <w:tcPr>
            <w:tcW w:type="dxa" w:w="1378"/>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insideH w:val="none"/>
              <w:insideV w:val="none"/>
            </w:tcBorders>
            <w:shd w:fill="FFFFFF"/>
          </w:tcPr>
          <w:p>
            <w:pPr>
              <w:spacing w:before="40" w:after="40"/>
            </w:pPr>
            <w:r>
              <w:rPr>
                <w:rFonts w:ascii="Calibri" w:hAnsi="Calibri"/>
                <w:i/>
                <w:color w:val="1F2937"/>
                <w:sz w:val="18"/>
              </w:rPr>
              <w:t>Milestone 3 Final Scope</w:t>
            </w:r>
          </w:p>
        </w:tc>
      </w:tr>
    </w:tbl>
    <w:p/>
    <w:p>
      <w:pPr>
        <w:pStyle w:val="Heading3"/>
        <w:spacing w:before="180" w:after="40"/>
      </w:pPr>
      <w:r>
        <w:rPr>
          <w:rFonts w:ascii="Calibri" w:hAnsi="Calibri"/>
          <w:b/>
          <w:color w:val="0F172A"/>
          <w:sz w:val="23"/>
        </w:rPr>
        <w:t>7.2 System Latency &amp; Resource Utilization in Current Milestone</w:t>
      </w:r>
    </w:p>
    <w:p>
      <w:pPr>
        <w:pStyle w:val="ListBullet"/>
        <w:spacing w:after="40"/>
      </w:pPr>
      <w:r>
        <w:rPr>
          <w:rFonts w:ascii="Calibri" w:hAnsi="Calibri"/>
          <w:b/>
          <w:color w:val="1F2937"/>
          <w:sz w:val="20"/>
        </w:rPr>
        <w:t>Current In-Memory Residency:</w:t>
      </w:r>
      <w:r>
        <w:rPr>
          <w:rFonts w:ascii="Calibri" w:hAnsi="Calibri"/>
          <w:color w:val="1F2937"/>
          <w:sz w:val="20"/>
        </w:rPr>
        <w:t xml:space="preserve"> ~275 MB RAM with active Milestone 2 models resident in backend memory.</w:t>
      </w:r>
    </w:p>
    <w:p>
      <w:pPr>
        <w:pStyle w:val="ListBullet"/>
        <w:spacing w:after="40"/>
      </w:pPr>
      <w:r>
        <w:rPr>
          <w:rFonts w:ascii="Calibri" w:hAnsi="Calibri"/>
          <w:b/>
          <w:color w:val="1F2937"/>
          <w:sz w:val="20"/>
        </w:rPr>
        <w:t>Client Web Bundle:</w:t>
      </w:r>
      <w:r>
        <w:rPr>
          <w:rFonts w:ascii="Calibri" w:hAnsi="Calibri"/>
          <w:color w:val="1F2937"/>
          <w:sz w:val="20"/>
        </w:rPr>
        <w:t xml:space="preserve"> 430 KB gzip build achieved through Vite 6 dynamic code splitting.</w:t>
      </w:r>
    </w:p>
    <w:p>
      <w:pPr>
        <w:pStyle w:val="ListBullet"/>
        <w:spacing w:after="40"/>
      </w:pPr>
      <w:r>
        <w:rPr>
          <w:rFonts w:ascii="Calibri" w:hAnsi="Calibri"/>
          <w:b/>
          <w:color w:val="1F2937"/>
          <w:sz w:val="20"/>
        </w:rPr>
        <w:t>End-to-End Client Latency:</w:t>
      </w:r>
      <w:r>
        <w:rPr>
          <w:rFonts w:ascii="Calibri" w:hAnsi="Calibri"/>
          <w:color w:val="1F2937"/>
          <w:sz w:val="20"/>
        </w:rPr>
        <w:t xml:space="preserve"> 180 ms to 250 ms round-trip latency measured during concurrent local testing of crop recommendation and disease scanning routes.</w:t>
      </w:r>
    </w:p>
    <w:p>
      <w:pPr>
        <w:spacing w:before="80" w:after="120"/>
      </w:pPr>
      <w:r>
        <w:rPr>
          <w:color w:val="CBD5E1"/>
        </w:rPr>
        <w:t>━━━━━━━━━━━━━━━━━━━━━━━━━━━━━━━━━━━━━━━━━━━━━━━━━━━━━━━━━━━━</w:t>
      </w:r>
    </w:p>
    <w:p>
      <w:pPr>
        <w:pStyle w:val="Heading2"/>
        <w:spacing w:before="260" w:after="60"/>
      </w:pPr>
      <w:r>
        <w:rPr>
          <w:rFonts w:ascii="Calibri" w:hAnsi="Calibri"/>
          <w:b/>
          <w:color w:val="1E3A8A"/>
          <w:sz w:val="28"/>
        </w:rPr>
        <w:t>8. Collaborative Team Engineering Methodology</w:t>
      </w:r>
    </w:p>
    <w:p>
      <w:r>
        <w:rPr>
          <w:rFonts w:ascii="Calibri" w:hAnsi="Calibri"/>
          <w:color w:val="1F2937"/>
          <w:sz w:val="21"/>
        </w:rPr>
        <w:t xml:space="preserve">The SAGRI platform was conceptualized, engineered, and evaluated through an integrated team workflow by the three members of our Bennett University student team: </w:t>
      </w:r>
      <w:r>
        <w:rPr>
          <w:rFonts w:ascii="Calibri" w:hAnsi="Calibri"/>
          <w:b/>
          <w:color w:val="1F2937"/>
          <w:sz w:val="21"/>
        </w:rPr>
        <w:t>Shikhar Kesharwani</w:t>
      </w:r>
      <w:r>
        <w:rPr>
          <w:rFonts w:ascii="Calibri" w:hAnsi="Calibri"/>
          <w:color w:val="1F2937"/>
          <w:sz w:val="21"/>
        </w:rPr>
        <w:t xml:space="preserve">, </w:t>
      </w:r>
      <w:r>
        <w:rPr>
          <w:rFonts w:ascii="Calibri" w:hAnsi="Calibri"/>
          <w:b/>
          <w:color w:val="1F2937"/>
          <w:sz w:val="21"/>
        </w:rPr>
        <w:t>Santusht Lakhanpal</w:t>
      </w:r>
      <w:r>
        <w:rPr>
          <w:rFonts w:ascii="Calibri" w:hAnsi="Calibri"/>
          <w:color w:val="1F2937"/>
          <w:sz w:val="21"/>
        </w:rPr>
        <w:t xml:space="preserve">, and </w:t>
      </w:r>
      <w:r>
        <w:rPr>
          <w:rFonts w:ascii="Calibri" w:hAnsi="Calibri"/>
          <w:b/>
          <w:color w:val="1F2937"/>
          <w:sz w:val="21"/>
        </w:rPr>
        <w:t>Sanchit Jain</w:t>
      </w:r>
      <w:r>
        <w:rPr>
          <w:rFonts w:ascii="Calibri" w:hAnsi="Calibri"/>
          <w:color w:val="1F2937"/>
          <w:sz w:val="21"/>
        </w:rPr>
        <w:t>.</w:t>
      </w:r>
    </w:p>
    <w:p>
      <w:r>
        <w:rPr>
          <w:rFonts w:ascii="Calibri" w:hAnsi="Calibri"/>
          <w:color w:val="1F2937"/>
          <w:sz w:val="21"/>
        </w:rPr>
        <w:t>To maintain technical excellence across all layers of the stack throughout Milestones 1 and 2, the project team structured engineering responsibilities into three collaborative domain modules:</w:t>
      </w:r>
    </w:p>
    <w:p>
      <w:pPr>
        <w:pStyle w:val="Heading3"/>
        <w:spacing w:before="180" w:after="40"/>
      </w:pPr>
      <w:r>
        <w:rPr>
          <w:rFonts w:ascii="Calibri" w:hAnsi="Calibri"/>
          <w:b/>
          <w:color w:val="0F172A"/>
          <w:sz w:val="23"/>
        </w:rPr>
        <w:t>8.1 Machine Learning &amp; Statistical Modeling Domain</w:t>
      </w:r>
    </w:p>
    <w:p>
      <w:pPr>
        <w:pStyle w:val="ListBullet"/>
        <w:spacing w:after="40"/>
      </w:pPr>
      <w:r>
        <w:rPr>
          <w:rFonts w:ascii="Calibri" w:hAnsi="Calibri"/>
          <w:color w:val="1F2937"/>
          <w:sz w:val="20"/>
        </w:rPr>
        <w:t>Formulated the multi-class crop recommendation pipeline across 22 crop varieties using ICAR soil fertility datasets.</w:t>
      </w:r>
    </w:p>
    <w:p>
      <w:pPr>
        <w:pStyle w:val="ListBullet"/>
        <w:spacing w:after="40"/>
      </w:pPr>
      <w:r>
        <w:rPr>
          <w:rFonts w:ascii="Calibri" w:hAnsi="Calibri"/>
          <w:color w:val="1F2937"/>
          <w:sz w:val="20"/>
        </w:rPr>
        <w:t xml:space="preserve">Tuned Random Forest hyperparameters (100 estimators, Gini impurity splitting criterion, max depth controls) and configured </w:t>
      </w:r>
      <w:r>
        <w:rPr>
          <w:rFonts w:ascii="Consolas" w:hAnsi="Consolas"/>
          <w:color w:val="0F5132"/>
          <w:sz w:val="18"/>
        </w:rPr>
        <w:t>.predict_proba()</w:t>
      </w:r>
      <w:r>
        <w:rPr>
          <w:rFonts w:ascii="Calibri" w:hAnsi="Calibri"/>
          <w:color w:val="1F2937"/>
          <w:sz w:val="20"/>
        </w:rPr>
        <w:t xml:space="preserve"> calibration for top-3 confidence generation.</w:t>
      </w:r>
    </w:p>
    <w:p>
      <w:pPr>
        <w:pStyle w:val="ListBullet"/>
        <w:spacing w:after="40"/>
      </w:pPr>
      <w:r>
        <w:rPr>
          <w:rFonts w:ascii="Calibri" w:hAnsi="Calibri"/>
          <w:color w:val="1F2937"/>
          <w:sz w:val="20"/>
        </w:rPr>
        <w:t>Prepared and cleaned the 325,418-row ICRISAT historical climate-yield dataset and established the chronological temporal split strategy for the upcoming Milestone 3 risk evaluation.</w:t>
      </w:r>
    </w:p>
    <w:p>
      <w:pPr>
        <w:pStyle w:val="Heading3"/>
        <w:spacing w:before="180" w:after="40"/>
      </w:pPr>
      <w:r>
        <w:rPr>
          <w:rFonts w:ascii="Calibri" w:hAnsi="Calibri"/>
          <w:b/>
          <w:color w:val="0F172A"/>
          <w:sz w:val="23"/>
        </w:rPr>
        <w:t>8.2 Computer Vision &amp; Foliar Pathology Domain</w:t>
      </w:r>
    </w:p>
    <w:p>
      <w:pPr>
        <w:pStyle w:val="ListBullet"/>
        <w:spacing w:after="40"/>
      </w:pPr>
      <w:r>
        <w:rPr>
          <w:rFonts w:ascii="Calibri" w:hAnsi="Calibri"/>
          <w:color w:val="1F2937"/>
          <w:sz w:val="20"/>
        </w:rPr>
        <w:t>Preprocessed, cleaned, and augmented the 54,303-image PlantVillage dataset covering 38 disease categories across 14 commercial crops.</w:t>
      </w:r>
    </w:p>
    <w:p>
      <w:pPr>
        <w:pStyle w:val="ListBullet"/>
        <w:spacing w:after="40"/>
      </w:pPr>
      <w:r>
        <w:rPr>
          <w:rFonts w:ascii="Calibri" w:hAnsi="Calibri"/>
          <w:color w:val="1F2937"/>
          <w:sz w:val="20"/>
        </w:rPr>
        <w:t>Fine-tuned MobileNetV2 utilizing transfer learning and successfully converted the network into an optimized ONNX computational graph.</w:t>
      </w:r>
    </w:p>
    <w:p>
      <w:pPr>
        <w:pStyle w:val="ListBullet"/>
        <w:spacing w:after="40"/>
      </w:pPr>
      <w:r>
        <w:rPr>
          <w:rFonts w:ascii="Calibri" w:hAnsi="Calibri"/>
          <w:color w:val="1F2937"/>
          <w:sz w:val="20"/>
        </w:rPr>
        <w:t>Curated the comprehensive treatment knowledge base (</w:t>
      </w:r>
      <w:r>
        <w:rPr>
          <w:rFonts w:ascii="Consolas" w:hAnsi="Consolas"/>
          <w:color w:val="0F5132"/>
          <w:sz w:val="18"/>
        </w:rPr>
        <w:t>backend/pathology_kb.py</w:t>
      </w:r>
      <w:r>
        <w:rPr>
          <w:rFonts w:ascii="Calibri" w:hAnsi="Calibri"/>
          <w:color w:val="1F2937"/>
          <w:sz w:val="20"/>
        </w:rPr>
        <w:t>) mapping every diagnosed foliar pathogen to verified organic cultural practices and ICAR/CIBRC-approved chemical formulations.</w:t>
      </w:r>
    </w:p>
    <w:p>
      <w:pPr>
        <w:pStyle w:val="Heading3"/>
        <w:spacing w:before="180" w:after="40"/>
      </w:pPr>
      <w:r>
        <w:rPr>
          <w:rFonts w:ascii="Calibri" w:hAnsi="Calibri"/>
          <w:b/>
          <w:color w:val="0F172A"/>
          <w:sz w:val="23"/>
        </w:rPr>
        <w:t>8.3 Full-Stack Architecture &amp; High-Throughput API Gateway Domain</w:t>
      </w:r>
    </w:p>
    <w:p>
      <w:pPr>
        <w:pStyle w:val="ListBullet"/>
        <w:spacing w:after="40"/>
      </w:pPr>
      <w:r>
        <w:rPr>
          <w:rFonts w:ascii="Calibri" w:hAnsi="Calibri"/>
          <w:color w:val="1F2937"/>
          <w:sz w:val="20"/>
        </w:rPr>
        <w:t>Designed and implemented the asynchronous Python FastAPI backend with Pydantic request-response validation contracts.</w:t>
      </w:r>
    </w:p>
    <w:p>
      <w:pPr>
        <w:pStyle w:val="ListBullet"/>
        <w:spacing w:after="40"/>
      </w:pPr>
      <w:r>
        <w:rPr>
          <w:rFonts w:ascii="Calibri" w:hAnsi="Calibri"/>
          <w:color w:val="1F2937"/>
          <w:sz w:val="20"/>
        </w:rPr>
        <w:t>Constructed the modular React 18 user interface using Vite 6, Tailwind CSS, and Chart.js, delivering the crop advisory and pathology scanning user workflows.</w:t>
      </w:r>
    </w:p>
    <w:p>
      <w:pPr>
        <w:pStyle w:val="ListBullet"/>
        <w:spacing w:after="40"/>
      </w:pPr>
      <w:r>
        <w:rPr>
          <w:rFonts w:ascii="Calibri" w:hAnsi="Calibri"/>
          <w:color w:val="1F2937"/>
          <w:sz w:val="20"/>
        </w:rPr>
        <w:t>Configured CORS policies, client-side canvas compression for mobile leaf image uploads, state profile auto-fill caching, and system health checks.</w:t>
      </w:r>
    </w:p>
    <w:p>
      <w:pPr>
        <w:spacing w:before="80" w:after="120"/>
      </w:pPr>
      <w:r>
        <w:rPr>
          <w:color w:val="CBD5E1"/>
        </w:rPr>
        <w:t>━━━━━━━━━━━━━━━━━━━━━━━━━━━━━━━━━━━━━━━━━━━━━━━━━━━━━━━━━━━━</w:t>
      </w:r>
    </w:p>
    <w:p>
      <w:pPr>
        <w:pStyle w:val="Heading2"/>
        <w:spacing w:before="260" w:after="60"/>
      </w:pPr>
      <w:r>
        <w:rPr>
          <w:rFonts w:ascii="Calibri" w:hAnsi="Calibri"/>
          <w:b/>
          <w:color w:val="1E3A8A"/>
          <w:sz w:val="28"/>
        </w:rPr>
        <w:t>9. Milestone 3 Scope &amp; Final Evaluation Roadmap</w:t>
      </w:r>
    </w:p>
    <w:p>
      <w:pPr>
        <w:pStyle w:val="Heading3"/>
        <w:spacing w:before="180" w:after="40"/>
      </w:pPr>
      <w:r>
        <w:rPr>
          <w:rFonts w:ascii="Calibri" w:hAnsi="Calibri"/>
          <w:b/>
          <w:color w:val="0F172A"/>
          <w:sz w:val="23"/>
        </w:rPr>
        <w:t>9.1 Deliverables Validated in Milestones 1 &amp; 2 (Current Evaluation Scope)</w:t>
      </w:r>
    </w:p>
    <w:p>
      <w:r>
        <w:rPr>
          <w:rFonts w:ascii="Calibri" w:hAnsi="Calibri"/>
          <w:color w:val="1F2937"/>
          <w:sz w:val="21"/>
        </w:rPr>
        <w:t xml:space="preserve">In Milestones 1 and 2, our team completed the literature review, curated authentic datasets from ICAR and PlantVillage, trained and validated the core Crop Recommendation and Foliar Pathology models, and deployed the initial working prototype on </w:t>
      </w:r>
      <w:r>
        <w:rPr>
          <w:rFonts w:ascii="Consolas" w:hAnsi="Consolas"/>
          <w:color w:val="0F5132"/>
          <w:sz w:val="19"/>
        </w:rPr>
        <w:t>http://localhost:5173</w:t>
      </w:r>
      <w:r>
        <w:rPr>
          <w:rFonts w:ascii="Calibri" w:hAnsi="Calibri"/>
          <w:color w:val="1F2937"/>
          <w:sz w:val="21"/>
        </w:rPr>
        <w:t xml:space="preserve"> with an asynchronous FastAPI backend on </w:t>
      </w:r>
      <w:r>
        <w:rPr>
          <w:rFonts w:ascii="Consolas" w:hAnsi="Consolas"/>
          <w:color w:val="0F5132"/>
          <w:sz w:val="19"/>
        </w:rPr>
        <w:t>http://localhost:8000</w:t>
      </w:r>
      <w:r>
        <w:rPr>
          <w:rFonts w:ascii="Calibri" w:hAnsi="Calibri"/>
          <w:color w:val="1F2937"/>
          <w:sz w:val="21"/>
        </w:rPr>
        <w:t>.</w:t>
      </w:r>
    </w:p>
    <w:p>
      <w:pPr>
        <w:pStyle w:val="Heading3"/>
        <w:spacing w:before="180" w:after="40"/>
      </w:pPr>
      <w:r>
        <w:rPr>
          <w:rFonts w:ascii="Calibri" w:hAnsi="Calibri"/>
          <w:b/>
          <w:color w:val="0F172A"/>
          <w:sz w:val="23"/>
        </w:rPr>
        <w:t>9.2 Deliverables Scheduled for Milestone 3 (Final Project Evaluation Scope)</w:t>
      </w:r>
    </w:p>
    <w:p>
      <w:r>
        <w:rPr>
          <w:rFonts w:ascii="Calibri" w:hAnsi="Calibri"/>
          <w:color w:val="1F2937"/>
          <w:sz w:val="21"/>
        </w:rPr>
        <w:t>The upcoming Milestone 3 represents the culmination of our project, where the complete agricultural ecosystem will be demonstrated:</w:t>
      </w:r>
    </w:p>
    <w:p>
      <w:pPr>
        <w:spacing w:after="50"/>
        <w:ind w:left="504" w:hanging="504"/>
      </w:pPr>
      <w:r>
        <w:rPr>
          <w:rFonts w:ascii="Calibri" w:hAnsi="Calibri"/>
          <w:b/>
          <w:color w:val="0D5C3A"/>
        </w:rPr>
        <w:t xml:space="preserve">1. </w:t>
      </w:r>
      <w:r>
        <w:rPr>
          <w:rFonts w:ascii="Calibri" w:hAnsi="Calibri"/>
          <w:b/>
          <w:color w:val="1F2937"/>
          <w:sz w:val="20"/>
        </w:rPr>
        <w:t>Full Demonstration of Macro-Agricultural Risk Radar:</w:t>
      </w:r>
    </w:p>
    <w:p>
      <w:pPr>
        <w:pStyle w:val="ListBullet"/>
        <w:spacing w:after="40"/>
      </w:pPr>
      <w:r>
        <w:rPr>
          <w:rFonts w:ascii="Calibri" w:hAnsi="Calibri"/>
          <w:color w:val="1F2937"/>
          <w:sz w:val="20"/>
        </w:rPr>
        <w:t>Presenting the live XGBoost Crop Failure Risk model evaluated on out-of-time test records, allowing farmers to assess district-level climate disaster probabilities.</w:t>
      </w:r>
    </w:p>
    <w:p>
      <w:pPr>
        <w:spacing w:after="50"/>
        <w:ind w:left="504" w:hanging="504"/>
      </w:pPr>
      <w:r>
        <w:rPr>
          <w:rFonts w:ascii="Calibri" w:hAnsi="Calibri"/>
          <w:b/>
          <w:color w:val="0D5C3A"/>
        </w:rPr>
        <w:t xml:space="preserve">2. </w:t>
      </w:r>
      <w:r>
        <w:rPr>
          <w:rFonts w:ascii="Calibri" w:hAnsi="Calibri"/>
          <w:b/>
          <w:color w:val="1F2937"/>
          <w:sz w:val="20"/>
        </w:rPr>
        <w:t>Full Demonstration of Mandi Commodity Price Forecaster:</w:t>
      </w:r>
    </w:p>
    <w:p>
      <w:pPr>
        <w:pStyle w:val="ListBullet"/>
        <w:spacing w:after="40"/>
      </w:pPr>
      <w:r>
        <w:rPr>
          <w:rFonts w:ascii="Calibri" w:hAnsi="Calibri"/>
          <w:color w:val="1F2937"/>
          <w:sz w:val="20"/>
        </w:rPr>
        <w:t>Presenting the 30-day WPI-adjusted price trend forecasting curves and historical mandi arrival volume charts across 30 crops and 34 states.</w:t>
      </w:r>
    </w:p>
    <w:p>
      <w:pPr>
        <w:spacing w:after="50"/>
        <w:ind w:left="504" w:hanging="504"/>
      </w:pPr>
      <w:r>
        <w:rPr>
          <w:rFonts w:ascii="Calibri" w:hAnsi="Calibri"/>
          <w:b/>
          <w:color w:val="0D5C3A"/>
        </w:rPr>
        <w:t xml:space="preserve">3. </w:t>
      </w:r>
      <w:r>
        <w:rPr>
          <w:rFonts w:ascii="Calibri" w:hAnsi="Calibri"/>
          <w:b/>
          <w:color w:val="1F2937"/>
          <w:sz w:val="20"/>
        </w:rPr>
        <w:t>Complete Farmer Ecosystem Integration:</w:t>
      </w:r>
    </w:p>
    <w:p>
      <w:pPr>
        <w:pStyle w:val="ListBullet"/>
        <w:spacing w:after="40"/>
      </w:pPr>
      <w:r>
        <w:rPr>
          <w:rFonts w:ascii="Calibri" w:hAnsi="Calibri"/>
          <w:color w:val="1F2937"/>
          <w:sz w:val="20"/>
        </w:rPr>
        <w:t>Demonstrating the full multi-module Farmer Portal, including real-time weather intelligence, soil health profile assessments, expert agricultural advisory consultation, and government scheme navigation.</w:t>
      </w:r>
    </w:p>
    <w:p>
      <w:pPr>
        <w:spacing w:after="50"/>
        <w:ind w:left="504" w:hanging="504"/>
      </w:pPr>
      <w:r>
        <w:rPr>
          <w:rFonts w:ascii="Calibri" w:hAnsi="Calibri"/>
          <w:b/>
          <w:color w:val="0D5C3A"/>
        </w:rPr>
        <w:t xml:space="preserve">4. </w:t>
      </w:r>
      <w:r>
        <w:rPr>
          <w:rFonts w:ascii="Calibri" w:hAnsi="Calibri"/>
          <w:b/>
          <w:color w:val="1F2937"/>
          <w:sz w:val="20"/>
        </w:rPr>
        <w:t>Production Containerization &amp; Final Evaluation Defense:</w:t>
      </w:r>
    </w:p>
    <w:p>
      <w:pPr>
        <w:pStyle w:val="ListBullet"/>
        <w:spacing w:after="40"/>
      </w:pPr>
      <w:r>
        <w:rPr>
          <w:rFonts w:ascii="Calibri" w:hAnsi="Calibri"/>
          <w:color w:val="1F2937"/>
          <w:sz w:val="20"/>
        </w:rPr>
        <w:t>Presenting containerized Docker multi-service deployment (</w:t>
      </w:r>
      <w:r>
        <w:rPr>
          <w:rFonts w:ascii="Consolas" w:hAnsi="Consolas"/>
          <w:color w:val="0F5132"/>
          <w:sz w:val="18"/>
        </w:rPr>
        <w:t>docker-compose</w:t>
      </w:r>
      <w:r>
        <w:rPr>
          <w:rFonts w:ascii="Calibri" w:hAnsi="Calibri"/>
          <w:color w:val="1F2937"/>
          <w:sz w:val="20"/>
        </w:rPr>
        <w:t>), complete system stress benchmarks, and the final comprehensive engineering defense.</w:t>
      </w:r>
    </w:p>
    <w:p>
      <w:pPr>
        <w:spacing w:before="80" w:after="120"/>
      </w:pPr>
      <w:r>
        <w:rPr>
          <w:color w:val="CBD5E1"/>
        </w:rPr>
        <w:t>━━━━━━━━━━━━━━━━━━━━━━━━━━━━━━━━━━━━━━━━━━━━━━━━━━━━━━━━━━━━</w:t>
      </w:r>
    </w:p>
    <w:p>
      <w:pPr>
        <w:pStyle w:val="Heading2"/>
        <w:spacing w:before="260" w:after="60"/>
      </w:pPr>
      <w:r>
        <w:rPr>
          <w:rFonts w:ascii="Calibri" w:hAnsi="Calibri"/>
          <w:b/>
          <w:color w:val="1E3A8A"/>
          <w:sz w:val="28"/>
        </w:rPr>
        <w:t>10. References (IEEE Format)</w:t>
      </w:r>
    </w:p>
    <w:p>
      <w:pPr>
        <w:spacing w:after="50"/>
        <w:ind w:left="504" w:hanging="504"/>
      </w:pPr>
      <w:r>
        <w:rPr>
          <w:rFonts w:ascii="Calibri" w:hAnsi="Calibri"/>
          <w:b/>
          <w:color w:val="0D5C3A"/>
        </w:rPr>
        <w:t xml:space="preserve">[1] </w:t>
      </w:r>
      <w:r>
        <w:rPr>
          <w:rFonts w:ascii="Calibri" w:hAnsi="Calibri"/>
          <w:color w:val="1F2937"/>
          <w:sz w:val="20"/>
        </w:rPr>
        <w:t xml:space="preserve">J. G. A. Barbedo, "A review on the use of computer vision and artificial intelligence in plant disease recognition," </w:t>
      </w:r>
      <w:r>
        <w:rPr>
          <w:rFonts w:ascii="Calibri" w:hAnsi="Calibri"/>
          <w:i/>
          <w:color w:val="1F2937"/>
          <w:sz w:val="20"/>
        </w:rPr>
        <w:t>Information Processing in Agriculture</w:t>
      </w:r>
      <w:r>
        <w:rPr>
          <w:rFonts w:ascii="Calibri" w:hAnsi="Calibri"/>
          <w:color w:val="1F2937"/>
          <w:sz w:val="20"/>
        </w:rPr>
        <w:t>, vol. 7, no. 1, pp. 15–29, Mar. 2020.</w:t>
      </w:r>
    </w:p>
    <w:p>
      <w:pPr>
        <w:spacing w:after="50"/>
        <w:ind w:left="504" w:hanging="504"/>
      </w:pPr>
      <w:r>
        <w:rPr>
          <w:rFonts w:ascii="Calibri" w:hAnsi="Calibri"/>
          <w:b/>
          <w:color w:val="0D5C3A"/>
        </w:rPr>
        <w:t xml:space="preserve">[2] </w:t>
      </w:r>
      <w:r>
        <w:rPr>
          <w:rFonts w:ascii="Calibri" w:hAnsi="Calibri"/>
          <w:color w:val="1F2937"/>
          <w:sz w:val="20"/>
        </w:rPr>
        <w:t xml:space="preserve">M. Sandler, A. Howard, M. Zhu, A. Zhmoginov, and L.-C. Chen, "MobileNetV2: Inverted residuals and linear bottlenecks," in </w:t>
      </w:r>
      <w:r>
        <w:rPr>
          <w:rFonts w:ascii="Calibri" w:hAnsi="Calibri"/>
          <w:i/>
          <w:color w:val="1F2937"/>
          <w:sz w:val="20"/>
        </w:rPr>
        <w:t>Proc. IEEE/CVF Conf. Computer Vision and Pattern Recognition (CVPR)</w:t>
      </w:r>
      <w:r>
        <w:rPr>
          <w:rFonts w:ascii="Calibri" w:hAnsi="Calibri"/>
          <w:color w:val="1F2937"/>
          <w:sz w:val="20"/>
        </w:rPr>
        <w:t>, Salt Lake City, USA, 2018, pp. 4510–4520.</w:t>
      </w:r>
    </w:p>
    <w:p>
      <w:pPr>
        <w:spacing w:after="50"/>
        <w:ind w:left="504" w:hanging="504"/>
      </w:pPr>
      <w:r>
        <w:rPr>
          <w:rFonts w:ascii="Calibri" w:hAnsi="Calibri"/>
          <w:b/>
          <w:color w:val="0D5C3A"/>
        </w:rPr>
        <w:t xml:space="preserve">[3] </w:t>
      </w:r>
      <w:r>
        <w:rPr>
          <w:rFonts w:ascii="Calibri" w:hAnsi="Calibri"/>
          <w:color w:val="1F2937"/>
          <w:sz w:val="20"/>
        </w:rPr>
        <w:t xml:space="preserve">T. Chen and C. Guestrin, "XGBoost: A scalable tree boosting system," in </w:t>
      </w:r>
      <w:r>
        <w:rPr>
          <w:rFonts w:ascii="Calibri" w:hAnsi="Calibri"/>
          <w:i/>
          <w:color w:val="1F2937"/>
          <w:sz w:val="20"/>
        </w:rPr>
        <w:t>Proc. 22nd ACM SIGKDD Int. Conf. Knowledge Discovery and Data Mining</w:t>
      </w:r>
      <w:r>
        <w:rPr>
          <w:rFonts w:ascii="Calibri" w:hAnsi="Calibri"/>
          <w:color w:val="1F2937"/>
          <w:sz w:val="20"/>
        </w:rPr>
        <w:t>, San Francisco, USA, 2016, pp. 785–794.</w:t>
      </w:r>
    </w:p>
    <w:p>
      <w:pPr>
        <w:spacing w:after="50"/>
        <w:ind w:left="504" w:hanging="504"/>
      </w:pPr>
      <w:r>
        <w:rPr>
          <w:rFonts w:ascii="Calibri" w:hAnsi="Calibri"/>
          <w:b/>
          <w:color w:val="0D5C3A"/>
        </w:rPr>
        <w:t xml:space="preserve">[4] </w:t>
      </w:r>
      <w:r>
        <w:rPr>
          <w:rFonts w:ascii="Calibri" w:hAnsi="Calibri"/>
          <w:color w:val="1F2937"/>
          <w:sz w:val="20"/>
        </w:rPr>
        <w:t>Indian Council of Agricultural Research (ICAR), "District-wise Soil Fertility Status of Indian Soils," Ministry of Agriculture and Farmers Welfare, Govt. of India, New Delhi, 2023.</w:t>
      </w:r>
    </w:p>
    <w:p>
      <w:pPr>
        <w:spacing w:after="50"/>
        <w:ind w:left="504" w:hanging="504"/>
      </w:pPr>
      <w:r>
        <w:rPr>
          <w:rFonts w:ascii="Calibri" w:hAnsi="Calibri"/>
          <w:b/>
          <w:color w:val="0D5C3A"/>
        </w:rPr>
        <w:t xml:space="preserve">[5] </w:t>
      </w:r>
      <w:r>
        <w:rPr>
          <w:rFonts w:ascii="Calibri" w:hAnsi="Calibri"/>
          <w:color w:val="1F2937"/>
          <w:sz w:val="20"/>
        </w:rPr>
        <w:t>Ministry of Agriculture and Farmers Welfare, "Agmarknet: Agricultural Marketing Information Network Portal," Directorate of Marketing and Inspection (DMI), Govt. of India. [Online]. Available: https://agmarknet.gov.in</w:t>
      </w: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Bennett University (SCSET) | AI &amp; ML Laboratory Evaluation | Team SAGRI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