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F5233"/>
          <w:sz w:val="44"/>
          <w:szCs w:val="44"/>
        </w:rPr>
        <w:t xml:space="preserve">The Appalachian Region</w:t>
      </w:r>
    </w:p>
    <w:p>
      <w:pPr>
        <w:spacing w:after="60"/>
      </w:pPr>
      <w:r>
        <w:rPr>
          <w:i/>
          <w:iCs/>
          <w:color w:val="555555"/>
          <w:sz w:val="24"/>
          <w:szCs w:val="24"/>
        </w:rPr>
        <w:t xml:space="preserve">Subregions, states, and core socioeconomic indicators</w:t>
      </w:r>
    </w:p>
    <w:p>
      <w:pPr>
        <w:spacing w:after="300"/>
      </w:pPr>
      <w:r>
        <w:rPr>
          <w:i/>
          <w:iCs/>
          <w:color w:val="888888"/>
          <w:sz w:val="18"/>
          <w:szCs w:val="18"/>
        </w:rPr>
        <w:t xml:space="preserve">Compiled September 2026  |  Primary source: Appalachian Regional Commission (ARC) / Population Reference Bureau, "The Appalachian Region: A Data Overview from the 2020-2024 American Community Survey" (The Chartbook), released August 2026</w:t>
      </w:r>
    </w:p>
    <w:p>
      <w:pPr>
        <w:pStyle w:val="Heading1"/>
        <w:spacing w:after="140" w:before="280"/>
      </w:pPr>
      <w:r>
        <w:t xml:space="preserve">1. Overview</w:t>
      </w:r>
    </w:p>
    <w:p>
      <w:pPr>
        <w:spacing w:after="160"/>
        <w:jc w:val="both"/>
      </w:pPr>
      <w:r>
        <w:t xml:space="preserve">The Appalachian Region is a 205,000-square-mile area defined by the Appalachian Regional Commission (ARC), a federal-state economic development partnership created by Congress in 1965. It runs along the Appalachian Mountains from southern New York to northern Mississippi and covers all of West Virginia plus parts of 12 other states: Alabama, Georgia, Kentucky, Maryland, Mississippi, New York, North Carolina, Ohio, Pennsylvania, South Carolina, Tennessee, and Virginia.</w:t>
      </w:r>
    </w:p>
    <w:p>
      <w:pPr>
        <w:spacing w:after="160"/>
        <w:jc w:val="both"/>
      </w:pPr>
      <w:r>
        <w:t xml:space="preserve">In total, the Region spans 13 states and 423 counties (including a handful of independent cities in Virginia that ARC groups with adjoining counties for data purposes), and was home to 26.8 million people as of 2024 -- about 4.9% population growth since 2010, roughly half the national growth rate of 10%.</w:t>
      </w:r>
    </w:p>
    <w:p>
      <w:pPr>
        <w:pStyle w:val="ListParagraph"/>
        <w:numPr>
          <w:ilvl w:val="0"/>
          <w:numId w:val="1"/>
        </w:numPr>
        <w:spacing w:after="80"/>
      </w:pPr>
      <w:r>
        <w:t xml:space="preserve">13 states (only West Virginia lies entirely within the Region)</w:t>
      </w:r>
    </w:p>
    <w:p>
      <w:pPr>
        <w:pStyle w:val="ListParagraph"/>
        <w:numPr>
          <w:ilvl w:val="0"/>
          <w:numId w:val="1"/>
        </w:numPr>
        <w:spacing w:after="80"/>
      </w:pPr>
      <w:r>
        <w:t xml:space="preserve">423 counties</w:t>
      </w:r>
    </w:p>
    <w:p>
      <w:pPr>
        <w:pStyle w:val="ListParagraph"/>
        <w:numPr>
          <w:ilvl w:val="0"/>
          <w:numId w:val="1"/>
        </w:numPr>
        <w:spacing w:after="80"/>
      </w:pPr>
      <w:r>
        <w:t xml:space="preserve">5 official ARC subregions</w:t>
      </w:r>
    </w:p>
    <w:p>
      <w:pPr>
        <w:pStyle w:val="ListParagraph"/>
        <w:numPr>
          <w:ilvl w:val="0"/>
          <w:numId w:val="1"/>
        </w:numPr>
        <w:spacing w:after="80"/>
      </w:pPr>
      <w:r>
        <w:t xml:space="preserve">26.8 million residents (2024)</w:t>
      </w:r>
    </w:p>
    <w:p>
      <w:pPr>
        <w:pStyle w:val="Heading1"/>
        <w:spacing w:after="140" w:before="280"/>
      </w:pPr>
      <w:r>
        <w:t xml:space="preserve">2. The Five Subregions</w:t>
      </w:r>
    </w:p>
    <w:p>
      <w:pPr>
        <w:spacing w:after="160"/>
        <w:jc w:val="both"/>
      </w:pPr>
      <w:r>
        <w:t xml:space="preserve">ARC groups its 423 counties into five subregions of broadly similar topography, demographics, and economics: Northern, North Central, Central, South Central, and Southern Appalachia. The classification dates to ARC's early history and was substantially revised in November 2009 for greater analytical detail; it was last adjusted in 2021, when federal legislation added three counties (two in North Carolina, one in South Carolina) and shifted four West Virginia panhandle counties from Central into Northern Appalachia.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300"/>
            <w:tcBorders>
              <w:top w:val="single" w:color="CCCCCC" w:sz="2"/>
              <w:left w:val="single" w:color="CCCCCC" w:sz="2"/>
              <w:bottom w:val="single" w:color="CCCCCC" w:sz="2"/>
              <w:right w:val="single" w:color="CCCCCC" w:sz="2"/>
            </w:tcBorders>
            <w:shd w:fill="2F5233" w:val="clear"/>
            <w:tcMar>
              <w:top w:type="dxa" w:w="80"/>
              <w:left w:type="dxa" w:w="100"/>
              <w:bottom w:type="dxa" w:w="80"/>
              <w:right w:type="dxa" w:w="100"/>
            </w:tcMar>
          </w:tcPr>
          <w:p>
            <w:pPr>
              <w:jc w:val="center"/>
            </w:pPr>
            <w:r>
              <w:rPr>
                <w:b/>
                <w:bCs/>
                <w:color w:val="FFFFFF"/>
                <w:sz w:val="18"/>
                <w:szCs w:val="18"/>
              </w:rPr>
              <w:t xml:space="preserve">Subregion</w:t>
            </w:r>
          </w:p>
        </w:tc>
        <w:tc>
          <w:tcPr>
            <w:tcW w:type="dxa" w:w="3600"/>
            <w:tcBorders>
              <w:top w:val="single" w:color="CCCCCC" w:sz="2"/>
              <w:left w:val="single" w:color="CCCCCC" w:sz="2"/>
              <w:bottom w:val="single" w:color="CCCCCC" w:sz="2"/>
              <w:right w:val="single" w:color="CCCCCC" w:sz="2"/>
            </w:tcBorders>
            <w:shd w:fill="2F5233" w:val="clear"/>
            <w:tcMar>
              <w:top w:type="dxa" w:w="80"/>
              <w:left w:type="dxa" w:w="100"/>
              <w:bottom w:type="dxa" w:w="80"/>
              <w:right w:type="dxa" w:w="100"/>
            </w:tcMar>
          </w:tcPr>
          <w:p>
            <w:pPr>
              <w:jc w:val="center"/>
            </w:pPr>
            <w:r>
              <w:rPr>
                <w:b/>
                <w:bCs/>
                <w:color w:val="FFFFFF"/>
                <w:sz w:val="18"/>
                <w:szCs w:val="18"/>
              </w:rPr>
              <w:t xml:space="preserve">States with counties in it</w:t>
            </w:r>
          </w:p>
        </w:tc>
        <w:tc>
          <w:tcPr>
            <w:tcW w:type="dxa" w:w="3450"/>
            <w:tcBorders>
              <w:top w:val="single" w:color="CCCCCC" w:sz="2"/>
              <w:left w:val="single" w:color="CCCCCC" w:sz="2"/>
              <w:bottom w:val="single" w:color="CCCCCC" w:sz="2"/>
              <w:right w:val="single" w:color="CCCCCC" w:sz="2"/>
            </w:tcBorders>
            <w:shd w:fill="2F5233" w:val="clear"/>
            <w:tcMar>
              <w:top w:type="dxa" w:w="80"/>
              <w:left w:type="dxa" w:w="100"/>
              <w:bottom w:type="dxa" w:w="80"/>
              <w:right w:type="dxa" w:w="100"/>
            </w:tcMar>
          </w:tcPr>
          <w:p>
            <w:pPr>
              <w:jc w:val="center"/>
            </w:pPr>
            <w:r>
              <w:rPr>
                <w:b/>
                <w:bCs/>
                <w:color w:val="FFFFFF"/>
                <w:sz w:val="18"/>
                <w:szCs w:val="18"/>
              </w:rPr>
              <w:t xml:space="preserve">Character</w:t>
            </w:r>
          </w:p>
        </w:tc>
      </w:tr>
      <w:tr>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left"/>
            </w:pPr>
            <w:r>
              <w:rPr>
                <w:b w:val="false"/>
                <w:bCs w:val="false"/>
                <w:sz w:val="18"/>
                <w:szCs w:val="18"/>
              </w:rPr>
              <w:t xml:space="preserve">Northern Appalachia</w:t>
            </w:r>
          </w:p>
        </w:tc>
        <w:tc>
          <w:tcPr>
            <w:tcW w:type="dxa" w:w="36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Maryland, New York, Ohio (part), Pennsylvania, West Virginia (4 panhandle counties)</w:t>
            </w:r>
          </w:p>
        </w:tc>
        <w:tc>
          <w:tcPr>
            <w:tcW w:type="dxa" w:w="345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Pittsburgh metro; the region's largest urban center</w:t>
            </w:r>
          </w:p>
        </w:tc>
      </w:tr>
      <w:tr>
        <w:tc>
          <w:tcPr>
            <w:tcW w:type="dxa" w:w="23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left"/>
            </w:pPr>
            <w:r>
              <w:rPr>
                <w:b w:val="false"/>
                <w:bCs w:val="false"/>
                <w:sz w:val="18"/>
                <w:szCs w:val="18"/>
              </w:rPr>
              <w:t xml:space="preserve">North Central Appalachia</w:t>
            </w:r>
          </w:p>
        </w:tc>
        <w:tc>
          <w:tcPr>
            <w:tcW w:type="dxa" w:w="36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Ohio (part), West Virginia (part)</w:t>
            </w:r>
          </w:p>
        </w:tc>
        <w:tc>
          <w:tcPr>
            <w:tcW w:type="dxa" w:w="345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Central Appalachian Ohio and north-central WV</w:t>
            </w:r>
          </w:p>
        </w:tc>
      </w:tr>
      <w:tr>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left"/>
            </w:pPr>
            <w:r>
              <w:rPr>
                <w:b w:val="false"/>
                <w:bCs w:val="false"/>
                <w:sz w:val="18"/>
                <w:szCs w:val="18"/>
              </w:rPr>
              <w:t xml:space="preserve">Central Appalachia</w:t>
            </w:r>
          </w:p>
        </w:tc>
        <w:tc>
          <w:tcPr>
            <w:tcW w:type="dxa" w:w="36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Kentucky, Tennessee (part), Virginia (part), West Virginia (part, incl. southern coal counties)</w:t>
            </w:r>
          </w:p>
        </w:tc>
        <w:tc>
          <w:tcPr>
            <w:tcW w:type="dxa" w:w="345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Historic coalfield core; lowest income, highest poverty</w:t>
            </w:r>
          </w:p>
        </w:tc>
      </w:tr>
      <w:tr>
        <w:tc>
          <w:tcPr>
            <w:tcW w:type="dxa" w:w="23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left"/>
            </w:pPr>
            <w:r>
              <w:rPr>
                <w:b w:val="false"/>
                <w:bCs w:val="false"/>
                <w:sz w:val="18"/>
                <w:szCs w:val="18"/>
              </w:rPr>
              <w:t xml:space="preserve">South Central Appalachia</w:t>
            </w:r>
          </w:p>
        </w:tc>
        <w:tc>
          <w:tcPr>
            <w:tcW w:type="dxa" w:w="36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North Carolina (part), Tennessee (part), Virginia (part)</w:t>
            </w:r>
          </w:p>
        </w:tc>
        <w:tc>
          <w:tcPr>
            <w:tcW w:type="dxa" w:w="345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Blue Ridge / Great Smoky Mountains corridor</w:t>
            </w:r>
          </w:p>
        </w:tc>
      </w:tr>
      <w:tr>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left"/>
            </w:pPr>
            <w:r>
              <w:rPr>
                <w:b w:val="false"/>
                <w:bCs w:val="false"/>
                <w:sz w:val="18"/>
                <w:szCs w:val="18"/>
              </w:rPr>
              <w:t xml:space="preserve">Southern Appalachia</w:t>
            </w:r>
          </w:p>
        </w:tc>
        <w:tc>
          <w:tcPr>
            <w:tcW w:type="dxa" w:w="36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Alabama, Georgia, Mississippi, South Carolina, North Carolina (part), Tennessee (part)</w:t>
            </w:r>
          </w:p>
        </w:tc>
        <w:tc>
          <w:tcPr>
            <w:tcW w:type="dxa" w:w="345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Fastest-growing subregion (+15% since 2010); metro Atlanta suburbs, Chattanooga</w:t>
            </w:r>
          </w:p>
        </w:tc>
      </w:tr>
    </w:tbl>
    <w:p>
      <w:pPr>
        <w:spacing w:after="200" w:before="80"/>
      </w:pPr>
      <w:r>
        <w:rPr>
          <w:i/>
          <w:iCs/>
          <w:color w:val="666666"/>
          <w:sz w:val="18"/>
          <w:szCs w:val="18"/>
        </w:rPr>
        <w:t xml:space="preserve">Note: several states' Appalachian counties are split across more than one subregion (e.g., West Virginia spans Northern, North Central, and Central Appalachia; Tennessee spans Central, South Central, and Southern). ARC does not publish a full state x subregion county crosswalk as a simple table -- the groupings above summarize its subregion maps.</w:t>
      </w:r>
    </w:p>
    <w:p>
      <w:r>
        <w:br w:type="page"/>
      </w:r>
    </w:p>
    <w:p>
      <w:pPr>
        <w:pStyle w:val="Heading1"/>
        <w:spacing w:after="140" w:before="280"/>
      </w:pPr>
      <w:r>
        <w:t xml:space="preserve">3. Core Indicators by Subregion</w:t>
      </w:r>
    </w:p>
    <w:p>
      <w:pPr>
        <w:spacing w:after="160"/>
        <w:jc w:val="both"/>
      </w:pPr>
      <w:r>
        <w:t xml:space="preserve">The table below compares the United States, the Appalachian Region as a whole, and each of its five subregions on six core measures: population, per capita income, median household income, poverty rate, unemployment rate, and bachelor's-degree attainment. Dollar figures are in 2024 dollars; the unemployment rate is for the civilian labor force ages 25-64 (ARC's standard reporting basis); the poverty rate covers all 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2000"/>
            <w:tcBorders>
              <w:top w:val="single" w:color="CCCCCC" w:sz="2"/>
              <w:left w:val="single" w:color="CCCCCC" w:sz="2"/>
              <w:bottom w:val="single" w:color="CCCCCC" w:sz="2"/>
              <w:right w:val="single" w:color="CCCCCC" w:sz="2"/>
            </w:tcBorders>
            <w:shd w:fill="2F5233" w:val="clear"/>
            <w:tcMar>
              <w:top w:type="dxa" w:w="80"/>
              <w:left w:type="dxa" w:w="100"/>
              <w:bottom w:type="dxa" w:w="80"/>
              <w:right w:type="dxa" w:w="100"/>
            </w:tcMar>
          </w:tcPr>
          <w:p>
            <w:pPr>
              <w:jc w:val="center"/>
            </w:pPr>
            <w:r>
              <w:rPr>
                <w:b/>
                <w:bCs/>
                <w:color w:val="FFFFFF"/>
                <w:sz w:val="18"/>
                <w:szCs w:val="18"/>
              </w:rPr>
              <w:t xml:space="preserve">Area</w:t>
            </w:r>
          </w:p>
        </w:tc>
        <w:tc>
          <w:tcPr>
            <w:tcW w:type="dxa" w:w="1500"/>
            <w:tcBorders>
              <w:top w:val="single" w:color="CCCCCC" w:sz="2"/>
              <w:left w:val="single" w:color="CCCCCC" w:sz="2"/>
              <w:bottom w:val="single" w:color="CCCCCC" w:sz="2"/>
              <w:right w:val="single" w:color="CCCCCC" w:sz="2"/>
            </w:tcBorders>
            <w:shd w:fill="2F5233" w:val="clear"/>
            <w:tcMar>
              <w:top w:type="dxa" w:w="80"/>
              <w:left w:type="dxa" w:w="100"/>
              <w:bottom w:type="dxa" w:w="80"/>
              <w:right w:type="dxa" w:w="100"/>
            </w:tcMar>
          </w:tcPr>
          <w:p>
            <w:pPr>
              <w:jc w:val="center"/>
            </w:pPr>
            <w:r>
              <w:rPr>
                <w:b/>
                <w:bCs/>
                <w:color w:val="FFFFFF"/>
                <w:sz w:val="18"/>
                <w:szCs w:val="18"/>
              </w:rPr>
              <w:t xml:space="preserve">Population (2024)</w:t>
            </w:r>
          </w:p>
        </w:tc>
        <w:tc>
          <w:tcPr>
            <w:tcW w:type="dxa" w:w="1250"/>
            <w:tcBorders>
              <w:top w:val="single" w:color="CCCCCC" w:sz="2"/>
              <w:left w:val="single" w:color="CCCCCC" w:sz="2"/>
              <w:bottom w:val="single" w:color="CCCCCC" w:sz="2"/>
              <w:right w:val="single" w:color="CCCCCC" w:sz="2"/>
            </w:tcBorders>
            <w:shd w:fill="2F5233" w:val="clear"/>
            <w:tcMar>
              <w:top w:type="dxa" w:w="80"/>
              <w:left w:type="dxa" w:w="100"/>
              <w:bottom w:type="dxa" w:w="80"/>
              <w:right w:type="dxa" w:w="100"/>
            </w:tcMar>
          </w:tcPr>
          <w:p>
            <w:pPr>
              <w:jc w:val="center"/>
            </w:pPr>
            <w:r>
              <w:rPr>
                <w:b/>
                <w:bCs/>
                <w:color w:val="FFFFFF"/>
                <w:sz w:val="18"/>
                <w:szCs w:val="18"/>
              </w:rPr>
              <w:t xml:space="preserve">Per Capita Income</w:t>
            </w:r>
          </w:p>
        </w:tc>
        <w:tc>
          <w:tcPr>
            <w:tcW w:type="dxa" w:w="1300"/>
            <w:tcBorders>
              <w:top w:val="single" w:color="CCCCCC" w:sz="2"/>
              <w:left w:val="single" w:color="CCCCCC" w:sz="2"/>
              <w:bottom w:val="single" w:color="CCCCCC" w:sz="2"/>
              <w:right w:val="single" w:color="CCCCCC" w:sz="2"/>
            </w:tcBorders>
            <w:shd w:fill="2F5233" w:val="clear"/>
            <w:tcMar>
              <w:top w:type="dxa" w:w="80"/>
              <w:left w:type="dxa" w:w="100"/>
              <w:bottom w:type="dxa" w:w="80"/>
              <w:right w:type="dxa" w:w="100"/>
            </w:tcMar>
          </w:tcPr>
          <w:p>
            <w:pPr>
              <w:jc w:val="center"/>
            </w:pPr>
            <w:r>
              <w:rPr>
                <w:b/>
                <w:bCs/>
                <w:color w:val="FFFFFF"/>
                <w:sz w:val="18"/>
                <w:szCs w:val="18"/>
              </w:rPr>
              <w:t xml:space="preserve">Median HH Income</w:t>
            </w:r>
          </w:p>
        </w:tc>
        <w:tc>
          <w:tcPr>
            <w:tcW w:type="dxa" w:w="1100"/>
            <w:tcBorders>
              <w:top w:val="single" w:color="CCCCCC" w:sz="2"/>
              <w:left w:val="single" w:color="CCCCCC" w:sz="2"/>
              <w:bottom w:val="single" w:color="CCCCCC" w:sz="2"/>
              <w:right w:val="single" w:color="CCCCCC" w:sz="2"/>
            </w:tcBorders>
            <w:shd w:fill="2F5233" w:val="clear"/>
            <w:tcMar>
              <w:top w:type="dxa" w:w="80"/>
              <w:left w:type="dxa" w:w="100"/>
              <w:bottom w:type="dxa" w:w="80"/>
              <w:right w:type="dxa" w:w="100"/>
            </w:tcMar>
          </w:tcPr>
          <w:p>
            <w:pPr>
              <w:jc w:val="center"/>
            </w:pPr>
            <w:r>
              <w:rPr>
                <w:b/>
                <w:bCs/>
                <w:color w:val="FFFFFF"/>
                <w:sz w:val="18"/>
                <w:szCs w:val="18"/>
              </w:rPr>
              <w:t xml:space="preserve">Poverty Rate</w:t>
            </w:r>
          </w:p>
        </w:tc>
        <w:tc>
          <w:tcPr>
            <w:tcW w:type="dxa" w:w="1300"/>
            <w:tcBorders>
              <w:top w:val="single" w:color="CCCCCC" w:sz="2"/>
              <w:left w:val="single" w:color="CCCCCC" w:sz="2"/>
              <w:bottom w:val="single" w:color="CCCCCC" w:sz="2"/>
              <w:right w:val="single" w:color="CCCCCC" w:sz="2"/>
            </w:tcBorders>
            <w:shd w:fill="2F5233" w:val="clear"/>
            <w:tcMar>
              <w:top w:type="dxa" w:w="80"/>
              <w:left w:type="dxa" w:w="100"/>
              <w:bottom w:type="dxa" w:w="80"/>
              <w:right w:type="dxa" w:w="100"/>
            </w:tcMar>
          </w:tcPr>
          <w:p>
            <w:pPr>
              <w:jc w:val="center"/>
            </w:pPr>
            <w:r>
              <w:rPr>
                <w:b/>
                <w:bCs/>
                <w:color w:val="FFFFFF"/>
                <w:sz w:val="18"/>
                <w:szCs w:val="18"/>
              </w:rPr>
              <w:t xml:space="preserve">Unemployment (25-64)</w:t>
            </w:r>
          </w:p>
        </w:tc>
        <w:tc>
          <w:tcPr>
            <w:tcW w:type="dxa" w:w="900"/>
            <w:tcBorders>
              <w:top w:val="single" w:color="CCCCCC" w:sz="2"/>
              <w:left w:val="single" w:color="CCCCCC" w:sz="2"/>
              <w:bottom w:val="single" w:color="CCCCCC" w:sz="2"/>
              <w:right w:val="single" w:color="CCCCCC" w:sz="2"/>
            </w:tcBorders>
            <w:shd w:fill="2F5233" w:val="clear"/>
            <w:tcMar>
              <w:top w:type="dxa" w:w="80"/>
              <w:left w:type="dxa" w:w="100"/>
              <w:bottom w:type="dxa" w:w="80"/>
              <w:right w:type="dxa" w:w="100"/>
            </w:tcMar>
          </w:tcPr>
          <w:p>
            <w:pPr>
              <w:jc w:val="center"/>
            </w:pPr>
            <w:r>
              <w:rPr>
                <w:b/>
                <w:bCs/>
                <w:color w:val="FFFFFF"/>
                <w:sz w:val="18"/>
                <w:szCs w:val="18"/>
              </w:rPr>
              <w:t xml:space="preserve">Bachelor's+ (25-64)</w:t>
            </w:r>
          </w:p>
        </w:tc>
      </w:tr>
      <w:tr>
        <w:tc>
          <w:tcPr>
            <w:tcW w:type="dxa" w:w="2000"/>
            <w:tcBorders>
              <w:top w:val="single" w:color="CCCCCC" w:sz="2"/>
              <w:left w:val="single" w:color="CCCCCC" w:sz="2"/>
              <w:bottom w:val="single" w:color="CCCCCC" w:sz="2"/>
              <w:right w:val="single" w:color="CCCCCC" w:sz="2"/>
            </w:tcBorders>
            <w:shd w:fill="FCE9C6" w:val="clear"/>
            <w:tcMar>
              <w:top w:type="dxa" w:w="60"/>
              <w:left w:type="dxa" w:w="100"/>
              <w:bottom w:type="dxa" w:w="60"/>
              <w:right w:type="dxa" w:w="100"/>
            </w:tcMar>
          </w:tcPr>
          <w:p>
            <w:pPr>
              <w:jc w:val="left"/>
            </w:pPr>
            <w:r>
              <w:rPr>
                <w:b/>
                <w:bCs/>
                <w:sz w:val="18"/>
                <w:szCs w:val="18"/>
              </w:rPr>
              <w:t xml:space="preserve">United States</w:t>
            </w:r>
          </w:p>
        </w:tc>
        <w:tc>
          <w:tcPr>
            <w:tcW w:type="dxa" w:w="1500"/>
            <w:tcBorders>
              <w:top w:val="single" w:color="CCCCCC" w:sz="2"/>
              <w:left w:val="single" w:color="CCCCCC" w:sz="2"/>
              <w:bottom w:val="single" w:color="CCCCCC" w:sz="2"/>
              <w:right w:val="single" w:color="CCCCCC" w:sz="2"/>
            </w:tcBorders>
            <w:shd w:fill="FCE9C6" w:val="clear"/>
            <w:tcMar>
              <w:top w:type="dxa" w:w="60"/>
              <w:left w:type="dxa" w:w="100"/>
              <w:bottom w:type="dxa" w:w="60"/>
              <w:right w:type="dxa" w:w="100"/>
            </w:tcMar>
          </w:tcPr>
          <w:p>
            <w:pPr>
              <w:jc w:val="center"/>
            </w:pPr>
            <w:r>
              <w:rPr>
                <w:b/>
                <w:bCs/>
                <w:sz w:val="18"/>
                <w:szCs w:val="18"/>
              </w:rPr>
              <w:t xml:space="preserve">340,110,988</w:t>
            </w:r>
          </w:p>
        </w:tc>
        <w:tc>
          <w:tcPr>
            <w:tcW w:type="dxa" w:w="1250"/>
            <w:tcBorders>
              <w:top w:val="single" w:color="CCCCCC" w:sz="2"/>
              <w:left w:val="single" w:color="CCCCCC" w:sz="2"/>
              <w:bottom w:val="single" w:color="CCCCCC" w:sz="2"/>
              <w:right w:val="single" w:color="CCCCCC" w:sz="2"/>
            </w:tcBorders>
            <w:shd w:fill="FCE9C6" w:val="clear"/>
            <w:tcMar>
              <w:top w:type="dxa" w:w="60"/>
              <w:left w:type="dxa" w:w="100"/>
              <w:bottom w:type="dxa" w:w="60"/>
              <w:right w:type="dxa" w:w="100"/>
            </w:tcMar>
          </w:tcPr>
          <w:p>
            <w:pPr>
              <w:jc w:val="center"/>
            </w:pPr>
            <w:r>
              <w:rPr>
                <w:b/>
                <w:bCs/>
                <w:sz w:val="18"/>
                <w:szCs w:val="18"/>
              </w:rPr>
              <w:t xml:space="preserve">$44,673</w:t>
            </w:r>
          </w:p>
        </w:tc>
        <w:tc>
          <w:tcPr>
            <w:tcW w:type="dxa" w:w="1300"/>
            <w:tcBorders>
              <w:top w:val="single" w:color="CCCCCC" w:sz="2"/>
              <w:left w:val="single" w:color="CCCCCC" w:sz="2"/>
              <w:bottom w:val="single" w:color="CCCCCC" w:sz="2"/>
              <w:right w:val="single" w:color="CCCCCC" w:sz="2"/>
            </w:tcBorders>
            <w:shd w:fill="FCE9C6" w:val="clear"/>
            <w:tcMar>
              <w:top w:type="dxa" w:w="60"/>
              <w:left w:type="dxa" w:w="100"/>
              <w:bottom w:type="dxa" w:w="60"/>
              <w:right w:type="dxa" w:w="100"/>
            </w:tcMar>
          </w:tcPr>
          <w:p>
            <w:pPr>
              <w:jc w:val="center"/>
            </w:pPr>
            <w:r>
              <w:rPr>
                <w:b/>
                <w:bCs/>
                <w:sz w:val="18"/>
                <w:szCs w:val="18"/>
              </w:rPr>
              <w:t xml:space="preserve">$80,734</w:t>
            </w:r>
          </w:p>
        </w:tc>
        <w:tc>
          <w:tcPr>
            <w:tcW w:type="dxa" w:w="1100"/>
            <w:tcBorders>
              <w:top w:val="single" w:color="CCCCCC" w:sz="2"/>
              <w:left w:val="single" w:color="CCCCCC" w:sz="2"/>
              <w:bottom w:val="single" w:color="CCCCCC" w:sz="2"/>
              <w:right w:val="single" w:color="CCCCCC" w:sz="2"/>
            </w:tcBorders>
            <w:shd w:fill="FCE9C6" w:val="clear"/>
            <w:tcMar>
              <w:top w:type="dxa" w:w="60"/>
              <w:left w:type="dxa" w:w="100"/>
              <w:bottom w:type="dxa" w:w="60"/>
              <w:right w:type="dxa" w:w="100"/>
            </w:tcMar>
          </w:tcPr>
          <w:p>
            <w:pPr>
              <w:jc w:val="center"/>
            </w:pPr>
            <w:r>
              <w:rPr>
                <w:b/>
                <w:bCs/>
                <w:sz w:val="18"/>
                <w:szCs w:val="18"/>
              </w:rPr>
              <w:t xml:space="preserve">12.5%</w:t>
            </w:r>
          </w:p>
        </w:tc>
        <w:tc>
          <w:tcPr>
            <w:tcW w:type="dxa" w:w="1300"/>
            <w:tcBorders>
              <w:top w:val="single" w:color="CCCCCC" w:sz="2"/>
              <w:left w:val="single" w:color="CCCCCC" w:sz="2"/>
              <w:bottom w:val="single" w:color="CCCCCC" w:sz="2"/>
              <w:right w:val="single" w:color="CCCCCC" w:sz="2"/>
            </w:tcBorders>
            <w:shd w:fill="FCE9C6" w:val="clear"/>
            <w:tcMar>
              <w:top w:type="dxa" w:w="60"/>
              <w:left w:type="dxa" w:w="100"/>
              <w:bottom w:type="dxa" w:w="60"/>
              <w:right w:type="dxa" w:w="100"/>
            </w:tcMar>
          </w:tcPr>
          <w:p>
            <w:pPr>
              <w:jc w:val="center"/>
            </w:pPr>
            <w:r>
              <w:rPr>
                <w:b/>
                <w:bCs/>
                <w:sz w:val="18"/>
                <w:szCs w:val="18"/>
              </w:rPr>
              <w:t xml:space="preserve">4.4%</w:t>
            </w:r>
          </w:p>
        </w:tc>
        <w:tc>
          <w:tcPr>
            <w:tcW w:type="dxa" w:w="900"/>
            <w:tcBorders>
              <w:top w:val="single" w:color="CCCCCC" w:sz="2"/>
              <w:left w:val="single" w:color="CCCCCC" w:sz="2"/>
              <w:bottom w:val="single" w:color="CCCCCC" w:sz="2"/>
              <w:right w:val="single" w:color="CCCCCC" w:sz="2"/>
            </w:tcBorders>
            <w:shd w:fill="FCE9C6" w:val="clear"/>
            <w:tcMar>
              <w:top w:type="dxa" w:w="60"/>
              <w:left w:type="dxa" w:w="100"/>
              <w:bottom w:type="dxa" w:w="60"/>
              <w:right w:type="dxa" w:w="100"/>
            </w:tcMar>
          </w:tcPr>
          <w:p>
            <w:pPr>
              <w:jc w:val="center"/>
            </w:pPr>
            <w:r>
              <w:rPr>
                <w:b/>
                <w:bCs/>
                <w:sz w:val="18"/>
                <w:szCs w:val="18"/>
              </w:rPr>
              <w:t xml:space="preserve">35.7%*</w:t>
            </w:r>
          </w:p>
        </w:tc>
      </w:tr>
      <w:tr>
        <w:tc>
          <w:tcPr>
            <w:tcW w:type="dxa" w:w="2000"/>
            <w:tcBorders>
              <w:top w:val="single" w:color="CCCCCC" w:sz="2"/>
              <w:left w:val="single" w:color="CCCCCC" w:sz="2"/>
              <w:bottom w:val="single" w:color="CCCCCC" w:sz="2"/>
              <w:right w:val="single" w:color="CCCCCC" w:sz="2"/>
            </w:tcBorders>
            <w:shd w:fill="D9E6D3" w:val="clear"/>
            <w:tcMar>
              <w:top w:type="dxa" w:w="60"/>
              <w:left w:type="dxa" w:w="100"/>
              <w:bottom w:type="dxa" w:w="60"/>
              <w:right w:type="dxa" w:w="100"/>
            </w:tcMar>
          </w:tcPr>
          <w:p>
            <w:pPr>
              <w:jc w:val="left"/>
            </w:pPr>
            <w:r>
              <w:rPr>
                <w:b/>
                <w:bCs/>
                <w:sz w:val="18"/>
                <w:szCs w:val="18"/>
              </w:rPr>
              <w:t xml:space="preserve">Appalachian Region</w:t>
            </w:r>
          </w:p>
        </w:tc>
        <w:tc>
          <w:tcPr>
            <w:tcW w:type="dxa" w:w="1500"/>
            <w:tcBorders>
              <w:top w:val="single" w:color="CCCCCC" w:sz="2"/>
              <w:left w:val="single" w:color="CCCCCC" w:sz="2"/>
              <w:bottom w:val="single" w:color="CCCCCC" w:sz="2"/>
              <w:right w:val="single" w:color="CCCCCC" w:sz="2"/>
            </w:tcBorders>
            <w:shd w:fill="D9E6D3" w:val="clear"/>
            <w:tcMar>
              <w:top w:type="dxa" w:w="60"/>
              <w:left w:type="dxa" w:w="100"/>
              <w:bottom w:type="dxa" w:w="60"/>
              <w:right w:type="dxa" w:w="100"/>
            </w:tcMar>
          </w:tcPr>
          <w:p>
            <w:pPr>
              <w:jc w:val="center"/>
            </w:pPr>
            <w:r>
              <w:rPr>
                <w:b/>
                <w:bCs/>
                <w:sz w:val="18"/>
                <w:szCs w:val="18"/>
              </w:rPr>
              <w:t xml:space="preserve">26,785,329</w:t>
            </w:r>
          </w:p>
        </w:tc>
        <w:tc>
          <w:tcPr>
            <w:tcW w:type="dxa" w:w="1250"/>
            <w:tcBorders>
              <w:top w:val="single" w:color="CCCCCC" w:sz="2"/>
              <w:left w:val="single" w:color="CCCCCC" w:sz="2"/>
              <w:bottom w:val="single" w:color="CCCCCC" w:sz="2"/>
              <w:right w:val="single" w:color="CCCCCC" w:sz="2"/>
            </w:tcBorders>
            <w:shd w:fill="D9E6D3" w:val="clear"/>
            <w:tcMar>
              <w:top w:type="dxa" w:w="60"/>
              <w:left w:type="dxa" w:w="100"/>
              <w:bottom w:type="dxa" w:w="60"/>
              <w:right w:type="dxa" w:w="100"/>
            </w:tcMar>
          </w:tcPr>
          <w:p>
            <w:pPr>
              <w:jc w:val="center"/>
            </w:pPr>
            <w:r>
              <w:rPr>
                <w:b/>
                <w:bCs/>
                <w:sz w:val="18"/>
                <w:szCs w:val="18"/>
              </w:rPr>
              <w:t xml:space="preserve">$36,770</w:t>
            </w:r>
          </w:p>
        </w:tc>
        <w:tc>
          <w:tcPr>
            <w:tcW w:type="dxa" w:w="1300"/>
            <w:tcBorders>
              <w:top w:val="single" w:color="CCCCCC" w:sz="2"/>
              <w:left w:val="single" w:color="CCCCCC" w:sz="2"/>
              <w:bottom w:val="single" w:color="CCCCCC" w:sz="2"/>
              <w:right w:val="single" w:color="CCCCCC" w:sz="2"/>
            </w:tcBorders>
            <w:shd w:fill="D9E6D3" w:val="clear"/>
            <w:tcMar>
              <w:top w:type="dxa" w:w="60"/>
              <w:left w:type="dxa" w:w="100"/>
              <w:bottom w:type="dxa" w:w="60"/>
              <w:right w:type="dxa" w:w="100"/>
            </w:tcMar>
          </w:tcPr>
          <w:p>
            <w:pPr>
              <w:jc w:val="center"/>
            </w:pPr>
            <w:r>
              <w:rPr>
                <w:b/>
                <w:bCs/>
                <w:sz w:val="18"/>
                <w:szCs w:val="18"/>
              </w:rPr>
              <w:t xml:space="preserve">$66,555</w:t>
            </w:r>
          </w:p>
        </w:tc>
        <w:tc>
          <w:tcPr>
            <w:tcW w:type="dxa" w:w="1100"/>
            <w:tcBorders>
              <w:top w:val="single" w:color="CCCCCC" w:sz="2"/>
              <w:left w:val="single" w:color="CCCCCC" w:sz="2"/>
              <w:bottom w:val="single" w:color="CCCCCC" w:sz="2"/>
              <w:right w:val="single" w:color="CCCCCC" w:sz="2"/>
            </w:tcBorders>
            <w:shd w:fill="D9E6D3" w:val="clear"/>
            <w:tcMar>
              <w:top w:type="dxa" w:w="60"/>
              <w:left w:type="dxa" w:w="100"/>
              <w:bottom w:type="dxa" w:w="60"/>
              <w:right w:type="dxa" w:w="100"/>
            </w:tcMar>
          </w:tcPr>
          <w:p>
            <w:pPr>
              <w:jc w:val="center"/>
            </w:pPr>
            <w:r>
              <w:rPr>
                <w:b/>
                <w:bCs/>
                <w:sz w:val="18"/>
                <w:szCs w:val="18"/>
              </w:rPr>
              <w:t xml:space="preserve">14.3%</w:t>
            </w:r>
          </w:p>
        </w:tc>
        <w:tc>
          <w:tcPr>
            <w:tcW w:type="dxa" w:w="1300"/>
            <w:tcBorders>
              <w:top w:val="single" w:color="CCCCCC" w:sz="2"/>
              <w:left w:val="single" w:color="CCCCCC" w:sz="2"/>
              <w:bottom w:val="single" w:color="CCCCCC" w:sz="2"/>
              <w:right w:val="single" w:color="CCCCCC" w:sz="2"/>
            </w:tcBorders>
            <w:shd w:fill="D9E6D3" w:val="clear"/>
            <w:tcMar>
              <w:top w:type="dxa" w:w="60"/>
              <w:left w:type="dxa" w:w="100"/>
              <w:bottom w:type="dxa" w:w="60"/>
              <w:right w:type="dxa" w:w="100"/>
            </w:tcMar>
          </w:tcPr>
          <w:p>
            <w:pPr>
              <w:jc w:val="center"/>
            </w:pPr>
            <w:r>
              <w:rPr>
                <w:b/>
                <w:bCs/>
                <w:sz w:val="18"/>
                <w:szCs w:val="18"/>
              </w:rPr>
              <w:t xml:space="preserve">4.0%</w:t>
            </w:r>
          </w:p>
        </w:tc>
        <w:tc>
          <w:tcPr>
            <w:tcW w:type="dxa" w:w="900"/>
            <w:tcBorders>
              <w:top w:val="single" w:color="CCCCCC" w:sz="2"/>
              <w:left w:val="single" w:color="CCCCCC" w:sz="2"/>
              <w:bottom w:val="single" w:color="CCCCCC" w:sz="2"/>
              <w:right w:val="single" w:color="CCCCCC" w:sz="2"/>
            </w:tcBorders>
            <w:shd w:fill="D9E6D3" w:val="clear"/>
            <w:tcMar>
              <w:top w:type="dxa" w:w="60"/>
              <w:left w:type="dxa" w:w="100"/>
              <w:bottom w:type="dxa" w:w="60"/>
              <w:right w:type="dxa" w:w="100"/>
            </w:tcMar>
          </w:tcPr>
          <w:p>
            <w:pPr>
              <w:jc w:val="center"/>
            </w:pPr>
            <w:r>
              <w:rPr>
                <w:b/>
                <w:bCs/>
                <w:sz w:val="18"/>
                <w:szCs w:val="18"/>
              </w:rPr>
              <w:t xml:space="preserve">29.5%</w:t>
            </w:r>
          </w:p>
        </w:tc>
      </w:tr>
      <w:tr>
        <w:tc>
          <w:tcPr>
            <w:tcW w:type="dxa" w:w="20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left"/>
            </w:pPr>
            <w:r>
              <w:rPr>
                <w:b w:val="false"/>
                <w:bCs w:val="false"/>
                <w:sz w:val="18"/>
                <w:szCs w:val="18"/>
              </w:rPr>
              <w:t xml:space="preserve">Northern Appalachia</w:t>
            </w:r>
          </w:p>
        </w:tc>
        <w:tc>
          <w:tcPr>
            <w:tcW w:type="dxa" w:w="15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8,022,967</w:t>
            </w:r>
          </w:p>
        </w:tc>
        <w:tc>
          <w:tcPr>
            <w:tcW w:type="dxa" w:w="125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$38,496</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$67,806</w:t>
            </w:r>
          </w:p>
        </w:tc>
        <w:tc>
          <w:tcPr>
            <w:tcW w:type="dxa" w:w="11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13.3%</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4.5%</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n/a</w:t>
            </w:r>
          </w:p>
        </w:tc>
      </w:tr>
      <w:tr>
        <w:tc>
          <w:tcPr>
            <w:tcW w:type="dxa" w:w="20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left"/>
            </w:pPr>
            <w:r>
              <w:rPr>
                <w:b w:val="false"/>
                <w:bCs w:val="false"/>
                <w:sz w:val="18"/>
                <w:szCs w:val="18"/>
              </w:rPr>
              <w:t xml:space="preserve">North Central Appalachia</w:t>
            </w:r>
          </w:p>
        </w:tc>
        <w:tc>
          <w:tcPr>
            <w:tcW w:type="dxa" w:w="15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2,484,901</w:t>
            </w:r>
          </w:p>
        </w:tc>
        <w:tc>
          <w:tcPr>
            <w:tcW w:type="dxa" w:w="125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$34,780</w:t>
            </w:r>
          </w:p>
        </w:tc>
        <w:tc>
          <w:tcPr>
            <w:tcW w:type="dxa" w:w="13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$62,315</w:t>
            </w:r>
          </w:p>
        </w:tc>
        <w:tc>
          <w:tcPr>
            <w:tcW w:type="dxa" w:w="11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15.9%</w:t>
            </w:r>
          </w:p>
        </w:tc>
        <w:tc>
          <w:tcPr>
            <w:tcW w:type="dxa" w:w="13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4.2%</w:t>
            </w:r>
          </w:p>
        </w:tc>
        <w:tc>
          <w:tcPr>
            <w:tcW w:type="dxa" w:w="9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n/a</w:t>
            </w:r>
          </w:p>
        </w:tc>
      </w:tr>
      <w:tr>
        <w:tc>
          <w:tcPr>
            <w:tcW w:type="dxa" w:w="20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left"/>
            </w:pPr>
            <w:r>
              <w:rPr>
                <w:b w:val="false"/>
                <w:bCs w:val="false"/>
                <w:sz w:val="18"/>
                <w:szCs w:val="18"/>
              </w:rPr>
              <w:t xml:space="preserve">Central Appalachia</w:t>
            </w:r>
          </w:p>
        </w:tc>
        <w:tc>
          <w:tcPr>
            <w:tcW w:type="dxa" w:w="15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1,858,312</w:t>
            </w:r>
          </w:p>
        </w:tc>
        <w:tc>
          <w:tcPr>
            <w:tcW w:type="dxa" w:w="125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$27,923</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$50,224</w:t>
            </w:r>
          </w:p>
        </w:tc>
        <w:tc>
          <w:tcPr>
            <w:tcW w:type="dxa" w:w="11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21.2%</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4.8%</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~16.1%</w:t>
            </w:r>
          </w:p>
        </w:tc>
      </w:tr>
      <w:tr>
        <w:tc>
          <w:tcPr>
            <w:tcW w:type="dxa" w:w="20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left"/>
            </w:pPr>
            <w:r>
              <w:rPr>
                <w:b w:val="false"/>
                <w:bCs w:val="false"/>
                <w:sz w:val="18"/>
                <w:szCs w:val="18"/>
              </w:rPr>
              <w:t xml:space="preserve">South Central Appalachia</w:t>
            </w:r>
          </w:p>
        </w:tc>
        <w:tc>
          <w:tcPr>
            <w:tcW w:type="dxa" w:w="15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5,400,620</w:t>
            </w:r>
          </w:p>
        </w:tc>
        <w:tc>
          <w:tcPr>
            <w:tcW w:type="dxa" w:w="125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$36,749</w:t>
            </w:r>
          </w:p>
        </w:tc>
        <w:tc>
          <w:tcPr>
            <w:tcW w:type="dxa" w:w="13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$64,138</w:t>
            </w:r>
          </w:p>
        </w:tc>
        <w:tc>
          <w:tcPr>
            <w:tcW w:type="dxa" w:w="11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14.2%</w:t>
            </w:r>
          </w:p>
        </w:tc>
        <w:tc>
          <w:tcPr>
            <w:tcW w:type="dxa" w:w="13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3.7%</w:t>
            </w:r>
          </w:p>
        </w:tc>
        <w:tc>
          <w:tcPr>
            <w:tcW w:type="dxa" w:w="9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n/a</w:t>
            </w:r>
          </w:p>
        </w:tc>
      </w:tr>
      <w:tr>
        <w:tc>
          <w:tcPr>
            <w:tcW w:type="dxa" w:w="20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left"/>
            </w:pPr>
            <w:r>
              <w:rPr>
                <w:b w:val="false"/>
                <w:bCs w:val="false"/>
                <w:sz w:val="18"/>
                <w:szCs w:val="18"/>
              </w:rPr>
              <w:t xml:space="preserve">Southern Appalachia</w:t>
            </w:r>
          </w:p>
        </w:tc>
        <w:tc>
          <w:tcPr>
            <w:tcW w:type="dxa" w:w="15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9,018,529</w:t>
            </w:r>
          </w:p>
        </w:tc>
        <w:tc>
          <w:tcPr>
            <w:tcW w:type="dxa" w:w="125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$37,633</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$72,365</w:t>
            </w:r>
          </w:p>
        </w:tc>
        <w:tc>
          <w:tcPr>
            <w:tcW w:type="dxa" w:w="11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13.2%</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3.7%</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n/a</w:t>
            </w:r>
          </w:p>
        </w:tc>
      </w:tr>
    </w:tbl>
    <w:p>
      <w:pPr>
        <w:spacing w:after="200" w:before="80"/>
      </w:pPr>
      <w:r>
        <w:rPr>
          <w:i/>
          <w:iCs/>
          <w:color w:val="666666"/>
          <w:sz w:val="18"/>
          <w:szCs w:val="18"/>
        </w:rPr>
        <w:t xml:space="preserve">*U.S. bachelor's+ figure (35.7%) is for ages 25 and over, the standard Census reporting basis; the Appalachian and Central Appalachia figures shown are for ages 25-64, ARC's basis for subregional comparison, so the gap is slightly understated. ARC does not publish bachelor's-degree attainment separately for the other four subregions in an extractable table -- only Central Appalachia's gap from the national average (19.6 percentage points) is stated explicitly in the source Chartbook.</w:t>
      </w:r>
    </w:p>
    <w:p>
      <w:pPr>
        <w:spacing w:after="160"/>
        <w:jc w:val="both"/>
      </w:pPr>
      <w:r>
        <w:t xml:space="preserve">Central Appalachia -- the historic coalfield core, spanning eastern Kentucky, far southwestern Virginia, southern West Virginia, and a handful of Tennessee counties -- lags every other subregion on every measure: the lowest per capita and household income, the highest poverty rate (21.2%, nearly 9 points above the U.S. average), and the lowest college-completion rate. Southern Appalachia, by contrast, has both the highest median household income ($72,365) and the fastest population growth (+15% since 2010, exceeding the national rate).</w:t>
      </w:r>
    </w:p>
    <w:p>
      <w:pPr>
        <w:pStyle w:val="Heading1"/>
        <w:spacing w:after="140" w:before="280"/>
      </w:pPr>
      <w:r>
        <w:t xml:space="preserve">4. Core Indicators by State (Appalachian Portion)</w:t>
      </w:r>
    </w:p>
    <w:p>
      <w:pPr>
        <w:spacing w:after="160"/>
        <w:jc w:val="both"/>
      </w:pPr>
      <w:r>
        <w:t xml:space="preserve">The table below shows the same core measures for the Appalachian portion of each of the 13 states -- that is, figures reflect only each state's ARC-designated counties, not the state as a whole (except West Virginia, which is entirely within the Region).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700"/>
            <w:tcBorders>
              <w:top w:val="single" w:color="CCCCCC" w:sz="2"/>
              <w:left w:val="single" w:color="CCCCCC" w:sz="2"/>
              <w:bottom w:val="single" w:color="CCCCCC" w:sz="2"/>
              <w:right w:val="single" w:color="CCCCCC" w:sz="2"/>
            </w:tcBorders>
            <w:shd w:fill="2F5233" w:val="clear"/>
            <w:tcMar>
              <w:top w:type="dxa" w:w="80"/>
              <w:left w:type="dxa" w:w="100"/>
              <w:bottom w:type="dxa" w:w="80"/>
              <w:right w:type="dxa" w:w="100"/>
            </w:tcMar>
          </w:tcPr>
          <w:p>
            <w:pPr>
              <w:jc w:val="center"/>
            </w:pPr>
            <w:r>
              <w:rPr>
                <w:b/>
                <w:bCs/>
                <w:color w:val="FFFFFF"/>
                <w:sz w:val="18"/>
                <w:szCs w:val="18"/>
              </w:rPr>
              <w:t xml:space="preserve">State</w:t>
            </w:r>
          </w:p>
        </w:tc>
        <w:tc>
          <w:tcPr>
            <w:tcW w:type="dxa" w:w="1000"/>
            <w:tcBorders>
              <w:top w:val="single" w:color="CCCCCC" w:sz="2"/>
              <w:left w:val="single" w:color="CCCCCC" w:sz="2"/>
              <w:bottom w:val="single" w:color="CCCCCC" w:sz="2"/>
              <w:right w:val="single" w:color="CCCCCC" w:sz="2"/>
            </w:tcBorders>
            <w:shd w:fill="2F5233" w:val="clear"/>
            <w:tcMar>
              <w:top w:type="dxa" w:w="80"/>
              <w:left w:type="dxa" w:w="100"/>
              <w:bottom w:type="dxa" w:w="80"/>
              <w:right w:type="dxa" w:w="100"/>
            </w:tcMar>
          </w:tcPr>
          <w:p>
            <w:pPr>
              <w:jc w:val="center"/>
            </w:pPr>
            <w:r>
              <w:rPr>
                <w:b/>
                <w:bCs/>
                <w:color w:val="FFFFFF"/>
                <w:sz w:val="18"/>
                <w:szCs w:val="18"/>
              </w:rPr>
              <w:t xml:space="preserve">ARC Counties</w:t>
            </w:r>
          </w:p>
        </w:tc>
        <w:tc>
          <w:tcPr>
            <w:tcW w:type="dxa" w:w="1550"/>
            <w:tcBorders>
              <w:top w:val="single" w:color="CCCCCC" w:sz="2"/>
              <w:left w:val="single" w:color="CCCCCC" w:sz="2"/>
              <w:bottom w:val="single" w:color="CCCCCC" w:sz="2"/>
              <w:right w:val="single" w:color="CCCCCC" w:sz="2"/>
            </w:tcBorders>
            <w:shd w:fill="2F5233" w:val="clear"/>
            <w:tcMar>
              <w:top w:type="dxa" w:w="80"/>
              <w:left w:type="dxa" w:w="100"/>
              <w:bottom w:type="dxa" w:w="80"/>
              <w:right w:type="dxa" w:w="100"/>
            </w:tcMar>
          </w:tcPr>
          <w:p>
            <w:pPr>
              <w:jc w:val="center"/>
            </w:pPr>
            <w:r>
              <w:rPr>
                <w:b/>
                <w:bCs/>
                <w:color w:val="FFFFFF"/>
                <w:sz w:val="18"/>
                <w:szCs w:val="18"/>
              </w:rPr>
              <w:t xml:space="preserve">Population (2024)</w:t>
            </w:r>
          </w:p>
        </w:tc>
        <w:tc>
          <w:tcPr>
            <w:tcW w:type="dxa" w:w="1300"/>
            <w:tcBorders>
              <w:top w:val="single" w:color="CCCCCC" w:sz="2"/>
              <w:left w:val="single" w:color="CCCCCC" w:sz="2"/>
              <w:bottom w:val="single" w:color="CCCCCC" w:sz="2"/>
              <w:right w:val="single" w:color="CCCCCC" w:sz="2"/>
            </w:tcBorders>
            <w:shd w:fill="2F5233" w:val="clear"/>
            <w:tcMar>
              <w:top w:type="dxa" w:w="80"/>
              <w:left w:type="dxa" w:w="100"/>
              <w:bottom w:type="dxa" w:w="80"/>
              <w:right w:type="dxa" w:w="100"/>
            </w:tcMar>
          </w:tcPr>
          <w:p>
            <w:pPr>
              <w:jc w:val="center"/>
            </w:pPr>
            <w:r>
              <w:rPr>
                <w:b/>
                <w:bCs/>
                <w:color w:val="FFFFFF"/>
                <w:sz w:val="18"/>
                <w:szCs w:val="18"/>
              </w:rPr>
              <w:t xml:space="preserve">Per Capita Income</w:t>
            </w:r>
          </w:p>
        </w:tc>
        <w:tc>
          <w:tcPr>
            <w:tcW w:type="dxa" w:w="1400"/>
            <w:tcBorders>
              <w:top w:val="single" w:color="CCCCCC" w:sz="2"/>
              <w:left w:val="single" w:color="CCCCCC" w:sz="2"/>
              <w:bottom w:val="single" w:color="CCCCCC" w:sz="2"/>
              <w:right w:val="single" w:color="CCCCCC" w:sz="2"/>
            </w:tcBorders>
            <w:shd w:fill="2F5233" w:val="clear"/>
            <w:tcMar>
              <w:top w:type="dxa" w:w="80"/>
              <w:left w:type="dxa" w:w="100"/>
              <w:bottom w:type="dxa" w:w="80"/>
              <w:right w:type="dxa" w:w="100"/>
            </w:tcMar>
          </w:tcPr>
          <w:p>
            <w:pPr>
              <w:jc w:val="center"/>
            </w:pPr>
            <w:r>
              <w:rPr>
                <w:b/>
                <w:bCs/>
                <w:color w:val="FFFFFF"/>
                <w:sz w:val="18"/>
                <w:szCs w:val="18"/>
              </w:rPr>
              <w:t xml:space="preserve">Median HH Income</w:t>
            </w:r>
          </w:p>
        </w:tc>
        <w:tc>
          <w:tcPr>
            <w:tcW w:type="dxa" w:w="1100"/>
            <w:tcBorders>
              <w:top w:val="single" w:color="CCCCCC" w:sz="2"/>
              <w:left w:val="single" w:color="CCCCCC" w:sz="2"/>
              <w:bottom w:val="single" w:color="CCCCCC" w:sz="2"/>
              <w:right w:val="single" w:color="CCCCCC" w:sz="2"/>
            </w:tcBorders>
            <w:shd w:fill="2F5233" w:val="clear"/>
            <w:tcMar>
              <w:top w:type="dxa" w:w="80"/>
              <w:left w:type="dxa" w:w="100"/>
              <w:bottom w:type="dxa" w:w="80"/>
              <w:right w:type="dxa" w:w="100"/>
            </w:tcMar>
          </w:tcPr>
          <w:p>
            <w:pPr>
              <w:jc w:val="center"/>
            </w:pPr>
            <w:r>
              <w:rPr>
                <w:b/>
                <w:bCs/>
                <w:color w:val="FFFFFF"/>
                <w:sz w:val="18"/>
                <w:szCs w:val="18"/>
              </w:rPr>
              <w:t xml:space="preserve">Poverty Rate</w:t>
            </w:r>
          </w:p>
        </w:tc>
        <w:tc>
          <w:tcPr>
            <w:tcW w:type="dxa" w:w="1300"/>
            <w:tcBorders>
              <w:top w:val="single" w:color="CCCCCC" w:sz="2"/>
              <w:left w:val="single" w:color="CCCCCC" w:sz="2"/>
              <w:bottom w:val="single" w:color="CCCCCC" w:sz="2"/>
              <w:right w:val="single" w:color="CCCCCC" w:sz="2"/>
            </w:tcBorders>
            <w:shd w:fill="2F5233" w:val="clear"/>
            <w:tcMar>
              <w:top w:type="dxa" w:w="80"/>
              <w:left w:type="dxa" w:w="100"/>
              <w:bottom w:type="dxa" w:w="80"/>
              <w:right w:type="dxa" w:w="100"/>
            </w:tcMar>
          </w:tcPr>
          <w:p>
            <w:pPr>
              <w:jc w:val="center"/>
            </w:pPr>
            <w:r>
              <w:rPr>
                <w:b/>
                <w:bCs/>
                <w:color w:val="FFFFFF"/>
                <w:sz w:val="18"/>
                <w:szCs w:val="18"/>
              </w:rPr>
              <w:t xml:space="preserve">Unemployment (25-64)</w:t>
            </w:r>
          </w:p>
        </w:tc>
      </w:tr>
      <w:tr>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left"/>
            </w:pPr>
            <w:r>
              <w:rPr>
                <w:b w:val="false"/>
                <w:bCs w:val="false"/>
                <w:sz w:val="18"/>
                <w:szCs w:val="18"/>
              </w:rPr>
              <w:t xml:space="preserve">Alabama</w:t>
            </w:r>
          </w:p>
        </w:tc>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37</w:t>
            </w:r>
          </w:p>
        </w:tc>
        <w:tc>
          <w:tcPr>
            <w:tcW w:type="dxa" w:w="155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3,336,150</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$37,399</w:t>
            </w:r>
          </w:p>
        </w:tc>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$67,578</w:t>
            </w:r>
          </w:p>
        </w:tc>
        <w:tc>
          <w:tcPr>
            <w:tcW w:type="dxa" w:w="11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14.5%</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3.7%</w:t>
            </w:r>
          </w:p>
        </w:tc>
      </w:tr>
      <w:tr>
        <w:tc>
          <w:tcPr>
            <w:tcW w:type="dxa" w:w="17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left"/>
            </w:pPr>
            <w:r>
              <w:rPr>
                <w:b w:val="false"/>
                <w:bCs w:val="false"/>
                <w:sz w:val="18"/>
                <w:szCs w:val="18"/>
              </w:rPr>
              <w:t xml:space="preserve">Georgia</w:t>
            </w:r>
          </w:p>
        </w:tc>
        <w:tc>
          <w:tcPr>
            <w:tcW w:type="dxa" w:w="10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37</w:t>
            </w:r>
          </w:p>
        </w:tc>
        <w:tc>
          <w:tcPr>
            <w:tcW w:type="dxa" w:w="155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3,611,878</w:t>
            </w:r>
          </w:p>
        </w:tc>
        <w:tc>
          <w:tcPr>
            <w:tcW w:type="dxa" w:w="13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$39,142</w:t>
            </w:r>
          </w:p>
        </w:tc>
        <w:tc>
          <w:tcPr>
            <w:tcW w:type="dxa" w:w="14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$84,420</w:t>
            </w:r>
          </w:p>
        </w:tc>
        <w:tc>
          <w:tcPr>
            <w:tcW w:type="dxa" w:w="11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10.8%</w:t>
            </w:r>
          </w:p>
        </w:tc>
        <w:tc>
          <w:tcPr>
            <w:tcW w:type="dxa" w:w="13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3.5%</w:t>
            </w:r>
          </w:p>
        </w:tc>
      </w:tr>
      <w:tr>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left"/>
            </w:pPr>
            <w:r>
              <w:rPr>
                <w:b w:val="false"/>
                <w:bCs w:val="false"/>
                <w:sz w:val="18"/>
                <w:szCs w:val="18"/>
              </w:rPr>
              <w:t xml:space="preserve">Kentucky</w:t>
            </w:r>
          </w:p>
        </w:tc>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54</w:t>
            </w:r>
          </w:p>
        </w:tc>
        <w:tc>
          <w:tcPr>
            <w:tcW w:type="dxa" w:w="155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1,164,897</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$27,328</w:t>
            </w:r>
          </w:p>
        </w:tc>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$49,616</w:t>
            </w:r>
          </w:p>
        </w:tc>
        <w:tc>
          <w:tcPr>
            <w:tcW w:type="dxa" w:w="11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22.4%</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4.9%</w:t>
            </w:r>
          </w:p>
        </w:tc>
      </w:tr>
      <w:tr>
        <w:tc>
          <w:tcPr>
            <w:tcW w:type="dxa" w:w="17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left"/>
            </w:pPr>
            <w:r>
              <w:rPr>
                <w:b w:val="false"/>
                <w:bCs w:val="false"/>
                <w:sz w:val="18"/>
                <w:szCs w:val="18"/>
              </w:rPr>
              <w:t xml:space="preserve">Maryland</w:t>
            </w:r>
          </w:p>
        </w:tc>
        <w:tc>
          <w:tcPr>
            <w:tcW w:type="dxa" w:w="10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3</w:t>
            </w:r>
          </w:p>
        </w:tc>
        <w:tc>
          <w:tcPr>
            <w:tcW w:type="dxa" w:w="155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252,718</w:t>
            </w:r>
          </w:p>
        </w:tc>
        <w:tc>
          <w:tcPr>
            <w:tcW w:type="dxa" w:w="13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$37,430</w:t>
            </w:r>
          </w:p>
        </w:tc>
        <w:tc>
          <w:tcPr>
            <w:tcW w:type="dxa" w:w="14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$70,890</w:t>
            </w:r>
          </w:p>
        </w:tc>
        <w:tc>
          <w:tcPr>
            <w:tcW w:type="dxa" w:w="11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13.4%</w:t>
            </w:r>
          </w:p>
        </w:tc>
        <w:tc>
          <w:tcPr>
            <w:tcW w:type="dxa" w:w="13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3.9%</w:t>
            </w:r>
          </w:p>
        </w:tc>
      </w:tr>
      <w:tr>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left"/>
            </w:pPr>
            <w:r>
              <w:rPr>
                <w:b w:val="false"/>
                <w:bCs w:val="false"/>
                <w:sz w:val="18"/>
                <w:szCs w:val="18"/>
              </w:rPr>
              <w:t xml:space="preserve">Mississippi</w:t>
            </w:r>
          </w:p>
        </w:tc>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24</w:t>
            </w:r>
          </w:p>
        </w:tc>
        <w:tc>
          <w:tcPr>
            <w:tcW w:type="dxa" w:w="155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608,187</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$29,587</w:t>
            </w:r>
          </w:p>
        </w:tc>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$52,343</w:t>
            </w:r>
          </w:p>
        </w:tc>
        <w:tc>
          <w:tcPr>
            <w:tcW w:type="dxa" w:w="11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19.2%</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4.4%</w:t>
            </w:r>
          </w:p>
        </w:tc>
      </w:tr>
      <w:tr>
        <w:tc>
          <w:tcPr>
            <w:tcW w:type="dxa" w:w="17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left"/>
            </w:pPr>
            <w:r>
              <w:rPr>
                <w:b w:val="false"/>
                <w:bCs w:val="false"/>
                <w:sz w:val="18"/>
                <w:szCs w:val="18"/>
              </w:rPr>
              <w:t xml:space="preserve">New York</w:t>
            </w:r>
          </w:p>
        </w:tc>
        <w:tc>
          <w:tcPr>
            <w:tcW w:type="dxa" w:w="10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14</w:t>
            </w:r>
          </w:p>
        </w:tc>
        <w:tc>
          <w:tcPr>
            <w:tcW w:type="dxa" w:w="155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1,013,290</w:t>
            </w:r>
          </w:p>
        </w:tc>
        <w:tc>
          <w:tcPr>
            <w:tcW w:type="dxa" w:w="13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$36,184</w:t>
            </w:r>
          </w:p>
        </w:tc>
        <w:tc>
          <w:tcPr>
            <w:tcW w:type="dxa" w:w="14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$65,329</w:t>
            </w:r>
          </w:p>
        </w:tc>
        <w:tc>
          <w:tcPr>
            <w:tcW w:type="dxa" w:w="11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15.9%</w:t>
            </w:r>
          </w:p>
        </w:tc>
        <w:tc>
          <w:tcPr>
            <w:tcW w:type="dxa" w:w="13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4.8%</w:t>
            </w:r>
          </w:p>
        </w:tc>
      </w:tr>
      <w:tr>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left"/>
            </w:pPr>
            <w:r>
              <w:rPr>
                <w:b w:val="false"/>
                <w:bCs w:val="false"/>
                <w:sz w:val="18"/>
                <w:szCs w:val="18"/>
              </w:rPr>
              <w:t xml:space="preserve">North Carolina</w:t>
            </w:r>
          </w:p>
        </w:tc>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29</w:t>
            </w:r>
          </w:p>
        </w:tc>
        <w:tc>
          <w:tcPr>
            <w:tcW w:type="dxa" w:w="155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2,085,009</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$36,670</w:t>
            </w:r>
          </w:p>
        </w:tc>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$63,274</w:t>
            </w:r>
          </w:p>
        </w:tc>
        <w:tc>
          <w:tcPr>
            <w:tcW w:type="dxa" w:w="11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14.0%</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3.8%</w:t>
            </w:r>
          </w:p>
        </w:tc>
      </w:tr>
      <w:tr>
        <w:tc>
          <w:tcPr>
            <w:tcW w:type="dxa" w:w="17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left"/>
            </w:pPr>
            <w:r>
              <w:rPr>
                <w:b w:val="false"/>
                <w:bCs w:val="false"/>
                <w:sz w:val="18"/>
                <w:szCs w:val="18"/>
              </w:rPr>
              <w:t xml:space="preserve">Ohio</w:t>
            </w:r>
          </w:p>
        </w:tc>
        <w:tc>
          <w:tcPr>
            <w:tcW w:type="dxa" w:w="10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32</w:t>
            </w:r>
          </w:p>
        </w:tc>
        <w:tc>
          <w:tcPr>
            <w:tcW w:type="dxa" w:w="155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1,972,196</w:t>
            </w:r>
          </w:p>
        </w:tc>
        <w:tc>
          <w:tcPr>
            <w:tcW w:type="dxa" w:w="13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$33,602</w:t>
            </w:r>
          </w:p>
        </w:tc>
        <w:tc>
          <w:tcPr>
            <w:tcW w:type="dxa" w:w="14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$61,487</w:t>
            </w:r>
          </w:p>
        </w:tc>
        <w:tc>
          <w:tcPr>
            <w:tcW w:type="dxa" w:w="11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15.9%</w:t>
            </w:r>
          </w:p>
        </w:tc>
        <w:tc>
          <w:tcPr>
            <w:tcW w:type="dxa" w:w="13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4.2%</w:t>
            </w:r>
          </w:p>
        </w:tc>
      </w:tr>
      <w:tr>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left"/>
            </w:pPr>
            <w:r>
              <w:rPr>
                <w:b w:val="false"/>
                <w:bCs w:val="false"/>
                <w:sz w:val="18"/>
                <w:szCs w:val="18"/>
              </w:rPr>
              <w:t xml:space="preserve">Pennsylvania</w:t>
            </w:r>
          </w:p>
        </w:tc>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52</w:t>
            </w:r>
          </w:p>
        </w:tc>
        <w:tc>
          <w:tcPr>
            <w:tcW w:type="dxa" w:w="155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5,666,530</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$40,033</w:t>
            </w:r>
          </w:p>
        </w:tc>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$69,925</w:t>
            </w:r>
          </w:p>
        </w:tc>
        <w:tc>
          <w:tcPr>
            <w:tcW w:type="dxa" w:w="11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12.3%</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4.4%</w:t>
            </w:r>
          </w:p>
        </w:tc>
      </w:tr>
      <w:tr>
        <w:tc>
          <w:tcPr>
            <w:tcW w:type="dxa" w:w="17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left"/>
            </w:pPr>
            <w:r>
              <w:rPr>
                <w:b w:val="false"/>
                <w:bCs w:val="false"/>
                <w:sz w:val="18"/>
                <w:szCs w:val="18"/>
              </w:rPr>
              <w:t xml:space="preserve">South Carolina</w:t>
            </w:r>
          </w:p>
        </w:tc>
        <w:tc>
          <w:tcPr>
            <w:tcW w:type="dxa" w:w="10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6</w:t>
            </w:r>
          </w:p>
        </w:tc>
        <w:tc>
          <w:tcPr>
            <w:tcW w:type="dxa" w:w="155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1,462,314</w:t>
            </w:r>
          </w:p>
        </w:tc>
        <w:tc>
          <w:tcPr>
            <w:tcW w:type="dxa" w:w="13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$37,920</w:t>
            </w:r>
          </w:p>
        </w:tc>
        <w:tc>
          <w:tcPr>
            <w:tcW w:type="dxa" w:w="14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$68,742</w:t>
            </w:r>
          </w:p>
        </w:tc>
        <w:tc>
          <w:tcPr>
            <w:tcW w:type="dxa" w:w="11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13.8%</w:t>
            </w:r>
          </w:p>
        </w:tc>
        <w:tc>
          <w:tcPr>
            <w:tcW w:type="dxa" w:w="13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3.8%</w:t>
            </w:r>
          </w:p>
        </w:tc>
      </w:tr>
      <w:tr>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left"/>
            </w:pPr>
            <w:r>
              <w:rPr>
                <w:b w:val="false"/>
                <w:bCs w:val="false"/>
                <w:sz w:val="18"/>
                <w:szCs w:val="18"/>
              </w:rPr>
              <w:t xml:space="preserve">Tennessee</w:t>
            </w:r>
          </w:p>
        </w:tc>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52</w:t>
            </w:r>
          </w:p>
        </w:tc>
        <w:tc>
          <w:tcPr>
            <w:tcW w:type="dxa" w:w="155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3,114,150</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$36,462</w:t>
            </w:r>
          </w:p>
        </w:tc>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$64,375</w:t>
            </w:r>
          </w:p>
        </w:tc>
        <w:tc>
          <w:tcPr>
            <w:tcW w:type="dxa" w:w="11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14.4%</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3.8%</w:t>
            </w:r>
          </w:p>
        </w:tc>
      </w:tr>
      <w:tr>
        <w:tc>
          <w:tcPr>
            <w:tcW w:type="dxa" w:w="17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left"/>
            </w:pPr>
            <w:r>
              <w:rPr>
                <w:b w:val="false"/>
                <w:bCs w:val="false"/>
                <w:sz w:val="18"/>
                <w:szCs w:val="18"/>
              </w:rPr>
              <w:t xml:space="preserve">Virginia</w:t>
            </w:r>
          </w:p>
        </w:tc>
        <w:tc>
          <w:tcPr>
            <w:tcW w:type="dxa" w:w="10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25</w:t>
            </w:r>
          </w:p>
        </w:tc>
        <w:tc>
          <w:tcPr>
            <w:tcW w:type="dxa" w:w="155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728,031</w:t>
            </w:r>
          </w:p>
        </w:tc>
        <w:tc>
          <w:tcPr>
            <w:tcW w:type="dxa" w:w="13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$33,016</w:t>
            </w:r>
          </w:p>
        </w:tc>
        <w:tc>
          <w:tcPr>
            <w:tcW w:type="dxa" w:w="14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$56,552</w:t>
            </w:r>
          </w:p>
        </w:tc>
        <w:tc>
          <w:tcPr>
            <w:tcW w:type="dxa" w:w="11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17.0%</w:t>
            </w:r>
          </w:p>
        </w:tc>
        <w:tc>
          <w:tcPr>
            <w:tcW w:type="dxa" w:w="13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pPr>
              <w:jc w:val="center"/>
            </w:pPr>
            <w:r>
              <w:rPr>
                <w:b w:val="false"/>
                <w:bCs w:val="false"/>
                <w:sz w:val="18"/>
                <w:szCs w:val="18"/>
              </w:rPr>
              <w:t xml:space="preserve">3.2%</w:t>
            </w:r>
          </w:p>
        </w:tc>
      </w:tr>
      <w:tr>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left"/>
            </w:pPr>
            <w:r>
              <w:rPr>
                <w:b w:val="false"/>
                <w:bCs w:val="false"/>
                <w:sz w:val="18"/>
                <w:szCs w:val="18"/>
              </w:rPr>
              <w:t xml:space="preserve">West Virginia</w:t>
            </w:r>
          </w:p>
        </w:tc>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55</w:t>
            </w:r>
          </w:p>
        </w:tc>
        <w:tc>
          <w:tcPr>
            <w:tcW w:type="dxa" w:w="155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1,769,979</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$34,203</w:t>
            </w:r>
          </w:p>
        </w:tc>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$59,608</w:t>
            </w:r>
          </w:p>
        </w:tc>
        <w:tc>
          <w:tcPr>
            <w:tcW w:type="dxa" w:w="11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16.7%</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pPr>
              <w:jc w:val="center"/>
            </w:pPr>
            <w:r>
              <w:rPr>
                <w:b w:val="false"/>
                <w:bCs w:val="false"/>
                <w:sz w:val="18"/>
                <w:szCs w:val="18"/>
              </w:rPr>
              <w:t xml:space="preserve">4.7%</w:t>
            </w:r>
          </w:p>
        </w:tc>
      </w:tr>
    </w:tbl>
    <w:p>
      <w:pPr>
        <w:spacing w:after="200" w:before="80"/>
      </w:pPr>
      <w:r>
        <w:rPr>
          <w:i/>
          <w:iCs/>
          <w:color w:val="666666"/>
          <w:sz w:val="18"/>
          <w:szCs w:val="18"/>
        </w:rPr>
        <w:t xml:space="preserve">Appalachian Kentucky has both the highest poverty rate (22.4%) and lowest per capita income ($27,328) of any state's Appalachian portion. Appalachian Georgia has the lowest poverty rate (10.8%) and Appalachian Virginia the lowest unemployment rate (3.2%).</w:t>
      </w:r>
    </w:p>
    <w:p>
      <w:pPr>
        <w:pStyle w:val="Heading1"/>
        <w:spacing w:after="140" w:before="280"/>
      </w:pPr>
      <w:r>
        <w:t xml:space="preserve">5. Data Sources &amp; Limitations</w:t>
      </w:r>
    </w:p>
    <w:p>
      <w:pPr>
        <w:pStyle w:val="ListParagraph"/>
        <w:numPr>
          <w:ilvl w:val="0"/>
          <w:numId w:val="1"/>
        </w:numPr>
        <w:spacing w:after="80"/>
      </w:pPr>
      <w:r>
        <w:t xml:space="preserve">Population, income, poverty, and unemployment figures come from ARC &amp; the Population Reference Bureau's "Data Overview from the 2020-2024 American Community Survey" (the Chartbook), released August 20, 2026, which draws on the U.S. Census Bureau's 2020-2024 American Community Survey and Vintage 2024 Population Estimates.</w:t>
      </w:r>
    </w:p>
    <w:p>
      <w:pPr>
        <w:pStyle w:val="ListParagraph"/>
        <w:numPr>
          <w:ilvl w:val="0"/>
          <w:numId w:val="1"/>
        </w:numPr>
        <w:spacing w:after="80"/>
      </w:pPr>
      <w:r>
        <w:t xml:space="preserve">Bachelor's-degree attainment: ARC publishes the region-wide rate (29.5% for ages 25-64) and states that Central Appalachia trails the national average by 19.6 percentage points on this measure, but does not publish the other four subregions' rates, or any state's Appalachian-portion rate, in an extractable table -- only as a map graphic. The accompanying Excel workbook's State Reference tab instead shows each state's entire-state (not Appalachian-portion-only) bachelor's-degree rate from the Census Bureau's 2020-2024 ACS as the best available proxy; Appalachian counties generally attain bachelor's degrees at lower rates than their states as a whole.</w:t>
      </w:r>
    </w:p>
    <w:p>
      <w:pPr>
        <w:pStyle w:val="ListParagraph"/>
        <w:numPr>
          <w:ilvl w:val="0"/>
          <w:numId w:val="1"/>
        </w:numPr>
        <w:spacing w:after="80"/>
      </w:pPr>
      <w:r>
        <w:t xml:space="preserve">"World Bank" and USDA "Foreign Agricultural Service (FAS)" data were not included in this compilation: both cover international statistics (country-level development data and foreign agricultural trade, respectively) and have no series for U.S. counties or the Appalachian Region.</w:t>
      </w:r>
    </w:p>
    <w:p>
      <w:pPr>
        <w:pStyle w:val="ListParagraph"/>
        <w:numPr>
          <w:ilvl w:val="0"/>
          <w:numId w:val="1"/>
        </w:numPr>
        <w:spacing w:after="80"/>
      </w:pPr>
      <w:r>
        <w:t xml:space="preserve">A companion Excel workbook (Appalachia_Data.xlsx) contains this same data in full, organized into an Overview tab, a Subregion Summary tab, a State Reference tab, and one tab per subregion listing the states whose counties fall within it.</w:t>
      </w:r>
    </w:p>
    <w:p>
      <w:pPr>
        <w:spacing w:after="200" w:before="80"/>
      </w:pPr>
      <w:r>
        <w:rPr>
          <w:i/>
          <w:iCs/>
          <w:color w:val="666666"/>
          <w:sz w:val="18"/>
          <w:szCs w:val="18"/>
        </w:rPr>
        <w:t xml:space="preserve">This report presents summary/aggregate data only, at the subregion and state level. County-by-county detail for all 423 counties is published by ARC at arc.gov (Data Report Tool, data.arc.gov) and in the full Chartbook data file, but was not exhaustively reproduced here per the requested scope.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2026-09-16T18:24:04.387Z</dcterms:created>
  <dcterms:modified xsi:type="dcterms:W3CDTF">2026-09-16T18:24:04.394Z</dcterms:modified>
</cp:coreProperties>
</file>

<file path=docProps/custom.xml><?xml version="1.0" encoding="utf-8"?>
<Properties xmlns="http://schemas.openxmlformats.org/officeDocument/2006/custom-properties" xmlns:vt="http://schemas.openxmlformats.org/officeDocument/2006/docPropsVTypes"/>
</file>