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7A2" w:rsidRDefault="004231F5">
      <w:pPr>
        <w:spacing w:after="140"/>
      </w:pPr>
      <w:r>
        <w:rPr>
          <w:rFonts w:ascii="Arial" w:eastAsia="Arial" w:hAnsi="Arial" w:cs="Arial"/>
          <w:b/>
          <w:bCs/>
          <w:caps/>
          <w:color w:val="2E6DA4"/>
          <w:spacing w:val="40"/>
          <w:sz w:val="16"/>
          <w:szCs w:val="16"/>
        </w:rPr>
        <w:t>BEHAVIORAL CASE STUDY — EXECUTIVE BRIEF</w:t>
      </w:r>
    </w:p>
    <w:p w:rsidR="00CD37A2" w:rsidRDefault="004231F5">
      <w:pPr>
        <w:spacing w:after="40"/>
      </w:pPr>
      <w:r>
        <w:rPr>
          <w:rFonts w:ascii="Arial" w:eastAsia="Arial" w:hAnsi="Arial" w:cs="Arial"/>
          <w:b/>
          <w:bCs/>
          <w:color w:val="1E3A5F"/>
          <w:sz w:val="38"/>
          <w:szCs w:val="38"/>
        </w:rPr>
        <w:t>Surface Compliance, Silent Resistance</w:t>
      </w:r>
    </w:p>
    <w:p w:rsidR="00CD37A2" w:rsidRDefault="004231F5">
      <w:pPr>
        <w:spacing w:after="100"/>
      </w:pPr>
      <w:r>
        <w:rPr>
          <w:rFonts w:ascii="Arial" w:eastAsia="Arial" w:hAnsi="Arial" w:cs="Arial"/>
          <w:color w:val="6B6B6B"/>
        </w:rPr>
        <w:t>A Workplace Ethnography: The Control–Trust–Output Loop</w:t>
      </w:r>
    </w:p>
    <w:p w:rsidR="00CD37A2" w:rsidRDefault="004231F5">
      <w:pPr>
        <w:spacing w:after="160"/>
      </w:pPr>
      <w:r>
        <w:rPr>
          <w:rFonts w:ascii="Arial" w:eastAsia="Arial" w:hAnsi="Arial" w:cs="Arial"/>
          <w:b/>
          <w:bCs/>
          <w:color w:val="2A2A2A"/>
          <w:sz w:val="18"/>
          <w:szCs w:val="18"/>
        </w:rPr>
        <w:t>Shikhar Shukla</w:t>
      </w:r>
      <w:r>
        <w:rPr>
          <w:rFonts w:ascii="Arial" w:eastAsia="Arial" w:hAnsi="Arial" w:cs="Arial"/>
          <w:color w:val="6B6B6B"/>
          <w:sz w:val="18"/>
          <w:szCs w:val="18"/>
        </w:rPr>
        <w:t xml:space="preserve">   ·   SDE-1, DevLoops Technologies   ·   </w:t>
      </w:r>
      <w:hyperlink r:id="rId5" w:history="1">
        <w:r>
          <w:rPr>
            <w:rFonts w:ascii="Arial" w:eastAsia="Arial" w:hAnsi="Arial" w:cs="Arial"/>
            <w:color w:val="2E6DA4"/>
            <w:sz w:val="18"/>
            <w:szCs w:val="18"/>
            <w:u w:val="single"/>
          </w:rPr>
          <w:t>shikharshukla.dev</w:t>
        </w:r>
      </w:hyperlink>
    </w:p>
    <w:p w:rsidR="00CD37A2" w:rsidRDefault="00CD37A2">
      <w:pPr>
        <w:pBdr>
          <w:bottom w:val="single" w:sz="8" w:space="1" w:color="2E6DA4"/>
        </w:pBdr>
        <w:spacing w:after="220"/>
      </w:pPr>
    </w:p>
    <w:p w:rsidR="00CD37A2" w:rsidRDefault="004231F5">
      <w:pPr>
        <w:spacing w:after="50"/>
      </w:pPr>
      <w:r>
        <w:rPr>
          <w:rFonts w:ascii="Arial" w:eastAsia="Arial" w:hAnsi="Arial" w:cs="Arial"/>
          <w:b/>
          <w:bCs/>
          <w:caps/>
          <w:color w:val="2E6DA4"/>
          <w:spacing w:val="30"/>
          <w:sz w:val="16"/>
          <w:szCs w:val="16"/>
        </w:rPr>
        <w:t>Research Question</w:t>
      </w:r>
    </w:p>
    <w:p w:rsidR="00CD37A2" w:rsidRDefault="00CD37A2">
      <w:pPr>
        <w:pBdr>
          <w:bottom w:val="single" w:sz="4" w:space="1" w:color="2E6DA4"/>
        </w:pBdr>
        <w:spacing w:after="140"/>
      </w:pPr>
    </w:p>
    <w:p w:rsidR="00CD37A2" w:rsidRDefault="004231F5">
      <w:pPr>
        <w:spacing w:after="200"/>
      </w:pPr>
      <w:r>
        <w:rPr>
          <w:rFonts w:ascii="Arial" w:eastAsia="Arial" w:hAnsi="Arial" w:cs="Arial"/>
          <w:color w:val="2A2A2A"/>
        </w:rPr>
        <w:t>When management introduces control-based policies in response to a perceived productivity problem, what behavioral patterns emerge in the affected team — and what do those patterns reveal about the gap between policy intent and behavioral outcome?</w:t>
      </w:r>
    </w:p>
    <w:p w:rsidR="00CD37A2" w:rsidRDefault="004231F5">
      <w:pPr>
        <w:spacing w:before="260" w:after="50"/>
      </w:pPr>
      <w:r>
        <w:rPr>
          <w:rFonts w:ascii="Arial" w:eastAsia="Arial" w:hAnsi="Arial" w:cs="Arial"/>
          <w:b/>
          <w:bCs/>
          <w:caps/>
          <w:color w:val="2E6DA4"/>
          <w:spacing w:val="30"/>
          <w:sz w:val="16"/>
          <w:szCs w:val="16"/>
        </w:rPr>
        <w:t>Context &amp; Method</w:t>
      </w:r>
    </w:p>
    <w:p w:rsidR="00CD37A2" w:rsidRDefault="00CD37A2">
      <w:pPr>
        <w:pBdr>
          <w:bottom w:val="single" w:sz="4" w:space="1" w:color="2E6DA4"/>
        </w:pBdr>
        <w:spacing w:after="14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CD37A2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</w:rPr>
              <w:t xml:space="preserve">Organization —  </w:t>
            </w:r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Small software development firm, Vadodara, India</w:t>
            </w:r>
          </w:p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</w:rPr>
              <w:t xml:space="preserve">Duration —  </w:t>
            </w:r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6 months of continuous direct observation (Jan–Jun 2026)</w:t>
            </w:r>
          </w:p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</w:rPr>
              <w:t xml:space="preserve">Position —  </w:t>
            </w:r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Insider — active team member, full real-time access to policy rollout and management interactions</w:t>
            </w:r>
          </w:p>
          <w:p w:rsidR="00CD37A2" w:rsidRDefault="004231F5"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</w:rPr>
              <w:t xml:space="preserve">Method —  </w:t>
            </w:r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Ethnographic observation + informal discussion, cross-validated against a cross-team bridge role and an adjacent, differently-managed team as a natural control group.</w:t>
            </w:r>
          </w:p>
        </w:tc>
      </w:tr>
    </w:tbl>
    <w:p w:rsidR="00CD37A2" w:rsidRDefault="00CD37A2">
      <w:pPr>
        <w:spacing w:after="200"/>
      </w:pPr>
    </w:p>
    <w:p w:rsidR="00CD37A2" w:rsidRDefault="004231F5">
      <w:pPr>
        <w:spacing w:before="260" w:after="50"/>
      </w:pPr>
      <w:r>
        <w:rPr>
          <w:rFonts w:ascii="Arial" w:eastAsia="Arial" w:hAnsi="Arial" w:cs="Arial"/>
          <w:b/>
          <w:bCs/>
          <w:caps/>
          <w:color w:val="2E6DA4"/>
          <w:spacing w:val="30"/>
          <w:sz w:val="16"/>
          <w:szCs w:val="16"/>
        </w:rPr>
        <w:t>Key Observations</w:t>
      </w:r>
    </w:p>
    <w:p w:rsidR="00CD37A2" w:rsidRDefault="00CD37A2">
      <w:pPr>
        <w:pBdr>
          <w:bottom w:val="single" w:sz="4" w:space="1" w:color="2E6DA4"/>
        </w:pBdr>
        <w:spacing w:after="14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CD37A2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CD37A2" w:rsidRDefault="004231F5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aps/>
                <w:color w:val="2E6DA4"/>
                <w:spacing w:val="15"/>
                <w:sz w:val="17"/>
                <w:szCs w:val="17"/>
              </w:rPr>
              <w:t>01</w:t>
            </w:r>
          </w:p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The Door</w:t>
            </w:r>
          </w:p>
          <w:p w:rsidR="00CD37A2" w:rsidRDefault="004231F5">
            <w:r>
              <w:rPr>
                <w:rFonts w:ascii="Arial" w:eastAsia="Arial" w:hAnsi="Arial" w:cs="Arial"/>
                <w:color w:val="2A2A2A"/>
                <w:sz w:val="18"/>
                <w:szCs w:val="18"/>
              </w:rPr>
              <w:t>The Team Lead’s office-entry behavior physically mirrored the gap between what was reportable and what was true.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CD37A2" w:rsidRDefault="004231F5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aps/>
                <w:color w:val="2E6DA4"/>
                <w:spacing w:val="15"/>
                <w:sz w:val="17"/>
                <w:szCs w:val="17"/>
              </w:rPr>
              <w:t>02</w:t>
            </w:r>
          </w:p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The Lunch Table</w:t>
            </w:r>
          </w:p>
          <w:p w:rsidR="00CD37A2" w:rsidRDefault="004231F5">
            <w:r>
              <w:rPr>
                <w:rFonts w:ascii="Arial" w:eastAsia="Arial" w:hAnsi="Arial" w:cs="Arial"/>
                <w:color w:val="2A2A2A"/>
                <w:sz w:val="18"/>
                <w:szCs w:val="18"/>
              </w:rPr>
              <w:t>A fragmentation policy was identified and neutralized within a week — and produced tighter cohesion, not division.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CD37A2" w:rsidRDefault="004231F5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aps/>
                <w:color w:val="2E6DA4"/>
                <w:spacing w:val="15"/>
                <w:sz w:val="17"/>
                <w:szCs w:val="17"/>
              </w:rPr>
              <w:t>03</w:t>
            </w:r>
          </w:p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The Parallel Team</w:t>
            </w:r>
          </w:p>
          <w:p w:rsidR="00CD37A2" w:rsidRDefault="004231F5">
            <w:r>
              <w:rPr>
                <w:rFonts w:ascii="Arial" w:eastAsia="Arial" w:hAnsi="Arial" w:cs="Arial"/>
                <w:color w:val="2A2A2A"/>
                <w:sz w:val="18"/>
                <w:szCs w:val="18"/>
              </w:rPr>
              <w:t>An adjacent team under different rules reported zero frustration — isolating the cause to the dev team specifically.</w:t>
            </w:r>
          </w:p>
        </w:tc>
      </w:tr>
    </w:tbl>
    <w:p w:rsidR="00CD37A2" w:rsidRDefault="00CD37A2">
      <w:pPr>
        <w:spacing w:after="220"/>
      </w:pPr>
    </w:p>
    <w:p w:rsidR="00CD37A2" w:rsidRDefault="004231F5">
      <w:pPr>
        <w:spacing w:before="260" w:after="50"/>
      </w:pPr>
      <w:r>
        <w:rPr>
          <w:rFonts w:ascii="Arial" w:eastAsia="Arial" w:hAnsi="Arial" w:cs="Arial"/>
          <w:b/>
          <w:bCs/>
          <w:caps/>
          <w:color w:val="2E6DA4"/>
          <w:spacing w:val="30"/>
          <w:sz w:val="16"/>
          <w:szCs w:val="16"/>
        </w:rPr>
        <w:t>Behavioral Model — The Control–Trust–Output Loop</w:t>
      </w:r>
    </w:p>
    <w:p w:rsidR="00CD37A2" w:rsidRDefault="00CD37A2">
      <w:pPr>
        <w:pBdr>
          <w:bottom w:val="single" w:sz="4" w:space="1" w:color="2E6DA4"/>
        </w:pBdr>
        <w:spacing w:after="14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100"/>
      </w:tblGrid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01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Management perceives an output problem</w:t>
            </w:r>
          </w:p>
        </w:tc>
      </w:tr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02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Assumes the cause is employee behavior</w:t>
            </w:r>
          </w:p>
        </w:tc>
      </w:tr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03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Introduces structural controls (policy)</w:t>
            </w:r>
          </w:p>
        </w:tc>
      </w:tr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04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Employees read controls as a distrust signal</w:t>
            </w:r>
          </w:p>
        </w:tc>
      </w:tr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05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Trust decreases</w:t>
            </w:r>
          </w:p>
        </w:tc>
      </w:tr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06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Discretionary effort decreases</w:t>
            </w:r>
          </w:p>
        </w:tc>
      </w:tr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07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Output decreases further</w:t>
            </w:r>
          </w:p>
        </w:tc>
      </w:tr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08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Management introduces more controls</w:t>
            </w:r>
          </w:p>
        </w:tc>
      </w:tr>
      <w:tr w:rsidR="00CD37A2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CD37A2" w:rsidRDefault="004231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↺</w:t>
            </w:r>
          </w:p>
        </w:tc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b/>
                <w:bCs/>
                <w:i/>
                <w:iCs/>
                <w:color w:val="1E3A5F"/>
                <w:sz w:val="19"/>
                <w:szCs w:val="19"/>
              </w:rPr>
              <w:t>Loop repeats — root cause untouched</w:t>
            </w:r>
          </w:p>
        </w:tc>
      </w:tr>
    </w:tbl>
    <w:p w:rsidR="00CD37A2" w:rsidRDefault="004231F5">
      <w:pPr>
        <w:spacing w:before="160" w:after="100"/>
      </w:pPr>
      <w:r>
        <w:rPr>
          <w:rFonts w:ascii="Arial" w:eastAsia="Arial" w:hAnsi="Arial" w:cs="Arial"/>
          <w:color w:val="2A2A2A"/>
          <w:sz w:val="19"/>
          <w:szCs w:val="19"/>
        </w:rPr>
        <w:t>Self-reinforcing: the fix — more control — produces the symptom it was meant to solve. The root cause, requirement ambiguity and deadline mismanagement, stays untouched through every cycle.</w:t>
      </w:r>
    </w:p>
    <w:p w:rsidR="00CD37A2" w:rsidRDefault="004231F5">
      <w:pPr>
        <w:pageBreakBefore/>
        <w:spacing w:after="50"/>
      </w:pPr>
      <w:r>
        <w:rPr>
          <w:rFonts w:ascii="Arial" w:eastAsia="Arial" w:hAnsi="Arial" w:cs="Arial"/>
          <w:b/>
          <w:bCs/>
          <w:caps/>
          <w:color w:val="2E6DA4"/>
          <w:spacing w:val="30"/>
          <w:sz w:val="16"/>
          <w:szCs w:val="16"/>
        </w:rPr>
        <w:lastRenderedPageBreak/>
        <w:t>Evidence</w:t>
      </w:r>
    </w:p>
    <w:p w:rsidR="00CD37A2" w:rsidRDefault="00CD37A2">
      <w:pPr>
        <w:pBdr>
          <w:bottom w:val="single" w:sz="4" w:space="1" w:color="2E6DA4"/>
        </w:pBdr>
        <w:spacing w:after="140"/>
      </w:pPr>
    </w:p>
    <w:p w:rsidR="00CD37A2" w:rsidRDefault="004231F5">
      <w:pPr>
        <w:spacing w:after="110"/>
        <w:ind w:left="260" w:hanging="180"/>
      </w:pPr>
      <w:r>
        <w:rPr>
          <w:rFonts w:ascii="Arial" w:eastAsia="Arial" w:hAnsi="Arial" w:cs="Arial"/>
          <w:b/>
          <w:bCs/>
          <w:color w:val="2E6DA4"/>
        </w:rPr>
        <w:t xml:space="preserve">— </w:t>
      </w:r>
      <w:r>
        <w:rPr>
          <w:rFonts w:ascii="Arial" w:eastAsia="Arial" w:hAnsi="Arial" w:cs="Arial"/>
          <w:color w:val="2A2A2A"/>
        </w:rPr>
        <w:t xml:space="preserve">Disengagement followed six identifiable phases, triggered by </w:t>
      </w:r>
      <w:r>
        <w:rPr>
          <w:rFonts w:ascii="Arial" w:eastAsia="Arial" w:hAnsi="Arial" w:cs="Arial"/>
          <w:b/>
          <w:bCs/>
          <w:color w:val="1E3A5F"/>
        </w:rPr>
        <w:t>one high-visibility public blame event</w:t>
      </w:r>
      <w:r>
        <w:rPr>
          <w:rFonts w:ascii="Arial" w:eastAsia="Arial" w:hAnsi="Arial" w:cs="Arial"/>
          <w:color w:val="2A2A2A"/>
        </w:rPr>
        <w:t xml:space="preserve"> — not gradual policy accumulation.</w:t>
      </w:r>
    </w:p>
    <w:p w:rsidR="00CD37A2" w:rsidRDefault="004231F5">
      <w:pPr>
        <w:spacing w:after="110"/>
        <w:ind w:left="260" w:hanging="180"/>
      </w:pPr>
      <w:r>
        <w:rPr>
          <w:rFonts w:ascii="Arial" w:eastAsia="Arial" w:hAnsi="Arial" w:cs="Arial"/>
          <w:b/>
          <w:bCs/>
          <w:color w:val="2E6DA4"/>
        </w:rPr>
        <w:t xml:space="preserve">— </w:t>
      </w:r>
      <w:r>
        <w:rPr>
          <w:rFonts w:ascii="Arial" w:eastAsia="Arial" w:hAnsi="Arial" w:cs="Arial"/>
          <w:color w:val="2A2A2A"/>
        </w:rPr>
        <w:t xml:space="preserve">Two managers optimized for </w:t>
      </w:r>
      <w:r>
        <w:rPr>
          <w:rFonts w:ascii="Arial" w:eastAsia="Arial" w:hAnsi="Arial" w:cs="Arial"/>
          <w:b/>
          <w:bCs/>
          <w:color w:val="1E3A5F"/>
        </w:rPr>
        <w:t>incompatible KPIs</w:t>
      </w:r>
      <w:r>
        <w:rPr>
          <w:rFonts w:ascii="Arial" w:eastAsia="Arial" w:hAnsi="Arial" w:cs="Arial"/>
          <w:color w:val="2A2A2A"/>
        </w:rPr>
        <w:t xml:space="preserve"> (delivery/retention vs. client relationship); the dev team absorbed the conflict.</w:t>
      </w:r>
    </w:p>
    <w:p w:rsidR="00CD37A2" w:rsidRDefault="004231F5">
      <w:pPr>
        <w:spacing w:after="110"/>
        <w:ind w:left="260" w:hanging="180"/>
      </w:pPr>
      <w:r>
        <w:rPr>
          <w:rFonts w:ascii="Arial" w:eastAsia="Arial" w:hAnsi="Arial" w:cs="Arial"/>
          <w:b/>
          <w:bCs/>
          <w:color w:val="2E6DA4"/>
        </w:rPr>
        <w:t xml:space="preserve">— </w:t>
      </w:r>
      <w:r>
        <w:rPr>
          <w:rFonts w:ascii="Arial" w:eastAsia="Arial" w:hAnsi="Arial" w:cs="Arial"/>
          <w:color w:val="2A2A2A"/>
        </w:rPr>
        <w:t xml:space="preserve">The divide-and-conquer lunch policy produced </w:t>
      </w:r>
      <w:r>
        <w:rPr>
          <w:rFonts w:ascii="Arial" w:eastAsia="Arial" w:hAnsi="Arial" w:cs="Arial"/>
          <w:b/>
          <w:bCs/>
          <w:color w:val="1E3A5F"/>
        </w:rPr>
        <w:t>measurably tighter team cohesion</w:t>
      </w:r>
      <w:r>
        <w:rPr>
          <w:rFonts w:ascii="Arial" w:eastAsia="Arial" w:hAnsi="Arial" w:cs="Arial"/>
          <w:color w:val="2A2A2A"/>
        </w:rPr>
        <w:t xml:space="preserve"> — a Sherif/Tajfel-consistent result, the opposite of intent.</w:t>
      </w:r>
    </w:p>
    <w:p w:rsidR="00CD37A2" w:rsidRDefault="004231F5">
      <w:pPr>
        <w:spacing w:after="200"/>
        <w:ind w:left="260" w:hanging="180"/>
      </w:pPr>
      <w:r>
        <w:rPr>
          <w:rFonts w:ascii="Arial" w:eastAsia="Arial" w:hAnsi="Arial" w:cs="Arial"/>
          <w:b/>
          <w:bCs/>
          <w:color w:val="2E6DA4"/>
        </w:rPr>
        <w:t xml:space="preserve">— </w:t>
      </w:r>
      <w:r>
        <w:rPr>
          <w:rFonts w:ascii="Arial" w:eastAsia="Arial" w:hAnsi="Arial" w:cs="Arial"/>
          <w:color w:val="2A2A2A"/>
        </w:rPr>
        <w:t xml:space="preserve">The two employees who sustained output did so via </w:t>
      </w:r>
      <w:r>
        <w:rPr>
          <w:rFonts w:ascii="Arial" w:eastAsia="Arial" w:hAnsi="Arial" w:cs="Arial"/>
          <w:b/>
          <w:bCs/>
          <w:color w:val="1E3A5F"/>
        </w:rPr>
        <w:t>external accountability anchors</w:t>
      </w:r>
      <w:r>
        <w:rPr>
          <w:rFonts w:ascii="Arial" w:eastAsia="Arial" w:hAnsi="Arial" w:cs="Arial"/>
          <w:color w:val="2A2A2A"/>
        </w:rPr>
        <w:t>, not trust in management.</w:t>
      </w:r>
    </w:p>
    <w:p w:rsidR="00CD37A2" w:rsidRDefault="004231F5">
      <w:pPr>
        <w:spacing w:before="260" w:after="50"/>
      </w:pPr>
      <w:r>
        <w:rPr>
          <w:rFonts w:ascii="Arial" w:eastAsia="Arial" w:hAnsi="Arial" w:cs="Arial"/>
          <w:b/>
          <w:bCs/>
          <w:caps/>
          <w:color w:val="2E6DA4"/>
          <w:spacing w:val="30"/>
          <w:sz w:val="16"/>
          <w:szCs w:val="16"/>
        </w:rPr>
        <w:t>Hypotheses</w:t>
      </w:r>
    </w:p>
    <w:p w:rsidR="00CD37A2" w:rsidRDefault="00CD37A2">
      <w:pPr>
        <w:pBdr>
          <w:bottom w:val="single" w:sz="4" w:space="1" w:color="2E6DA4"/>
        </w:pBdr>
        <w:spacing w:after="14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900"/>
      </w:tblGrid>
      <w:tr w:rsidR="00CD37A2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b/>
                <w:bCs/>
                <w:color w:val="1E3A5F"/>
              </w:rPr>
              <w:t>H1</w:t>
            </w:r>
          </w:p>
        </w:tc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Control policies ↑ → voluntary overtime ↓ and open job-search signaling ↑ within 30 days.</w:t>
            </w:r>
          </w:p>
        </w:tc>
      </w:tr>
      <w:tr w:rsidR="00CD37A2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b/>
                <w:bCs/>
                <w:color w:val="1E3A5F"/>
              </w:rPr>
              <w:t>H2</w:t>
            </w:r>
          </w:p>
        </w:tc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Policies perceived as selectively targeting one team accelerate that team’s cohesion against management.</w:t>
            </w:r>
          </w:p>
        </w:tc>
      </w:tr>
      <w:tr w:rsidR="00CD37A2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b/>
                <w:bCs/>
                <w:color w:val="1E3A5F"/>
              </w:rPr>
              <w:t>H3</w:t>
            </w:r>
          </w:p>
        </w:tc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:rsidR="00CD37A2" w:rsidRDefault="004231F5">
            <w:r>
              <w:rPr>
                <w:rFonts w:ascii="Arial" w:eastAsia="Arial" w:hAnsi="Arial" w:cs="Arial"/>
                <w:color w:val="2A2A2A"/>
                <w:sz w:val="19"/>
                <w:szCs w:val="19"/>
              </w:rPr>
              <w:t>Deadline accuracy correlates more strongly with requirement clarity than with hours worked or office presence.</w:t>
            </w:r>
          </w:p>
        </w:tc>
      </w:tr>
    </w:tbl>
    <w:p w:rsidR="00CD37A2" w:rsidRDefault="00CD37A2">
      <w:pPr>
        <w:spacing w:after="200"/>
      </w:pPr>
    </w:p>
    <w:p w:rsidR="00CD37A2" w:rsidRDefault="004231F5">
      <w:pPr>
        <w:spacing w:before="260" w:after="50"/>
      </w:pPr>
      <w:r>
        <w:rPr>
          <w:rFonts w:ascii="Arial" w:eastAsia="Arial" w:hAnsi="Arial" w:cs="Arial"/>
          <w:b/>
          <w:bCs/>
          <w:caps/>
          <w:color w:val="2E6DA4"/>
          <w:spacing w:val="30"/>
          <w:sz w:val="16"/>
          <w:szCs w:val="16"/>
        </w:rPr>
        <w:t>Interventions</w:t>
      </w:r>
    </w:p>
    <w:p w:rsidR="00CD37A2" w:rsidRDefault="00CD37A2">
      <w:pPr>
        <w:pBdr>
          <w:bottom w:val="single" w:sz="4" w:space="1" w:color="2E6DA4"/>
        </w:pBdr>
        <w:spacing w:after="14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CD37A2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CD37A2" w:rsidRDefault="004231F5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aps/>
                <w:color w:val="2E6DA4"/>
                <w:spacing w:val="15"/>
                <w:sz w:val="17"/>
                <w:szCs w:val="17"/>
              </w:rPr>
              <w:t>01</w:t>
            </w:r>
          </w:p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Discovery Sprint</w:t>
            </w:r>
          </w:p>
          <w:p w:rsidR="00CD37A2" w:rsidRDefault="004231F5">
            <w:r>
              <w:rPr>
                <w:rFonts w:ascii="Arial" w:eastAsia="Arial" w:hAnsi="Arial" w:cs="Arial"/>
                <w:color w:val="2A2A2A"/>
                <w:sz w:val="18"/>
                <w:szCs w:val="18"/>
              </w:rPr>
              <w:t>Mandatory alignment on written user stories before any code is written — removes requirement ambiguity at the source.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CD37A2" w:rsidRDefault="004231F5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aps/>
                <w:color w:val="2E6DA4"/>
                <w:spacing w:val="15"/>
                <w:sz w:val="17"/>
                <w:szCs w:val="17"/>
              </w:rPr>
              <w:t>02</w:t>
            </w:r>
          </w:p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Developer in the Room</w:t>
            </w:r>
          </w:p>
          <w:p w:rsidR="00CD37A2" w:rsidRDefault="004231F5">
            <w:r>
              <w:rPr>
                <w:rFonts w:ascii="Arial" w:eastAsia="Arial" w:hAnsi="Arial" w:cs="Arial"/>
                <w:color w:val="2A2A2A"/>
                <w:sz w:val="18"/>
                <w:szCs w:val="18"/>
              </w:rPr>
              <w:t>One developer in every client deadline discussion — closes the estimation gap that caused every missed deadline.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CD37A2" w:rsidRDefault="004231F5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aps/>
                <w:color w:val="2E6DA4"/>
                <w:spacing w:val="15"/>
                <w:sz w:val="17"/>
                <w:szCs w:val="17"/>
              </w:rPr>
              <w:t>03</w:t>
            </w:r>
          </w:p>
          <w:p w:rsidR="00CD37A2" w:rsidRDefault="004231F5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E3A5F"/>
              </w:rPr>
              <w:t>Outcome Metrics</w:t>
            </w:r>
          </w:p>
          <w:p w:rsidR="00CD37A2" w:rsidRDefault="004231F5">
            <w:r>
              <w:rPr>
                <w:rFonts w:ascii="Arial" w:eastAsia="Arial" w:hAnsi="Arial" w:cs="Arial"/>
                <w:color w:val="2A2A2A"/>
                <w:sz w:val="18"/>
                <w:szCs w:val="18"/>
              </w:rPr>
              <w:t>Replace presence tracking with features shipped, bug rate, and client satisfaction. Measure what actually matters.</w:t>
            </w:r>
          </w:p>
        </w:tc>
      </w:tr>
    </w:tbl>
    <w:p w:rsidR="00CD37A2" w:rsidRDefault="00CD37A2">
      <w:pPr>
        <w:spacing w:after="220"/>
      </w:pPr>
    </w:p>
    <w:p w:rsidR="00CD37A2" w:rsidRDefault="004231F5">
      <w:pPr>
        <w:spacing w:before="260" w:after="50"/>
      </w:pPr>
      <w:r>
        <w:rPr>
          <w:rFonts w:ascii="Arial" w:eastAsia="Arial" w:hAnsi="Arial" w:cs="Arial"/>
          <w:b/>
          <w:bCs/>
          <w:caps/>
          <w:color w:val="2E6DA4"/>
          <w:spacing w:val="30"/>
          <w:sz w:val="16"/>
          <w:szCs w:val="16"/>
        </w:rPr>
        <w:t>Limitations</w:t>
      </w:r>
    </w:p>
    <w:p w:rsidR="00CD37A2" w:rsidRDefault="00CD37A2">
      <w:pPr>
        <w:pBdr>
          <w:bottom w:val="single" w:sz="4" w:space="1" w:color="2E6DA4"/>
        </w:pBdr>
        <w:spacing w:after="140"/>
      </w:pPr>
    </w:p>
    <w:p w:rsidR="00CD37A2" w:rsidRDefault="004231F5">
      <w:pPr>
        <w:spacing w:after="240"/>
      </w:pPr>
      <w:r>
        <w:rPr>
          <w:rFonts w:ascii="Arial" w:eastAsia="Arial" w:hAnsi="Arial" w:cs="Arial"/>
          <w:color w:val="2A2A2A"/>
          <w:sz w:val="19"/>
          <w:szCs w:val="19"/>
        </w:rPr>
        <w:t>Single site (mitigated by an internal control-group team) · insider bias (mitigated via independent cross-referencing) · no formal interviews (naturalistic method traded for reduced social-desirability bias) · six-month observation window — the loop’s continuation beyond this point was not observed.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CD37A2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80" w:type="dxa"/>
              <w:left w:w="260" w:type="dxa"/>
              <w:bottom w:w="180" w:type="dxa"/>
              <w:right w:w="260" w:type="dxa"/>
            </w:tcMar>
          </w:tcPr>
          <w:p w:rsidR="00CD37A2" w:rsidRDefault="004231F5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aps/>
                <w:color w:val="FFFFFF"/>
                <w:spacing w:val="30"/>
                <w:sz w:val="16"/>
                <w:szCs w:val="16"/>
              </w:rPr>
              <w:t>FULL CASE STUDY →</w:t>
            </w:r>
          </w:p>
          <w:p w:rsidR="00CD37A2" w:rsidRDefault="004231F5" w:rsidP="00BC099B">
            <w:r>
              <w:rPr>
                <w:rFonts w:ascii="Arial" w:eastAsia="Arial" w:hAnsi="Arial" w:cs="Arial"/>
                <w:color w:val="D8E3EE"/>
                <w:sz w:val="18"/>
                <w:szCs w:val="18"/>
              </w:rPr>
              <w:t xml:space="preserve">This brief summarizes an 18-page ethnography — six additional findings, two boundary-case profiles, and a full methods &amp; limitations discussion. Read it at </w:t>
            </w:r>
            <w:hyperlink r:id="rId6" w:history="1">
              <w:r w:rsidR="00BC099B" w:rsidRPr="00BC099B">
                <w:rPr>
                  <w:rStyle w:val="Hyperlink"/>
                  <w:rFonts w:ascii="Arial" w:eastAsia="Arial" w:hAnsi="Arial" w:cs="Arial"/>
                  <w:b/>
                  <w:bCs/>
                  <w:sz w:val="18"/>
                  <w:szCs w:val="18"/>
                </w:rPr>
                <w:t>[Link]</w:t>
              </w:r>
            </w:hyperlink>
          </w:p>
        </w:tc>
      </w:tr>
    </w:tbl>
    <w:p w:rsidR="00BC099B" w:rsidRDefault="00BC099B">
      <w:bookmarkStart w:id="0" w:name="_GoBack"/>
      <w:bookmarkEnd w:id="0"/>
    </w:p>
    <w:sectPr w:rsidR="00BC099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C0CA9"/>
    <w:multiLevelType w:val="hybridMultilevel"/>
    <w:tmpl w:val="A950FB4E"/>
    <w:lvl w:ilvl="0" w:tplc="A5B82266">
      <w:start w:val="1"/>
      <w:numFmt w:val="bullet"/>
      <w:lvlText w:val="●"/>
      <w:lvlJc w:val="left"/>
      <w:pPr>
        <w:ind w:left="720" w:hanging="360"/>
      </w:pPr>
    </w:lvl>
    <w:lvl w:ilvl="1" w:tplc="05CCC37E">
      <w:start w:val="1"/>
      <w:numFmt w:val="bullet"/>
      <w:lvlText w:val="○"/>
      <w:lvlJc w:val="left"/>
      <w:pPr>
        <w:ind w:left="1440" w:hanging="360"/>
      </w:pPr>
    </w:lvl>
    <w:lvl w:ilvl="2" w:tplc="5E1023B8">
      <w:start w:val="1"/>
      <w:numFmt w:val="bullet"/>
      <w:lvlText w:val="■"/>
      <w:lvlJc w:val="left"/>
      <w:pPr>
        <w:ind w:left="2160" w:hanging="360"/>
      </w:pPr>
    </w:lvl>
    <w:lvl w:ilvl="3" w:tplc="CD96B04A">
      <w:start w:val="1"/>
      <w:numFmt w:val="bullet"/>
      <w:lvlText w:val="●"/>
      <w:lvlJc w:val="left"/>
      <w:pPr>
        <w:ind w:left="2880" w:hanging="360"/>
      </w:pPr>
    </w:lvl>
    <w:lvl w:ilvl="4" w:tplc="A7B8A9C2">
      <w:start w:val="1"/>
      <w:numFmt w:val="bullet"/>
      <w:lvlText w:val="○"/>
      <w:lvlJc w:val="left"/>
      <w:pPr>
        <w:ind w:left="3600" w:hanging="360"/>
      </w:pPr>
    </w:lvl>
    <w:lvl w:ilvl="5" w:tplc="15780BDA">
      <w:start w:val="1"/>
      <w:numFmt w:val="bullet"/>
      <w:lvlText w:val="■"/>
      <w:lvlJc w:val="left"/>
      <w:pPr>
        <w:ind w:left="4320" w:hanging="360"/>
      </w:pPr>
    </w:lvl>
    <w:lvl w:ilvl="6" w:tplc="F6A4A2AE">
      <w:start w:val="1"/>
      <w:numFmt w:val="bullet"/>
      <w:lvlText w:val="●"/>
      <w:lvlJc w:val="left"/>
      <w:pPr>
        <w:ind w:left="5040" w:hanging="360"/>
      </w:pPr>
    </w:lvl>
    <w:lvl w:ilvl="7" w:tplc="9652772C">
      <w:start w:val="1"/>
      <w:numFmt w:val="bullet"/>
      <w:lvlText w:val="●"/>
      <w:lvlJc w:val="left"/>
      <w:pPr>
        <w:ind w:left="5760" w:hanging="360"/>
      </w:pPr>
    </w:lvl>
    <w:lvl w:ilvl="8" w:tplc="566008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7A2"/>
    <w:rsid w:val="004231F5"/>
    <w:rsid w:val="00BC099B"/>
    <w:rsid w:val="00CD37A2"/>
    <w:rsid w:val="00E03B60"/>
    <w:rsid w:val="00E2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A2A7"/>
  <w15:docId w15:val="{923B808D-C621-429A-AC3A-731FB678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C09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ZQCCOqf4Nv_Mra81kt2GAYhkefNhMsD_/edit" TargetMode="External"/><Relationship Id="rId5" Type="http://schemas.openxmlformats.org/officeDocument/2006/relationships/hyperlink" Target="https://www.shikharshukla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Shukla</cp:lastModifiedBy>
  <cp:revision>3</cp:revision>
  <dcterms:created xsi:type="dcterms:W3CDTF">2026-08-21T07:18:00Z</dcterms:created>
  <dcterms:modified xsi:type="dcterms:W3CDTF">2026-08-21T07:37:00Z</dcterms:modified>
</cp:coreProperties>
</file>