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3CE3" w:rsidRDefault="00AD42BA">
      <w:pPr>
        <w:spacing w:before="200"/>
      </w:pPr>
      <w:bookmarkStart w:id="0" w:name="_GoBack"/>
      <w:bookmarkEnd w:id="0"/>
      <w:r>
        <w:rPr>
          <w:b/>
          <w:bCs/>
          <w:color w:val="B8863B"/>
          <w:sz w:val="17"/>
          <w:szCs w:val="17"/>
        </w:rPr>
        <w:t>INDEPENDENT UX REVIEW  ·  FIRST-TIME USER ONBOARDING</w:t>
      </w:r>
    </w:p>
    <w:p w:rsidR="00233CE3" w:rsidRDefault="00AD42BA">
      <w:pPr>
        <w:spacing w:before="140"/>
      </w:pPr>
      <w:r>
        <w:rPr>
          <w:rFonts w:ascii="Cambria" w:eastAsia="Cambria" w:hAnsi="Cambria" w:cs="Cambria"/>
          <w:b/>
          <w:bCs/>
          <w:color w:val="142A4C"/>
          <w:sz w:val="52"/>
          <w:szCs w:val="52"/>
        </w:rPr>
        <w:t>Wise India Onboarding Review</w:t>
      </w:r>
    </w:p>
    <w:p w:rsidR="00233CE3" w:rsidRDefault="00AD42BA">
      <w:pPr>
        <w:pBdr>
          <w:bottom w:val="single" w:sz="12" w:space="8" w:color="1F6F73"/>
        </w:pBdr>
        <w:spacing w:before="60" w:after="200"/>
      </w:pPr>
      <w:r>
        <w:rPr>
          <w:rFonts w:ascii="Cambria" w:eastAsia="Cambria" w:hAnsi="Cambria" w:cs="Cambria"/>
          <w:i/>
          <w:iCs/>
          <w:color w:val="1F6F73"/>
          <w:sz w:val="24"/>
          <w:szCs w:val="24"/>
        </w:rPr>
        <w:t>Can an India-based first-time visitor tell whether they can use Wise, and what it will cost?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0E1E38"/>
              <w:left w:val="single" w:sz="2" w:space="0" w:color="0E1E38"/>
              <w:bottom w:val="single" w:sz="2" w:space="0" w:color="0E1E38"/>
              <w:right w:val="single" w:sz="2" w:space="0" w:color="0E1E38"/>
            </w:tcBorders>
            <w:shd w:val="clear" w:color="auto" w:fill="0E1E38"/>
            <w:tcMar>
              <w:top w:w="90" w:type="dxa"/>
              <w:left w:w="130" w:type="dxa"/>
              <w:bottom w:w="90" w:type="dxa"/>
              <w:right w:w="130" w:type="dxa"/>
            </w:tcMar>
            <w:vAlign w:val="center"/>
          </w:tcPr>
          <w:p w:rsidR="00233CE3" w:rsidRDefault="00AD42BA">
            <w:r>
              <w:rPr>
                <w:b/>
                <w:bCs/>
                <w:color w:val="FFFFFF"/>
                <w:sz w:val="17"/>
                <w:szCs w:val="17"/>
              </w:rPr>
              <w:t>BOTTOM LINE</w:t>
            </w:r>
          </w:p>
          <w:p w:rsidR="00233CE3" w:rsidRDefault="00AD42BA">
            <w:pPr>
              <w:spacing w:before="60"/>
            </w:pPr>
            <w:r>
              <w:rPr>
                <w:color w:val="FFFFFF"/>
                <w:sz w:val="20"/>
                <w:szCs w:val="20"/>
              </w:rPr>
              <w:t>The transfer calculator is easy to find and easy to read: in this walkthrough the cost and an arrival estimate were both reached within a few clicks.</w:t>
            </w:r>
          </w:p>
          <w:p w:rsidR="00233CE3" w:rsidRDefault="00AD42BA">
            <w:pPr>
              <w:spacing w:before="60"/>
            </w:pPr>
            <w:r>
              <w:rPr>
                <w:color w:val="FFFFFF"/>
                <w:sz w:val="20"/>
                <w:szCs w:val="20"/>
              </w:rPr>
              <w:t xml:space="preserve">The journey does not resolve whether an India-based visitor is eligible. Selecting “Personal” and “India” </w:t>
            </w:r>
            <w:r>
              <w:rPr>
                <w:color w:val="FFFFFF"/>
                <w:sz w:val="20"/>
                <w:szCs w:val="20"/>
              </w:rPr>
              <w:t xml:space="preserve">during signup returned the form to its previous screen with no message, and the likely explanation was only found through an external search </w:t>
            </w:r>
            <w:r w:rsidR="005B3E67">
              <w:rPr>
                <w:color w:val="FFFFFF"/>
                <w:sz w:val="20"/>
                <w:szCs w:val="20"/>
              </w:rPr>
              <w:t>-</w:t>
            </w:r>
            <w:r>
              <w:rPr>
                <w:color w:val="FFFFFF"/>
                <w:sz w:val="20"/>
                <w:szCs w:val="20"/>
              </w:rPr>
              <w:t xml:space="preserve"> not through Wise.</w:t>
            </w:r>
          </w:p>
        </w:tc>
      </w:tr>
    </w:tbl>
    <w:p w:rsidR="00233CE3" w:rsidRDefault="00233CE3">
      <w:pPr>
        <w:spacing w:after="220"/>
      </w:pPr>
    </w:p>
    <w:p w:rsidR="00233CE3" w:rsidRDefault="00AD42BA">
      <w:pPr>
        <w:spacing w:after="100"/>
      </w:pPr>
      <w:r>
        <w:rPr>
          <w:b/>
          <w:bCs/>
          <w:color w:val="142A4C"/>
          <w:sz w:val="19"/>
          <w:szCs w:val="19"/>
        </w:rPr>
        <w:t>TOP THREE OPPORTUNITIES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7307"/>
        <w:gridCol w:w="1975"/>
      </w:tblGrid>
      <w:tr w:rsidR="00233CE3">
        <w:tblPrEx>
          <w:tblCellMar>
            <w:top w:w="0" w:type="dxa"/>
            <w:bottom w:w="0" w:type="dxa"/>
          </w:tblCellMar>
        </w:tblPrEx>
        <w:tc>
          <w:tcPr>
            <w:tcW w:w="30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sz w:val="19"/>
                <w:szCs w:val="19"/>
              </w:rPr>
              <w:t>1</w:t>
            </w:r>
          </w:p>
        </w:tc>
        <w:tc>
          <w:tcPr>
            <w:tcW w:w="37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20"/>
                <w:szCs w:val="20"/>
              </w:rPr>
              <w:t>Replace the silent signup reset with an explicit explanation</w:t>
            </w:r>
          </w:p>
        </w:tc>
        <w:tc>
          <w:tcPr>
            <w:tcW w:w="1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color w:val="6B7280"/>
                <w:sz w:val="18"/>
                <w:szCs w:val="18"/>
              </w:rPr>
              <w:t>F1 · High</w:t>
            </w:r>
          </w:p>
        </w:tc>
      </w:tr>
      <w:tr w:rsidR="00233CE3">
        <w:tblPrEx>
          <w:tblCellMar>
            <w:top w:w="0" w:type="dxa"/>
            <w:bottom w:w="0" w:type="dxa"/>
          </w:tblCellMar>
        </w:tblPrEx>
        <w:tc>
          <w:tcPr>
            <w:tcW w:w="30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sz w:val="19"/>
                <w:szCs w:val="19"/>
              </w:rPr>
              <w:t>2</w:t>
            </w:r>
          </w:p>
        </w:tc>
        <w:tc>
          <w:tcPr>
            <w:tcW w:w="37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20"/>
                <w:szCs w:val="20"/>
              </w:rPr>
              <w:t>Surface country eligibility before signup begins</w:t>
            </w:r>
          </w:p>
        </w:tc>
        <w:tc>
          <w:tcPr>
            <w:tcW w:w="1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color w:val="6B7280"/>
                <w:sz w:val="18"/>
                <w:szCs w:val="18"/>
              </w:rPr>
              <w:t>F2 · High</w:t>
            </w:r>
          </w:p>
        </w:tc>
      </w:tr>
      <w:tr w:rsidR="00233CE3">
        <w:tblPrEx>
          <w:tblCellMar>
            <w:top w:w="0" w:type="dxa"/>
            <w:bottom w:w="0" w:type="dxa"/>
          </w:tblCellMar>
        </w:tblPrEx>
        <w:tc>
          <w:tcPr>
            <w:tcW w:w="30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sz w:val="19"/>
                <w:szCs w:val="19"/>
              </w:rPr>
              <w:t>3</w:t>
            </w:r>
          </w:p>
        </w:tc>
        <w:tc>
          <w:tcPr>
            <w:tcW w:w="37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20"/>
                <w:szCs w:val="20"/>
              </w:rPr>
              <w:t>Add a reference rate and an explicit time zone to the calculator</w:t>
            </w:r>
          </w:p>
        </w:tc>
        <w:tc>
          <w:tcPr>
            <w:tcW w:w="1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color w:val="6B7280"/>
                <w:sz w:val="18"/>
                <w:szCs w:val="18"/>
              </w:rPr>
              <w:t>F3, F4 · Medium</w:t>
            </w:r>
          </w:p>
        </w:tc>
      </w:tr>
    </w:tbl>
    <w:p w:rsidR="00233CE3" w:rsidRDefault="00233CE3">
      <w:pPr>
        <w:spacing w:after="2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7504"/>
      </w:tblGrid>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Method</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One expert cognitive walkthrough (single evaluator, no participants), desktop Chrome, six decision points, 16 screenshots.</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Scenario</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First-time visitor resident in India, no existing account, using only public pages.</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Evaluator / date</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Shikhar Shukla  ·  16</w:t>
            </w:r>
            <w:r>
              <w:rPr>
                <w:sz w:val="19"/>
                <w:szCs w:val="19"/>
              </w:rPr>
              <w:t xml:space="preserve"> September 2026</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Status</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Independent review, not commissioned by or affiliated with Wise. No account was created and no financial data was entered.</w:t>
            </w:r>
          </w:p>
        </w:tc>
      </w:tr>
    </w:tbl>
    <w:p w:rsidR="00233CE3" w:rsidRDefault="00233CE3">
      <w:pPr>
        <w:spacing w:befor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B8863B"/>
                <w:sz w:val="17"/>
                <w:szCs w:val="17"/>
              </w:rPr>
              <w:t>HOW TO READ THIS DOCUMENT</w:t>
            </w:r>
          </w:p>
          <w:p w:rsidR="00233CE3" w:rsidRDefault="00AD42BA">
            <w:pPr>
              <w:spacing w:before="60"/>
            </w:pPr>
            <w:r>
              <w:rPr>
                <w:sz w:val="20"/>
                <w:szCs w:val="20"/>
              </w:rPr>
              <w:t xml:space="preserve">Sections 1–4 are the report: summary, findings, recommendations, and the proposed validation step </w:t>
            </w:r>
            <w:r w:rsidR="005B3E67">
              <w:rPr>
                <w:sz w:val="20"/>
                <w:szCs w:val="20"/>
              </w:rPr>
              <w:t>-</w:t>
            </w:r>
            <w:r>
              <w:rPr>
                <w:sz w:val="20"/>
                <w:szCs w:val="20"/>
              </w:rPr>
              <w:t xml:space="preserve"> roughly four pages.</w:t>
            </w:r>
          </w:p>
          <w:p w:rsidR="00233CE3" w:rsidRDefault="00AD42BA">
            <w:pPr>
              <w:spacing w:before="60"/>
            </w:pPr>
            <w:r>
              <w:rPr>
                <w:sz w:val="20"/>
                <w:szCs w:val="20"/>
              </w:rPr>
              <w:t>Appendices A and B hold the full method and the step-by-step walkthrough log with all screenshot evidence, for anyone who wants to audit</w:t>
            </w:r>
            <w:r>
              <w:rPr>
                <w:sz w:val="20"/>
                <w:szCs w:val="20"/>
              </w:rPr>
              <w:t xml:space="preserve"> the reasoning.</w:t>
            </w:r>
          </w:p>
        </w:tc>
      </w:tr>
    </w:tbl>
    <w:p w:rsidR="00233CE3" w:rsidRDefault="00AD42BA">
      <w:r>
        <w:br w:type="page"/>
      </w:r>
    </w:p>
    <w:p w:rsidR="00233CE3" w:rsidRDefault="00AD42BA">
      <w:pPr>
        <w:pStyle w:val="Heading1"/>
      </w:pPr>
      <w:bookmarkStart w:id="1" w:name="_Toc240546673"/>
      <w:r>
        <w:lastRenderedPageBreak/>
        <w:t>Contents</w:t>
      </w:r>
      <w:bookmarkEnd w:id="1"/>
    </w:p>
    <w:p w:rsidR="00233CE3" w:rsidRDefault="00AD42BA">
      <w:pPr>
        <w:spacing w:after="180"/>
      </w:pPr>
      <w:r>
        <w:rPr>
          <w:i/>
          <w:iCs/>
          <w:color w:val="9AA3AF"/>
          <w:sz w:val="16"/>
          <w:szCs w:val="16"/>
        </w:rPr>
        <w:t>If this list appears blank, right-click it and choose “Update Field” to generate page numbers.</w:t>
      </w:r>
    </w:p>
    <w:sdt>
      <w:sdtPr>
        <w:alias w:val="Contents"/>
        <w:id w:val="-1045139467"/>
      </w:sdtPr>
      <w:sdtEndPr>
        <w:rPr>
          <w:rFonts w:cs="Calibri"/>
          <w:szCs w:val="21"/>
        </w:rPr>
      </w:sdtEndPr>
      <w:sdtContent>
        <w:p w:rsidR="005B3E67" w:rsidRDefault="00AD42BA">
          <w:pPr>
            <w:pStyle w:val="TOC1"/>
            <w:tabs>
              <w:tab w:val="right" w:leader="dot" w:pos="9870"/>
            </w:tabs>
            <w:rPr>
              <w:noProof/>
            </w:rPr>
          </w:pPr>
          <w:r>
            <w:fldChar w:fldCharType="begin"/>
          </w:r>
          <w:r>
            <w:instrText>TOC \h \o "1-2"</w:instrText>
          </w:r>
          <w:r>
            <w:fldChar w:fldCharType="separate"/>
          </w:r>
          <w:hyperlink w:anchor="_Toc240546673" w:history="1">
            <w:r w:rsidR="005B3E67" w:rsidRPr="00CF4B75">
              <w:rPr>
                <w:rStyle w:val="Hyperlink"/>
                <w:noProof/>
              </w:rPr>
              <w:t>Contents</w:t>
            </w:r>
            <w:r w:rsidR="005B3E67">
              <w:rPr>
                <w:noProof/>
              </w:rPr>
              <w:tab/>
            </w:r>
            <w:r w:rsidR="005B3E67">
              <w:rPr>
                <w:noProof/>
              </w:rPr>
              <w:fldChar w:fldCharType="begin"/>
            </w:r>
            <w:r w:rsidR="005B3E67">
              <w:rPr>
                <w:noProof/>
              </w:rPr>
              <w:instrText xml:space="preserve"> PAGEREF _Toc240546673 \h </w:instrText>
            </w:r>
            <w:r w:rsidR="005B3E67">
              <w:rPr>
                <w:noProof/>
              </w:rPr>
            </w:r>
            <w:r w:rsidR="005B3E67">
              <w:rPr>
                <w:noProof/>
              </w:rPr>
              <w:fldChar w:fldCharType="separate"/>
            </w:r>
            <w:r w:rsidR="005B3E67">
              <w:rPr>
                <w:noProof/>
              </w:rPr>
              <w:t>2</w:t>
            </w:r>
            <w:r w:rsidR="005B3E67">
              <w:rPr>
                <w:noProof/>
              </w:rPr>
              <w:fldChar w:fldCharType="end"/>
            </w:r>
          </w:hyperlink>
        </w:p>
        <w:p w:rsidR="005B3E67" w:rsidRDefault="005B3E67">
          <w:pPr>
            <w:pStyle w:val="TOC1"/>
            <w:tabs>
              <w:tab w:val="right" w:leader="dot" w:pos="9870"/>
            </w:tabs>
            <w:rPr>
              <w:noProof/>
            </w:rPr>
          </w:pPr>
          <w:hyperlink w:anchor="_Toc240546674" w:history="1">
            <w:r w:rsidRPr="00CF4B75">
              <w:rPr>
                <w:rStyle w:val="Hyperlink"/>
                <w:noProof/>
              </w:rPr>
              <w:t>1.  Executive summary</w:t>
            </w:r>
            <w:r>
              <w:rPr>
                <w:noProof/>
              </w:rPr>
              <w:tab/>
            </w:r>
            <w:r>
              <w:rPr>
                <w:noProof/>
              </w:rPr>
              <w:fldChar w:fldCharType="begin"/>
            </w:r>
            <w:r>
              <w:rPr>
                <w:noProof/>
              </w:rPr>
              <w:instrText xml:space="preserve"> PAGEREF _Toc240546674 \h </w:instrText>
            </w:r>
            <w:r>
              <w:rPr>
                <w:noProof/>
              </w:rPr>
            </w:r>
            <w:r>
              <w:rPr>
                <w:noProof/>
              </w:rPr>
              <w:fldChar w:fldCharType="separate"/>
            </w:r>
            <w:r>
              <w:rPr>
                <w:noProof/>
              </w:rPr>
              <w:t>3</w:t>
            </w:r>
            <w:r>
              <w:rPr>
                <w:noProof/>
              </w:rPr>
              <w:fldChar w:fldCharType="end"/>
            </w:r>
          </w:hyperlink>
        </w:p>
        <w:p w:rsidR="005B3E67" w:rsidRDefault="005B3E67">
          <w:pPr>
            <w:pStyle w:val="TOC2"/>
            <w:tabs>
              <w:tab w:val="right" w:leader="dot" w:pos="9870"/>
            </w:tabs>
            <w:rPr>
              <w:noProof/>
            </w:rPr>
          </w:pPr>
          <w:hyperlink w:anchor="_Toc240546675" w:history="1">
            <w:r w:rsidRPr="00CF4B75">
              <w:rPr>
                <w:rStyle w:val="Hyperlink"/>
                <w:noProof/>
              </w:rPr>
              <w:t>Priority findings</w:t>
            </w:r>
            <w:r>
              <w:rPr>
                <w:noProof/>
              </w:rPr>
              <w:tab/>
            </w:r>
            <w:r>
              <w:rPr>
                <w:noProof/>
              </w:rPr>
              <w:fldChar w:fldCharType="begin"/>
            </w:r>
            <w:r>
              <w:rPr>
                <w:noProof/>
              </w:rPr>
              <w:instrText xml:space="preserve"> PAGEREF _Toc240546675 \h </w:instrText>
            </w:r>
            <w:r>
              <w:rPr>
                <w:noProof/>
              </w:rPr>
            </w:r>
            <w:r>
              <w:rPr>
                <w:noProof/>
              </w:rPr>
              <w:fldChar w:fldCharType="separate"/>
            </w:r>
            <w:r>
              <w:rPr>
                <w:noProof/>
              </w:rPr>
              <w:t>3</w:t>
            </w:r>
            <w:r>
              <w:rPr>
                <w:noProof/>
              </w:rPr>
              <w:fldChar w:fldCharType="end"/>
            </w:r>
          </w:hyperlink>
        </w:p>
        <w:p w:rsidR="005B3E67" w:rsidRDefault="005B3E67">
          <w:pPr>
            <w:pStyle w:val="TOC2"/>
            <w:tabs>
              <w:tab w:val="right" w:leader="dot" w:pos="9870"/>
            </w:tabs>
            <w:rPr>
              <w:noProof/>
            </w:rPr>
          </w:pPr>
          <w:hyperlink w:anchor="_Toc240546676" w:history="1">
            <w:r w:rsidRPr="00CF4B75">
              <w:rPr>
                <w:rStyle w:val="Hyperlink"/>
                <w:noProof/>
              </w:rPr>
              <w:t>What worked well</w:t>
            </w:r>
            <w:r>
              <w:rPr>
                <w:noProof/>
              </w:rPr>
              <w:tab/>
            </w:r>
            <w:r>
              <w:rPr>
                <w:noProof/>
              </w:rPr>
              <w:fldChar w:fldCharType="begin"/>
            </w:r>
            <w:r>
              <w:rPr>
                <w:noProof/>
              </w:rPr>
              <w:instrText xml:space="preserve"> PAGEREF _Toc240546676 \h </w:instrText>
            </w:r>
            <w:r>
              <w:rPr>
                <w:noProof/>
              </w:rPr>
            </w:r>
            <w:r>
              <w:rPr>
                <w:noProof/>
              </w:rPr>
              <w:fldChar w:fldCharType="separate"/>
            </w:r>
            <w:r>
              <w:rPr>
                <w:noProof/>
              </w:rPr>
              <w:t>3</w:t>
            </w:r>
            <w:r>
              <w:rPr>
                <w:noProof/>
              </w:rPr>
              <w:fldChar w:fldCharType="end"/>
            </w:r>
          </w:hyperlink>
        </w:p>
        <w:p w:rsidR="005B3E67" w:rsidRDefault="005B3E67">
          <w:pPr>
            <w:pStyle w:val="TOC2"/>
            <w:tabs>
              <w:tab w:val="right" w:leader="dot" w:pos="9870"/>
            </w:tabs>
            <w:rPr>
              <w:noProof/>
            </w:rPr>
          </w:pPr>
          <w:hyperlink w:anchor="_Toc240546677" w:history="1">
            <w:r w:rsidRPr="00CF4B75">
              <w:rPr>
                <w:rStyle w:val="Hyperlink"/>
                <w:noProof/>
              </w:rPr>
              <w:t>Walkthrough at a glance</w:t>
            </w:r>
            <w:r>
              <w:rPr>
                <w:noProof/>
              </w:rPr>
              <w:tab/>
            </w:r>
            <w:r>
              <w:rPr>
                <w:noProof/>
              </w:rPr>
              <w:fldChar w:fldCharType="begin"/>
            </w:r>
            <w:r>
              <w:rPr>
                <w:noProof/>
              </w:rPr>
              <w:instrText xml:space="preserve"> PAGEREF _Toc240546677 \h </w:instrText>
            </w:r>
            <w:r>
              <w:rPr>
                <w:noProof/>
              </w:rPr>
            </w:r>
            <w:r>
              <w:rPr>
                <w:noProof/>
              </w:rPr>
              <w:fldChar w:fldCharType="separate"/>
            </w:r>
            <w:r>
              <w:rPr>
                <w:noProof/>
              </w:rPr>
              <w:t>4</w:t>
            </w:r>
            <w:r>
              <w:rPr>
                <w:noProof/>
              </w:rPr>
              <w:fldChar w:fldCharType="end"/>
            </w:r>
          </w:hyperlink>
        </w:p>
        <w:p w:rsidR="005B3E67" w:rsidRDefault="005B3E67">
          <w:pPr>
            <w:pStyle w:val="TOC2"/>
            <w:tabs>
              <w:tab w:val="right" w:leader="dot" w:pos="9870"/>
            </w:tabs>
            <w:rPr>
              <w:noProof/>
            </w:rPr>
          </w:pPr>
          <w:hyperlink w:anchor="_Toc240546678" w:history="1">
            <w:r w:rsidRPr="00CF4B75">
              <w:rPr>
                <w:rStyle w:val="Hyperlink"/>
                <w:noProof/>
              </w:rPr>
              <w:t>Limitations of this review</w:t>
            </w:r>
            <w:r>
              <w:rPr>
                <w:noProof/>
              </w:rPr>
              <w:tab/>
            </w:r>
            <w:r>
              <w:rPr>
                <w:noProof/>
              </w:rPr>
              <w:fldChar w:fldCharType="begin"/>
            </w:r>
            <w:r>
              <w:rPr>
                <w:noProof/>
              </w:rPr>
              <w:instrText xml:space="preserve"> PAGEREF _Toc240546678 \h </w:instrText>
            </w:r>
            <w:r>
              <w:rPr>
                <w:noProof/>
              </w:rPr>
            </w:r>
            <w:r>
              <w:rPr>
                <w:noProof/>
              </w:rPr>
              <w:fldChar w:fldCharType="separate"/>
            </w:r>
            <w:r>
              <w:rPr>
                <w:noProof/>
              </w:rPr>
              <w:t>4</w:t>
            </w:r>
            <w:r>
              <w:rPr>
                <w:noProof/>
              </w:rPr>
              <w:fldChar w:fldCharType="end"/>
            </w:r>
          </w:hyperlink>
        </w:p>
        <w:p w:rsidR="005B3E67" w:rsidRDefault="005B3E67">
          <w:pPr>
            <w:pStyle w:val="TOC1"/>
            <w:tabs>
              <w:tab w:val="right" w:leader="dot" w:pos="9870"/>
            </w:tabs>
            <w:rPr>
              <w:noProof/>
            </w:rPr>
          </w:pPr>
          <w:hyperlink w:anchor="_Toc240546679" w:history="1">
            <w:r w:rsidRPr="00CF4B75">
              <w:rPr>
                <w:rStyle w:val="Hyperlink"/>
                <w:noProof/>
              </w:rPr>
              <w:t>2.  Findings</w:t>
            </w:r>
            <w:r>
              <w:rPr>
                <w:noProof/>
              </w:rPr>
              <w:tab/>
            </w:r>
            <w:r>
              <w:rPr>
                <w:noProof/>
              </w:rPr>
              <w:fldChar w:fldCharType="begin"/>
            </w:r>
            <w:r>
              <w:rPr>
                <w:noProof/>
              </w:rPr>
              <w:instrText xml:space="preserve"> PAGEREF _Toc240546679 \h </w:instrText>
            </w:r>
            <w:r>
              <w:rPr>
                <w:noProof/>
              </w:rPr>
            </w:r>
            <w:r>
              <w:rPr>
                <w:noProof/>
              </w:rPr>
              <w:fldChar w:fldCharType="separate"/>
            </w:r>
            <w:r>
              <w:rPr>
                <w:noProof/>
              </w:rPr>
              <w:t>5</w:t>
            </w:r>
            <w:r>
              <w:rPr>
                <w:noProof/>
              </w:rPr>
              <w:fldChar w:fldCharType="end"/>
            </w:r>
          </w:hyperlink>
        </w:p>
        <w:p w:rsidR="005B3E67" w:rsidRDefault="005B3E67">
          <w:pPr>
            <w:pStyle w:val="TOC2"/>
            <w:tabs>
              <w:tab w:val="right" w:leader="dot" w:pos="9870"/>
            </w:tabs>
            <w:rPr>
              <w:noProof/>
            </w:rPr>
          </w:pPr>
          <w:hyperlink w:anchor="_Toc240546680" w:history="1">
            <w:r w:rsidRPr="00CF4B75">
              <w:rPr>
                <w:rStyle w:val="Hyperlink"/>
                <w:noProof/>
              </w:rPr>
              <w:t xml:space="preserve">2A. Journey A </w:t>
            </w:r>
            <w:r>
              <w:rPr>
                <w:rStyle w:val="Hyperlink"/>
                <w:noProof/>
              </w:rPr>
              <w:t>-</w:t>
            </w:r>
            <w:r w:rsidRPr="00CF4B75">
              <w:rPr>
                <w:rStyle w:val="Hyperlink"/>
                <w:noProof/>
              </w:rPr>
              <w:t xml:space="preserve"> Can I use Wise, and what will it cost?</w:t>
            </w:r>
            <w:r>
              <w:rPr>
                <w:noProof/>
              </w:rPr>
              <w:tab/>
            </w:r>
            <w:r>
              <w:rPr>
                <w:noProof/>
              </w:rPr>
              <w:fldChar w:fldCharType="begin"/>
            </w:r>
            <w:r>
              <w:rPr>
                <w:noProof/>
              </w:rPr>
              <w:instrText xml:space="preserve"> PAGEREF _Toc240546680 \h </w:instrText>
            </w:r>
            <w:r>
              <w:rPr>
                <w:noProof/>
              </w:rPr>
            </w:r>
            <w:r>
              <w:rPr>
                <w:noProof/>
              </w:rPr>
              <w:fldChar w:fldCharType="separate"/>
            </w:r>
            <w:r>
              <w:rPr>
                <w:noProof/>
              </w:rPr>
              <w:t>5</w:t>
            </w:r>
            <w:r>
              <w:rPr>
                <w:noProof/>
              </w:rPr>
              <w:fldChar w:fldCharType="end"/>
            </w:r>
          </w:hyperlink>
        </w:p>
        <w:p w:rsidR="005B3E67" w:rsidRDefault="005B3E67">
          <w:pPr>
            <w:pStyle w:val="TOC2"/>
            <w:tabs>
              <w:tab w:val="right" w:leader="dot" w:pos="9870"/>
            </w:tabs>
            <w:rPr>
              <w:noProof/>
            </w:rPr>
          </w:pPr>
          <w:hyperlink w:anchor="_Toc240546681" w:history="1">
            <w:r w:rsidRPr="00CF4B75">
              <w:rPr>
                <w:rStyle w:val="Hyperlink"/>
                <w:noProof/>
              </w:rPr>
              <w:t xml:space="preserve">2B. Journey B </w:t>
            </w:r>
            <w:r>
              <w:rPr>
                <w:rStyle w:val="Hyperlink"/>
                <w:noProof/>
              </w:rPr>
              <w:t>-</w:t>
            </w:r>
            <w:r w:rsidRPr="00CF4B75">
              <w:rPr>
                <w:rStyle w:val="Hyperlink"/>
                <w:noProof/>
              </w:rPr>
              <w:t xml:space="preserve"> Can I actually open an account?</w:t>
            </w:r>
            <w:r>
              <w:rPr>
                <w:noProof/>
              </w:rPr>
              <w:tab/>
            </w:r>
            <w:r>
              <w:rPr>
                <w:noProof/>
              </w:rPr>
              <w:fldChar w:fldCharType="begin"/>
            </w:r>
            <w:r>
              <w:rPr>
                <w:noProof/>
              </w:rPr>
              <w:instrText xml:space="preserve"> PAGEREF _Toc240546681 \h </w:instrText>
            </w:r>
            <w:r>
              <w:rPr>
                <w:noProof/>
              </w:rPr>
            </w:r>
            <w:r>
              <w:rPr>
                <w:noProof/>
              </w:rPr>
              <w:fldChar w:fldCharType="separate"/>
            </w:r>
            <w:r>
              <w:rPr>
                <w:noProof/>
              </w:rPr>
              <w:t>6</w:t>
            </w:r>
            <w:r>
              <w:rPr>
                <w:noProof/>
              </w:rPr>
              <w:fldChar w:fldCharType="end"/>
            </w:r>
          </w:hyperlink>
        </w:p>
        <w:p w:rsidR="005B3E67" w:rsidRDefault="005B3E67">
          <w:pPr>
            <w:pStyle w:val="TOC1"/>
            <w:tabs>
              <w:tab w:val="right" w:leader="dot" w:pos="9870"/>
            </w:tabs>
            <w:rPr>
              <w:noProof/>
            </w:rPr>
          </w:pPr>
          <w:hyperlink w:anchor="_Toc240546682" w:history="1">
            <w:r w:rsidRPr="00CF4B75">
              <w:rPr>
                <w:rStyle w:val="Hyperlink"/>
                <w:noProof/>
              </w:rPr>
              <w:t>3.  Recommendations</w:t>
            </w:r>
            <w:r>
              <w:rPr>
                <w:noProof/>
              </w:rPr>
              <w:tab/>
            </w:r>
            <w:r>
              <w:rPr>
                <w:noProof/>
              </w:rPr>
              <w:fldChar w:fldCharType="begin"/>
            </w:r>
            <w:r>
              <w:rPr>
                <w:noProof/>
              </w:rPr>
              <w:instrText xml:space="preserve"> PAGEREF _Toc240546682 \h </w:instrText>
            </w:r>
            <w:r>
              <w:rPr>
                <w:noProof/>
              </w:rPr>
            </w:r>
            <w:r>
              <w:rPr>
                <w:noProof/>
              </w:rPr>
              <w:fldChar w:fldCharType="separate"/>
            </w:r>
            <w:r>
              <w:rPr>
                <w:noProof/>
              </w:rPr>
              <w:t>8</w:t>
            </w:r>
            <w:r>
              <w:rPr>
                <w:noProof/>
              </w:rPr>
              <w:fldChar w:fldCharType="end"/>
            </w:r>
          </w:hyperlink>
        </w:p>
        <w:p w:rsidR="005B3E67" w:rsidRDefault="005B3E67">
          <w:pPr>
            <w:pStyle w:val="TOC1"/>
            <w:tabs>
              <w:tab w:val="right" w:leader="dot" w:pos="9870"/>
            </w:tabs>
            <w:rPr>
              <w:noProof/>
            </w:rPr>
          </w:pPr>
          <w:hyperlink w:anchor="_Toc240546683" w:history="1">
            <w:r w:rsidRPr="00CF4B75">
              <w:rPr>
                <w:rStyle w:val="Hyperlink"/>
                <w:noProof/>
              </w:rPr>
              <w:t>4.  What I would validate with real users</w:t>
            </w:r>
            <w:r>
              <w:rPr>
                <w:noProof/>
              </w:rPr>
              <w:tab/>
            </w:r>
            <w:r>
              <w:rPr>
                <w:noProof/>
              </w:rPr>
              <w:fldChar w:fldCharType="begin"/>
            </w:r>
            <w:r>
              <w:rPr>
                <w:noProof/>
              </w:rPr>
              <w:instrText xml:space="preserve"> PAGEREF _Toc240546683 \h </w:instrText>
            </w:r>
            <w:r>
              <w:rPr>
                <w:noProof/>
              </w:rPr>
            </w:r>
            <w:r>
              <w:rPr>
                <w:noProof/>
              </w:rPr>
              <w:fldChar w:fldCharType="separate"/>
            </w:r>
            <w:r>
              <w:rPr>
                <w:noProof/>
              </w:rPr>
              <w:t>9</w:t>
            </w:r>
            <w:r>
              <w:rPr>
                <w:noProof/>
              </w:rPr>
              <w:fldChar w:fldCharType="end"/>
            </w:r>
          </w:hyperlink>
        </w:p>
        <w:p w:rsidR="005B3E67" w:rsidRDefault="005B3E67">
          <w:pPr>
            <w:pStyle w:val="TOC2"/>
            <w:tabs>
              <w:tab w:val="right" w:leader="dot" w:pos="9870"/>
            </w:tabs>
            <w:rPr>
              <w:noProof/>
            </w:rPr>
          </w:pPr>
          <w:hyperlink w:anchor="_Toc240546684" w:history="1">
            <w:r w:rsidRPr="00CF4B75">
              <w:rPr>
                <w:rStyle w:val="Hyperlink"/>
                <w:noProof/>
              </w:rPr>
              <w:t>Hypotheses</w:t>
            </w:r>
            <w:r>
              <w:rPr>
                <w:noProof/>
              </w:rPr>
              <w:tab/>
            </w:r>
            <w:r>
              <w:rPr>
                <w:noProof/>
              </w:rPr>
              <w:fldChar w:fldCharType="begin"/>
            </w:r>
            <w:r>
              <w:rPr>
                <w:noProof/>
              </w:rPr>
              <w:instrText xml:space="preserve"> PAGEREF _Toc240546684 \h </w:instrText>
            </w:r>
            <w:r>
              <w:rPr>
                <w:noProof/>
              </w:rPr>
            </w:r>
            <w:r>
              <w:rPr>
                <w:noProof/>
              </w:rPr>
              <w:fldChar w:fldCharType="separate"/>
            </w:r>
            <w:r>
              <w:rPr>
                <w:noProof/>
              </w:rPr>
              <w:t>9</w:t>
            </w:r>
            <w:r>
              <w:rPr>
                <w:noProof/>
              </w:rPr>
              <w:fldChar w:fldCharType="end"/>
            </w:r>
          </w:hyperlink>
        </w:p>
        <w:p w:rsidR="005B3E67" w:rsidRDefault="005B3E67">
          <w:pPr>
            <w:pStyle w:val="TOC1"/>
            <w:tabs>
              <w:tab w:val="right" w:leader="dot" w:pos="9870"/>
            </w:tabs>
            <w:rPr>
              <w:noProof/>
            </w:rPr>
          </w:pPr>
          <w:hyperlink w:anchor="_Toc240546685" w:history="1">
            <w:r w:rsidRPr="00CF4B75">
              <w:rPr>
                <w:rStyle w:val="Hyperlink"/>
                <w:noProof/>
              </w:rPr>
              <w:t xml:space="preserve">A.  Appendix A </w:t>
            </w:r>
            <w:r>
              <w:rPr>
                <w:rStyle w:val="Hyperlink"/>
                <w:noProof/>
              </w:rPr>
              <w:t>-</w:t>
            </w:r>
            <w:r w:rsidRPr="00CF4B75">
              <w:rPr>
                <w:rStyle w:val="Hyperlink"/>
                <w:noProof/>
              </w:rPr>
              <w:t xml:space="preserve"> Method, scope, and evaluation assumptions</w:t>
            </w:r>
            <w:r>
              <w:rPr>
                <w:noProof/>
              </w:rPr>
              <w:tab/>
            </w:r>
            <w:r>
              <w:rPr>
                <w:noProof/>
              </w:rPr>
              <w:fldChar w:fldCharType="begin"/>
            </w:r>
            <w:r>
              <w:rPr>
                <w:noProof/>
              </w:rPr>
              <w:instrText xml:space="preserve"> PAGEREF _Toc240546685 \h </w:instrText>
            </w:r>
            <w:r>
              <w:rPr>
                <w:noProof/>
              </w:rPr>
            </w:r>
            <w:r>
              <w:rPr>
                <w:noProof/>
              </w:rPr>
              <w:fldChar w:fldCharType="separate"/>
            </w:r>
            <w:r>
              <w:rPr>
                <w:noProof/>
              </w:rPr>
              <w:t>11</w:t>
            </w:r>
            <w:r>
              <w:rPr>
                <w:noProof/>
              </w:rPr>
              <w:fldChar w:fldCharType="end"/>
            </w:r>
          </w:hyperlink>
        </w:p>
        <w:p w:rsidR="005B3E67" w:rsidRDefault="005B3E67">
          <w:pPr>
            <w:pStyle w:val="TOC2"/>
            <w:tabs>
              <w:tab w:val="right" w:leader="dot" w:pos="9870"/>
            </w:tabs>
            <w:rPr>
              <w:noProof/>
            </w:rPr>
          </w:pPr>
          <w:hyperlink w:anchor="_Toc240546686" w:history="1">
            <w:r w:rsidRPr="00CF4B75">
              <w:rPr>
                <w:rStyle w:val="Hyperlink"/>
                <w:noProof/>
              </w:rPr>
              <w:t>A1. User goal</w:t>
            </w:r>
            <w:r>
              <w:rPr>
                <w:noProof/>
              </w:rPr>
              <w:tab/>
            </w:r>
            <w:r>
              <w:rPr>
                <w:noProof/>
              </w:rPr>
              <w:fldChar w:fldCharType="begin"/>
            </w:r>
            <w:r>
              <w:rPr>
                <w:noProof/>
              </w:rPr>
              <w:instrText xml:space="preserve"> PAGEREF _Toc240546686 \h </w:instrText>
            </w:r>
            <w:r>
              <w:rPr>
                <w:noProof/>
              </w:rPr>
            </w:r>
            <w:r>
              <w:rPr>
                <w:noProof/>
              </w:rPr>
              <w:fldChar w:fldCharType="separate"/>
            </w:r>
            <w:r>
              <w:rPr>
                <w:noProof/>
              </w:rPr>
              <w:t>11</w:t>
            </w:r>
            <w:r>
              <w:rPr>
                <w:noProof/>
              </w:rPr>
              <w:fldChar w:fldCharType="end"/>
            </w:r>
          </w:hyperlink>
        </w:p>
        <w:p w:rsidR="005B3E67" w:rsidRDefault="005B3E67">
          <w:pPr>
            <w:pStyle w:val="TOC2"/>
            <w:tabs>
              <w:tab w:val="right" w:leader="dot" w:pos="9870"/>
            </w:tabs>
            <w:rPr>
              <w:noProof/>
            </w:rPr>
          </w:pPr>
          <w:hyperlink w:anchor="_Toc240546687" w:history="1">
            <w:r w:rsidRPr="00CF4B75">
              <w:rPr>
                <w:rStyle w:val="Hyperlink"/>
                <w:noProof/>
              </w:rPr>
              <w:t>A2. Task scenario</w:t>
            </w:r>
            <w:r>
              <w:rPr>
                <w:noProof/>
              </w:rPr>
              <w:tab/>
            </w:r>
            <w:r>
              <w:rPr>
                <w:noProof/>
              </w:rPr>
              <w:fldChar w:fldCharType="begin"/>
            </w:r>
            <w:r>
              <w:rPr>
                <w:noProof/>
              </w:rPr>
              <w:instrText xml:space="preserve"> PAGEREF _Toc240546687 \h </w:instrText>
            </w:r>
            <w:r>
              <w:rPr>
                <w:noProof/>
              </w:rPr>
            </w:r>
            <w:r>
              <w:rPr>
                <w:noProof/>
              </w:rPr>
              <w:fldChar w:fldCharType="separate"/>
            </w:r>
            <w:r>
              <w:rPr>
                <w:noProof/>
              </w:rPr>
              <w:t>11</w:t>
            </w:r>
            <w:r>
              <w:rPr>
                <w:noProof/>
              </w:rPr>
              <w:fldChar w:fldCharType="end"/>
            </w:r>
          </w:hyperlink>
        </w:p>
        <w:p w:rsidR="005B3E67" w:rsidRDefault="005B3E67">
          <w:pPr>
            <w:pStyle w:val="TOC2"/>
            <w:tabs>
              <w:tab w:val="right" w:leader="dot" w:pos="9870"/>
            </w:tabs>
            <w:rPr>
              <w:noProof/>
            </w:rPr>
          </w:pPr>
          <w:hyperlink w:anchor="_Toc240546688" w:history="1">
            <w:r w:rsidRPr="00CF4B75">
              <w:rPr>
                <w:rStyle w:val="Hyperlink"/>
                <w:noProof/>
              </w:rPr>
              <w:t>A3. Scope and safety</w:t>
            </w:r>
            <w:r>
              <w:rPr>
                <w:noProof/>
              </w:rPr>
              <w:tab/>
            </w:r>
            <w:r>
              <w:rPr>
                <w:noProof/>
              </w:rPr>
              <w:fldChar w:fldCharType="begin"/>
            </w:r>
            <w:r>
              <w:rPr>
                <w:noProof/>
              </w:rPr>
              <w:instrText xml:space="preserve"> PAGEREF _Toc240546688 \h </w:instrText>
            </w:r>
            <w:r>
              <w:rPr>
                <w:noProof/>
              </w:rPr>
            </w:r>
            <w:r>
              <w:rPr>
                <w:noProof/>
              </w:rPr>
              <w:fldChar w:fldCharType="separate"/>
            </w:r>
            <w:r>
              <w:rPr>
                <w:noProof/>
              </w:rPr>
              <w:t>11</w:t>
            </w:r>
            <w:r>
              <w:rPr>
                <w:noProof/>
              </w:rPr>
              <w:fldChar w:fldCharType="end"/>
            </w:r>
          </w:hyperlink>
        </w:p>
        <w:p w:rsidR="005B3E67" w:rsidRDefault="005B3E67">
          <w:pPr>
            <w:pStyle w:val="TOC2"/>
            <w:tabs>
              <w:tab w:val="right" w:leader="dot" w:pos="9870"/>
            </w:tabs>
            <w:rPr>
              <w:noProof/>
            </w:rPr>
          </w:pPr>
          <w:hyperlink w:anchor="_Toc240546689" w:history="1">
            <w:r w:rsidRPr="00CF4B75">
              <w:rPr>
                <w:rStyle w:val="Hyperlink"/>
                <w:noProof/>
              </w:rPr>
              <w:t>A4. Expected path</w:t>
            </w:r>
            <w:r>
              <w:rPr>
                <w:noProof/>
              </w:rPr>
              <w:tab/>
            </w:r>
            <w:r>
              <w:rPr>
                <w:noProof/>
              </w:rPr>
              <w:fldChar w:fldCharType="begin"/>
            </w:r>
            <w:r>
              <w:rPr>
                <w:noProof/>
              </w:rPr>
              <w:instrText xml:space="preserve"> PAGEREF _Toc240546689 \h </w:instrText>
            </w:r>
            <w:r>
              <w:rPr>
                <w:noProof/>
              </w:rPr>
            </w:r>
            <w:r>
              <w:rPr>
                <w:noProof/>
              </w:rPr>
              <w:fldChar w:fldCharType="separate"/>
            </w:r>
            <w:r>
              <w:rPr>
                <w:noProof/>
              </w:rPr>
              <w:t>11</w:t>
            </w:r>
            <w:r>
              <w:rPr>
                <w:noProof/>
              </w:rPr>
              <w:fldChar w:fldCharType="end"/>
            </w:r>
          </w:hyperlink>
        </w:p>
        <w:p w:rsidR="005B3E67" w:rsidRDefault="005B3E67">
          <w:pPr>
            <w:pStyle w:val="TOC2"/>
            <w:tabs>
              <w:tab w:val="right" w:leader="dot" w:pos="9870"/>
            </w:tabs>
            <w:rPr>
              <w:noProof/>
            </w:rPr>
          </w:pPr>
          <w:hyperlink w:anchor="_Toc240546690" w:history="1">
            <w:r w:rsidRPr="00CF4B75">
              <w:rPr>
                <w:rStyle w:val="Hyperlink"/>
                <w:noProof/>
              </w:rPr>
              <w:t>A5. Success criteria</w:t>
            </w:r>
            <w:r>
              <w:rPr>
                <w:noProof/>
              </w:rPr>
              <w:tab/>
            </w:r>
            <w:r>
              <w:rPr>
                <w:noProof/>
              </w:rPr>
              <w:fldChar w:fldCharType="begin"/>
            </w:r>
            <w:r>
              <w:rPr>
                <w:noProof/>
              </w:rPr>
              <w:instrText xml:space="preserve"> PAGEREF _Toc240546690 \h </w:instrText>
            </w:r>
            <w:r>
              <w:rPr>
                <w:noProof/>
              </w:rPr>
            </w:r>
            <w:r>
              <w:rPr>
                <w:noProof/>
              </w:rPr>
              <w:fldChar w:fldCharType="separate"/>
            </w:r>
            <w:r>
              <w:rPr>
                <w:noProof/>
              </w:rPr>
              <w:t>11</w:t>
            </w:r>
            <w:r>
              <w:rPr>
                <w:noProof/>
              </w:rPr>
              <w:fldChar w:fldCharType="end"/>
            </w:r>
          </w:hyperlink>
        </w:p>
        <w:p w:rsidR="005B3E67" w:rsidRDefault="005B3E67">
          <w:pPr>
            <w:pStyle w:val="TOC2"/>
            <w:tabs>
              <w:tab w:val="right" w:leader="dot" w:pos="9870"/>
            </w:tabs>
            <w:rPr>
              <w:noProof/>
            </w:rPr>
          </w:pPr>
          <w:hyperlink w:anchor="_Toc240546691" w:history="1">
            <w:r w:rsidRPr="00CF4B75">
              <w:rPr>
                <w:rStyle w:val="Hyperlink"/>
                <w:noProof/>
              </w:rPr>
              <w:t>A6. The four cognitive-walkthrough questions</w:t>
            </w:r>
            <w:r>
              <w:rPr>
                <w:noProof/>
              </w:rPr>
              <w:tab/>
            </w:r>
            <w:r>
              <w:rPr>
                <w:noProof/>
              </w:rPr>
              <w:fldChar w:fldCharType="begin"/>
            </w:r>
            <w:r>
              <w:rPr>
                <w:noProof/>
              </w:rPr>
              <w:instrText xml:space="preserve"> PAGEREF _Toc240546691 \h </w:instrText>
            </w:r>
            <w:r>
              <w:rPr>
                <w:noProof/>
              </w:rPr>
            </w:r>
            <w:r>
              <w:rPr>
                <w:noProof/>
              </w:rPr>
              <w:fldChar w:fldCharType="separate"/>
            </w:r>
            <w:r>
              <w:rPr>
                <w:noProof/>
              </w:rPr>
              <w:t>12</w:t>
            </w:r>
            <w:r>
              <w:rPr>
                <w:noProof/>
              </w:rPr>
              <w:fldChar w:fldCharType="end"/>
            </w:r>
          </w:hyperlink>
        </w:p>
        <w:p w:rsidR="005B3E67" w:rsidRDefault="005B3E67">
          <w:pPr>
            <w:pStyle w:val="TOC1"/>
            <w:tabs>
              <w:tab w:val="right" w:leader="dot" w:pos="9870"/>
            </w:tabs>
            <w:rPr>
              <w:noProof/>
            </w:rPr>
          </w:pPr>
          <w:hyperlink w:anchor="_Toc240546692" w:history="1">
            <w:r w:rsidRPr="00CF4B75">
              <w:rPr>
                <w:rStyle w:val="Hyperlink"/>
                <w:noProof/>
              </w:rPr>
              <w:t xml:space="preserve">B.  Appendix B </w:t>
            </w:r>
            <w:r>
              <w:rPr>
                <w:rStyle w:val="Hyperlink"/>
                <w:noProof/>
              </w:rPr>
              <w:t>-</w:t>
            </w:r>
            <w:r w:rsidRPr="00CF4B75">
              <w:rPr>
                <w:rStyle w:val="Hyperlink"/>
                <w:noProof/>
              </w:rPr>
              <w:t xml:space="preserve"> Step-by-step walkthrough log</w:t>
            </w:r>
            <w:r>
              <w:rPr>
                <w:noProof/>
              </w:rPr>
              <w:tab/>
            </w:r>
            <w:r>
              <w:rPr>
                <w:noProof/>
              </w:rPr>
              <w:fldChar w:fldCharType="begin"/>
            </w:r>
            <w:r>
              <w:rPr>
                <w:noProof/>
              </w:rPr>
              <w:instrText xml:space="preserve"> PAGEREF _Toc240546692 \h </w:instrText>
            </w:r>
            <w:r>
              <w:rPr>
                <w:noProof/>
              </w:rPr>
            </w:r>
            <w:r>
              <w:rPr>
                <w:noProof/>
              </w:rPr>
              <w:fldChar w:fldCharType="separate"/>
            </w:r>
            <w:r>
              <w:rPr>
                <w:noProof/>
              </w:rPr>
              <w:t>13</w:t>
            </w:r>
            <w:r>
              <w:rPr>
                <w:noProof/>
              </w:rPr>
              <w:fldChar w:fldCharType="end"/>
            </w:r>
          </w:hyperlink>
        </w:p>
        <w:p w:rsidR="00233CE3" w:rsidRDefault="00AD42BA">
          <w:r>
            <w:fldChar w:fldCharType="end"/>
          </w:r>
        </w:p>
      </w:sdtContent>
    </w:sdt>
    <w:p w:rsidR="00233CE3" w:rsidRDefault="00AD42BA">
      <w:r>
        <w:br w:type="page"/>
      </w:r>
    </w:p>
    <w:p w:rsidR="00233CE3" w:rsidRDefault="00AD42BA">
      <w:pPr>
        <w:pStyle w:val="Heading1"/>
        <w:pBdr>
          <w:bottom w:val="single" w:sz="8" w:space="6" w:color="1F6F73"/>
        </w:pBdr>
        <w:spacing w:before="440" w:after="160"/>
      </w:pPr>
      <w:bookmarkStart w:id="2" w:name="_Toc240546674"/>
      <w:r>
        <w:rPr>
          <w:color w:val="B8863B"/>
        </w:rPr>
        <w:lastRenderedPageBreak/>
        <w:t xml:space="preserve">1.  </w:t>
      </w:r>
      <w:r>
        <w:t>Executive summary</w:t>
      </w:r>
      <w:bookmarkEnd w:id="2"/>
    </w:p>
    <w:p w:rsidR="00233CE3" w:rsidRDefault="00AD42BA">
      <w:pPr>
        <w:spacing w:after="160"/>
      </w:pPr>
      <w:r>
        <w:t xml:space="preserve">Acting as a first-time visitor resident in India, the evaluator set out to answer four questions from Wise's public website: what a transfer costs, how long it takes, whether they are eligible, and how to open an account. Two of the four resolved cleanly. </w:t>
      </w:r>
      <w:r>
        <w:t>The homepage states the service purpose in plain language, and the pricing calculator gives a transfer cost and an arrival estimate in a form that needed no interpretation.</w:t>
      </w:r>
    </w:p>
    <w:p w:rsidR="00233CE3" w:rsidRDefault="00AD42BA">
      <w:pPr>
        <w:spacing w:after="160"/>
      </w:pPr>
      <w:r>
        <w:t>The other two did not. India-specific eligibility information was not located throu</w:t>
      </w:r>
      <w:r>
        <w:t>gh the send-money page, the FAQ, or a Help Centre search using the terms tested. The signup flow then failed silently: selecting “Personal” as account type and “India” as residence country returned the form to the “Welcome to Wise” screen without an error,</w:t>
      </w:r>
      <w:r>
        <w:t xml:space="preserve"> a warning, or an explanation. An external search suggested that Wise does not currently issue personal accounts to residents of India; if that is correct, the restriction is being enforced by the system but never communicated by the interface.</w:t>
      </w:r>
    </w:p>
    <w:p w:rsidR="00233CE3" w:rsidRDefault="00AD42BA">
      <w:pPr>
        <w:spacing w:after="160"/>
      </w:pPr>
      <w:r>
        <w:t>The priorit</w:t>
      </w:r>
      <w:r>
        <w:t xml:space="preserve">y opportunity is therefore not a visual or copy refinement. It is that a decision the product has already made </w:t>
      </w:r>
      <w:r w:rsidR="005B3E67">
        <w:t>-</w:t>
      </w:r>
      <w:r>
        <w:t xml:space="preserve"> who is eligible </w:t>
      </w:r>
      <w:r w:rsidR="005B3E67">
        <w:t>-</w:t>
      </w:r>
      <w:r>
        <w:t xml:space="preserve"> is invisible to the person it affects, at the exact moment they are trying to act on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E3C68F"/>
              <w:left w:val="single" w:sz="2" w:space="0" w:color="E3C68F"/>
              <w:bottom w:val="single" w:sz="2" w:space="0" w:color="E3C68F"/>
              <w:right w:val="single" w:sz="2" w:space="0" w:color="E3C68F"/>
            </w:tcBorders>
            <w:shd w:val="clear" w:color="auto" w:fill="FCEFD8"/>
            <w:tcMar>
              <w:top w:w="90" w:type="dxa"/>
              <w:left w:w="130" w:type="dxa"/>
              <w:bottom w:w="90" w:type="dxa"/>
              <w:right w:w="130" w:type="dxa"/>
            </w:tcMar>
            <w:vAlign w:val="center"/>
          </w:tcPr>
          <w:p w:rsidR="00233CE3" w:rsidRDefault="00AD42BA">
            <w:r>
              <w:rPr>
                <w:b/>
                <w:bCs/>
                <w:color w:val="B8863B"/>
                <w:sz w:val="17"/>
                <w:szCs w:val="17"/>
              </w:rPr>
              <w:t>WHAT'S CONFIRMED vs. WHAT NEEDS VERIFICATION</w:t>
            </w:r>
          </w:p>
          <w:p w:rsidR="00233CE3" w:rsidRDefault="00AD42BA">
            <w:pPr>
              <w:spacing w:before="60"/>
            </w:pPr>
            <w:r>
              <w:rPr>
                <w:sz w:val="20"/>
                <w:szCs w:val="20"/>
              </w:rPr>
              <w:t xml:space="preserve">Confirmed, directly observed: the signup form silently returns to the start screen for the Personal + India combination, with zero error message </w:t>
            </w:r>
            <w:r w:rsidR="005B3E67">
              <w:rPr>
                <w:sz w:val="20"/>
                <w:szCs w:val="20"/>
              </w:rPr>
              <w:t>-</w:t>
            </w:r>
            <w:r>
              <w:rPr>
                <w:sz w:val="20"/>
                <w:szCs w:val="20"/>
              </w:rPr>
              <w:t xml:space="preserve"> this is a screenshotted fact (Figures 14–16), not an inference.</w:t>
            </w:r>
          </w:p>
          <w:p w:rsidR="00233CE3" w:rsidRDefault="00AD42BA">
            <w:pPr>
              <w:spacing w:before="60"/>
            </w:pPr>
            <w:r>
              <w:rPr>
                <w:sz w:val="20"/>
                <w:szCs w:val="20"/>
              </w:rPr>
              <w:t xml:space="preserve">Not yet confirmed: the specific reason </w:t>
            </w:r>
            <w:r w:rsidR="005B3E67">
              <w:rPr>
                <w:sz w:val="20"/>
                <w:szCs w:val="20"/>
              </w:rPr>
              <w:t>-</w:t>
            </w:r>
            <w:r>
              <w:rPr>
                <w:sz w:val="20"/>
                <w:szCs w:val="20"/>
              </w:rPr>
              <w:t xml:space="preserve"> that Wise does not currently issue personal accounts to Indian residents </w:t>
            </w:r>
            <w:r w:rsidR="005B3E67">
              <w:rPr>
                <w:sz w:val="20"/>
                <w:szCs w:val="20"/>
              </w:rPr>
              <w:t>-</w:t>
            </w:r>
            <w:r>
              <w:rPr>
                <w:sz w:val="20"/>
                <w:szCs w:val="20"/>
              </w:rPr>
              <w:t xml:space="preserve"> came from an external search, not from Wise. Recommendation 1 depends on this being correct; confirm it with Wise's product or compliance te</w:t>
            </w:r>
            <w:r>
              <w:rPr>
                <w:sz w:val="20"/>
                <w:szCs w:val="20"/>
              </w:rPr>
              <w:t>am before shipping copy that names this reason. If unconfirmed, use generic decline wording instead.</w:t>
            </w:r>
          </w:p>
        </w:tc>
      </w:tr>
    </w:tbl>
    <w:p w:rsidR="00233CE3" w:rsidRDefault="00233CE3">
      <w:pPr>
        <w:spacing w:after="200"/>
      </w:pPr>
    </w:p>
    <w:p w:rsidR="00233CE3" w:rsidRDefault="00AD42BA">
      <w:pPr>
        <w:pStyle w:val="Heading2"/>
        <w:spacing w:before="300" w:after="110"/>
      </w:pPr>
      <w:bookmarkStart w:id="3" w:name="_Toc240546675"/>
      <w:r>
        <w:t>Priority findings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2370"/>
        <w:gridCol w:w="2172"/>
        <w:gridCol w:w="1975"/>
        <w:gridCol w:w="1185"/>
        <w:gridCol w:w="1580"/>
      </w:tblGrid>
      <w:tr w:rsidR="00233CE3">
        <w:tblPrEx>
          <w:tblCellMar>
            <w:top w:w="0" w:type="dxa"/>
            <w:bottom w:w="0" w:type="dxa"/>
          </w:tblCellMar>
        </w:tblPrEx>
        <w:trPr>
          <w:tblHeader/>
        </w:trPr>
        <w:tc>
          <w:tcPr>
            <w:tcW w:w="3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ID</w:t>
            </w:r>
          </w:p>
        </w:tc>
        <w:tc>
          <w:tcPr>
            <w:tcW w:w="12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Finding</w:t>
            </w:r>
          </w:p>
        </w:tc>
        <w:tc>
          <w:tcPr>
            <w:tcW w:w="11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User impact</w:t>
            </w:r>
          </w:p>
        </w:tc>
        <w:tc>
          <w:tcPr>
            <w:tcW w:w="10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Product risk</w:t>
            </w:r>
          </w:p>
        </w:tc>
        <w:tc>
          <w:tcPr>
            <w:tcW w:w="6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Sev.</w:t>
            </w:r>
          </w:p>
        </w:tc>
        <w:tc>
          <w:tcPr>
            <w:tcW w:w="8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Recommended action</w:t>
            </w:r>
          </w:p>
        </w:tc>
      </w:tr>
      <w:tr w:rsidR="00233CE3">
        <w:tblPrEx>
          <w:tblCellMar>
            <w:top w:w="0" w:type="dxa"/>
            <w:bottom w:w="0" w:type="dxa"/>
          </w:tblCellMar>
        </w:tblPrEx>
        <w:tc>
          <w:tcPr>
            <w:tcW w:w="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142A4C"/>
                <w:sz w:val="17"/>
                <w:szCs w:val="17"/>
              </w:rPr>
              <w:t>F1</w:t>
            </w:r>
          </w:p>
        </w:tc>
        <w:tc>
          <w:tcPr>
            <w:tcW w:w="12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sz w:val="17"/>
                <w:szCs w:val="17"/>
              </w:rPr>
              <w:t>Personal + India signup loops silently</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Visitor cannot tell whether signup failed, was rejected, or is possible at all</w:t>
            </w:r>
          </w:p>
        </w:tc>
        <w:tc>
          <w:tcPr>
            <w:tcW w:w="1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Abandonment at the highest-intent moment; behaviour reads as a bug</w:t>
            </w:r>
          </w:p>
        </w:tc>
        <w:tc>
          <w:tcPr>
            <w:tcW w:w="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B23B3B"/>
                <w:sz w:val="17"/>
                <w:szCs w:val="17"/>
              </w:rPr>
              <w:t>High</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Show an explicit restriction message at the point of selection</w:t>
            </w:r>
          </w:p>
        </w:tc>
      </w:tr>
      <w:tr w:rsidR="00233CE3">
        <w:tblPrEx>
          <w:tblCellMar>
            <w:top w:w="0" w:type="dxa"/>
            <w:bottom w:w="0" w:type="dxa"/>
          </w:tblCellMar>
        </w:tblPrEx>
        <w:tc>
          <w:tcPr>
            <w:tcW w:w="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142A4C"/>
                <w:sz w:val="17"/>
                <w:szCs w:val="17"/>
              </w:rPr>
              <w:t>F2</w:t>
            </w:r>
          </w:p>
        </w:tc>
        <w:tc>
          <w:tcPr>
            <w:tcW w:w="12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sz w:val="17"/>
                <w:szCs w:val="17"/>
              </w:rPr>
              <w:t>India eligibility not discoverable pre-signup</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Visitor must leave the site to find an answer</w:t>
            </w:r>
          </w:p>
        </w:tc>
        <w:tc>
          <w:tcPr>
            <w:tcW w:w="1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Support load and lost conversion from ineligible and eligible users alike</w:t>
            </w:r>
          </w:p>
        </w:tc>
        <w:tc>
          <w:tcPr>
            <w:tcW w:w="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B23B3B"/>
                <w:sz w:val="17"/>
                <w:szCs w:val="17"/>
              </w:rPr>
              <w:t>High</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Display country-aware eligibility on pricing and send-money pages</w:t>
            </w:r>
          </w:p>
        </w:tc>
      </w:tr>
      <w:tr w:rsidR="00233CE3">
        <w:tblPrEx>
          <w:tblCellMar>
            <w:top w:w="0" w:type="dxa"/>
            <w:bottom w:w="0" w:type="dxa"/>
          </w:tblCellMar>
        </w:tblPrEx>
        <w:tc>
          <w:tcPr>
            <w:tcW w:w="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142A4C"/>
                <w:sz w:val="17"/>
                <w:szCs w:val="17"/>
              </w:rPr>
              <w:t>F3</w:t>
            </w:r>
          </w:p>
        </w:tc>
        <w:tc>
          <w:tcPr>
            <w:tcW w:w="12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sz w:val="17"/>
                <w:szCs w:val="17"/>
              </w:rPr>
              <w:t>Arrival estimat</w:t>
            </w:r>
            <w:r>
              <w:rPr>
                <w:b/>
                <w:bCs/>
                <w:sz w:val="17"/>
                <w:szCs w:val="17"/>
              </w:rPr>
              <w:t>e carries no time zone</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“By Thursday 3:00 AM” may be read as IST or recipient-local time</w:t>
            </w:r>
          </w:p>
        </w:tc>
        <w:tc>
          <w:tcPr>
            <w:tcW w:w="1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Expectation mismatch and avoidable “where is my money” contacts</w:t>
            </w:r>
          </w:p>
        </w:tc>
        <w:tc>
          <w:tcPr>
            <w:tcW w:w="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B8863B"/>
                <w:sz w:val="17"/>
                <w:szCs w:val="17"/>
              </w:rPr>
              <w:t>Medium</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Label the arrival estimate with an explicit time zone</w:t>
            </w:r>
          </w:p>
        </w:tc>
      </w:tr>
      <w:tr w:rsidR="00233CE3">
        <w:tblPrEx>
          <w:tblCellMar>
            <w:top w:w="0" w:type="dxa"/>
            <w:bottom w:w="0" w:type="dxa"/>
          </w:tblCellMar>
        </w:tblPrEx>
        <w:tc>
          <w:tcPr>
            <w:tcW w:w="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142A4C"/>
                <w:sz w:val="17"/>
                <w:szCs w:val="17"/>
              </w:rPr>
              <w:t>F4</w:t>
            </w:r>
          </w:p>
        </w:tc>
        <w:tc>
          <w:tcPr>
            <w:tcW w:w="12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sz w:val="17"/>
                <w:szCs w:val="17"/>
              </w:rPr>
              <w:t>No reference rate shown beside Wise's rate</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Visitor opened other sites to judge whether the rate was competitive</w:t>
            </w:r>
          </w:p>
        </w:tc>
        <w:tc>
          <w:tcPr>
            <w:tcW w:w="1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Comparison happens on a competitor's page, not on Wise's</w:t>
            </w:r>
          </w:p>
        </w:tc>
        <w:tc>
          <w:tcPr>
            <w:tcW w:w="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B8863B"/>
                <w:sz w:val="17"/>
                <w:szCs w:val="17"/>
              </w:rPr>
              <w:t>Medium</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Show the mid-market rate alongside the quoted rate</w:t>
            </w:r>
          </w:p>
        </w:tc>
      </w:tr>
      <w:tr w:rsidR="00233CE3">
        <w:tblPrEx>
          <w:tblCellMar>
            <w:top w:w="0" w:type="dxa"/>
            <w:bottom w:w="0" w:type="dxa"/>
          </w:tblCellMar>
        </w:tblPrEx>
        <w:tc>
          <w:tcPr>
            <w:tcW w:w="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142A4C"/>
                <w:sz w:val="17"/>
                <w:szCs w:val="17"/>
              </w:rPr>
              <w:t>F5</w:t>
            </w:r>
          </w:p>
        </w:tc>
        <w:tc>
          <w:tcPr>
            <w:tcW w:w="12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sz w:val="17"/>
                <w:szCs w:val="17"/>
              </w:rPr>
              <w:t>“Estimated amount per mon</w:t>
            </w:r>
            <w:r>
              <w:rPr>
                <w:b/>
                <w:bCs/>
                <w:sz w:val="17"/>
                <w:szCs w:val="17"/>
              </w:rPr>
              <w:t>th” is ambiguous</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Unclear whether recurring monthly sending is implied</w:t>
            </w:r>
          </w:p>
        </w:tc>
        <w:tc>
          <w:tcPr>
            <w:tcW w:w="1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Minor confusion in the fee-comparison module</w:t>
            </w:r>
          </w:p>
        </w:tc>
        <w:tc>
          <w:tcPr>
            <w:tcW w:w="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2E7D5B"/>
                <w:sz w:val="17"/>
                <w:szCs w:val="17"/>
              </w:rPr>
              <w:t>Low</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Add one line of clarifying microcopy</w:t>
            </w:r>
          </w:p>
        </w:tc>
      </w:tr>
      <w:tr w:rsidR="00233CE3">
        <w:tblPrEx>
          <w:tblCellMar>
            <w:top w:w="0" w:type="dxa"/>
            <w:bottom w:w="0" w:type="dxa"/>
          </w:tblCellMar>
        </w:tblPrEx>
        <w:tc>
          <w:tcPr>
            <w:tcW w:w="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142A4C"/>
                <w:sz w:val="17"/>
                <w:szCs w:val="17"/>
              </w:rPr>
              <w:t>F6</w:t>
            </w:r>
          </w:p>
        </w:tc>
        <w:tc>
          <w:tcPr>
            <w:tcW w:w="12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sz w:val="17"/>
                <w:szCs w:val="17"/>
              </w:rPr>
              <w:t>Pricing reachable only via hover sub-menu</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Three nav items had to be hovered before fees were found</w:t>
            </w:r>
          </w:p>
        </w:tc>
        <w:tc>
          <w:tcPr>
            <w:tcW w:w="1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Minor added discovery effort; goal was still reached</w:t>
            </w:r>
          </w:p>
        </w:tc>
        <w:tc>
          <w:tcPr>
            <w:tcW w:w="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2E7D5B"/>
                <w:sz w:val="17"/>
                <w:szCs w:val="17"/>
              </w:rPr>
              <w:t>Low</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7"/>
                <w:szCs w:val="17"/>
              </w:rPr>
              <w:t>Add a visible top-level pricing entry</w:t>
            </w:r>
          </w:p>
        </w:tc>
      </w:tr>
    </w:tbl>
    <w:p w:rsidR="00233CE3" w:rsidRDefault="00AD42BA">
      <w:pPr>
        <w:pStyle w:val="Heading2"/>
        <w:spacing w:before="300" w:after="110"/>
      </w:pPr>
      <w:bookmarkStart w:id="4" w:name="_Toc240546676"/>
      <w:r>
        <w:t>What worked well</w:t>
      </w:r>
      <w:bookmarkEnd w:id="4"/>
    </w:p>
    <w:p w:rsidR="00233CE3" w:rsidRDefault="00AD42BA">
      <w:pPr>
        <w:pStyle w:val="ListParagraph"/>
        <w:numPr>
          <w:ilvl w:val="0"/>
          <w:numId w:val="2"/>
        </w:numPr>
        <w:spacing w:after="70"/>
      </w:pPr>
      <w:r>
        <w:lastRenderedPageBreak/>
        <w:t>The homepage hero was the most prominent element above the fold and communicated the service purpose without requiring interpretation.</w:t>
      </w:r>
    </w:p>
    <w:p w:rsidR="00233CE3" w:rsidRDefault="00AD42BA">
      <w:pPr>
        <w:pStyle w:val="ListParagraph"/>
        <w:numPr>
          <w:ilvl w:val="0"/>
          <w:numId w:val="2"/>
        </w:numPr>
        <w:spacing w:after="70"/>
      </w:pPr>
      <w:r>
        <w:t>The calculator's “you send exactly” and “recipient gets” pattern mapped directly onto the question the evaluator was hold</w:t>
      </w:r>
      <w:r>
        <w:t>ing.</w:t>
      </w:r>
    </w:p>
    <w:p w:rsidR="00233CE3" w:rsidRDefault="00AD42BA">
      <w:pPr>
        <w:pStyle w:val="ListParagraph"/>
        <w:numPr>
          <w:ilvl w:val="0"/>
          <w:numId w:val="2"/>
        </w:numPr>
        <w:spacing w:after="70"/>
      </w:pPr>
      <w:r>
        <w:t>Total fees and an arrival estimate were both shown on the same card as the converted amount, rather than being deferred to a later step.</w:t>
      </w:r>
    </w:p>
    <w:p w:rsidR="00233CE3" w:rsidRDefault="00AD42BA">
      <w:pPr>
        <w:pStyle w:val="Heading2"/>
        <w:spacing w:before="300" w:after="110"/>
      </w:pPr>
      <w:bookmarkStart w:id="5" w:name="_Toc240546677"/>
      <w:r>
        <w:t>Walkthrough at a glance</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7"/>
        <w:gridCol w:w="2172"/>
        <w:gridCol w:w="3555"/>
        <w:gridCol w:w="1580"/>
      </w:tblGrid>
      <w:tr w:rsidR="00233CE3">
        <w:tblPrEx>
          <w:tblCellMar>
            <w:top w:w="0" w:type="dxa"/>
            <w:bottom w:w="0" w:type="dxa"/>
          </w:tblCellMar>
        </w:tblPrEx>
        <w:trPr>
          <w:tblHeader/>
        </w:trPr>
        <w:tc>
          <w:tcPr>
            <w:tcW w:w="13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Step</w:t>
            </w:r>
          </w:p>
        </w:tc>
        <w:tc>
          <w:tcPr>
            <w:tcW w:w="11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Outcome</w:t>
            </w:r>
          </w:p>
        </w:tc>
        <w:tc>
          <w:tcPr>
            <w:tcW w:w="18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Main issue</w:t>
            </w:r>
          </w:p>
        </w:tc>
        <w:tc>
          <w:tcPr>
            <w:tcW w:w="8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Severity</w:t>
            </w:r>
          </w:p>
        </w:tc>
      </w:tr>
      <w:tr w:rsidR="00233CE3">
        <w:tblPrEx>
          <w:tblCellMar>
            <w:top w:w="0" w:type="dxa"/>
            <w:bottom w:w="0" w:type="dxa"/>
          </w:tblCellMar>
        </w:tblPrEx>
        <w:tc>
          <w:tcPr>
            <w:tcW w:w="1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1. Homepage</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8"/>
                <w:szCs w:val="18"/>
              </w:rPr>
              <w:t>Succeeded</w:t>
            </w:r>
          </w:p>
        </w:tc>
        <w:tc>
          <w:tcPr>
            <w:tcW w:w="1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None significant</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5B3E67">
            <w:pPr>
              <w:jc w:val="center"/>
            </w:pPr>
            <w:r>
              <w:rPr>
                <w:b/>
                <w:bCs/>
                <w:color w:val="2E7D5B"/>
                <w:sz w:val="18"/>
                <w:szCs w:val="18"/>
              </w:rPr>
              <w:t>-</w:t>
            </w:r>
          </w:p>
        </w:tc>
      </w:tr>
      <w:tr w:rsidR="00233CE3">
        <w:tblPrEx>
          <w:tblCellMar>
            <w:top w:w="0" w:type="dxa"/>
            <w:bottom w:w="0" w:type="dxa"/>
          </w:tblCellMar>
        </w:tblPrEx>
        <w:tc>
          <w:tcPr>
            <w:tcW w:w="1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2. Navigation to fees</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8863B"/>
                <w:sz w:val="18"/>
                <w:szCs w:val="18"/>
              </w:rPr>
              <w:t>Succeeded with effort</w:t>
            </w:r>
          </w:p>
        </w:tc>
        <w:tc>
          <w:tcPr>
            <w:tcW w:w="1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Fees sit behind a hover sub-menu</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2E7D5B"/>
                <w:sz w:val="18"/>
                <w:szCs w:val="18"/>
              </w:rPr>
              <w:t>Low</w:t>
            </w:r>
          </w:p>
        </w:tc>
      </w:tr>
      <w:tr w:rsidR="00233CE3">
        <w:tblPrEx>
          <w:tblCellMar>
            <w:top w:w="0" w:type="dxa"/>
            <w:bottom w:w="0" w:type="dxa"/>
          </w:tblCellMar>
        </w:tblPrEx>
        <w:tc>
          <w:tcPr>
            <w:tcW w:w="1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3. Transfer calculator</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8863B"/>
                <w:sz w:val="18"/>
                <w:szCs w:val="18"/>
              </w:rPr>
              <w:t>Partially succeeded</w:t>
            </w:r>
          </w:p>
        </w:tc>
        <w:tc>
          <w:tcPr>
            <w:tcW w:w="1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No reference rate; arrival estimate has no time zone</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B8863B"/>
                <w:sz w:val="18"/>
                <w:szCs w:val="18"/>
              </w:rPr>
              <w:t>Medium</w:t>
            </w:r>
          </w:p>
        </w:tc>
      </w:tr>
      <w:tr w:rsidR="00233CE3">
        <w:tblPrEx>
          <w:tblCellMar>
            <w:top w:w="0" w:type="dxa"/>
            <w:bottom w:w="0" w:type="dxa"/>
          </w:tblCellMar>
        </w:tblPrEx>
        <w:tc>
          <w:tcPr>
            <w:tcW w:w="1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4. Fee breakdown</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8863B"/>
                <w:sz w:val="18"/>
                <w:szCs w:val="18"/>
              </w:rPr>
              <w:t>Partially succeeded</w:t>
            </w:r>
          </w:p>
        </w:tc>
        <w:tc>
          <w:tcPr>
            <w:tcW w:w="1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“Per month” framing not understood</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2E7D5B"/>
                <w:sz w:val="18"/>
                <w:szCs w:val="18"/>
              </w:rPr>
              <w:t>Low</w:t>
            </w:r>
          </w:p>
        </w:tc>
      </w:tr>
      <w:tr w:rsidR="00233CE3">
        <w:tblPrEx>
          <w:tblCellMar>
            <w:top w:w="0" w:type="dxa"/>
            <w:bottom w:w="0" w:type="dxa"/>
          </w:tblCellMar>
        </w:tblPrEx>
        <w:tc>
          <w:tcPr>
            <w:tcW w:w="1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5. Eligibility search</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23B3B"/>
                <w:sz w:val="18"/>
                <w:szCs w:val="18"/>
              </w:rPr>
              <w:t>Failed</w:t>
            </w:r>
          </w:p>
        </w:tc>
        <w:tc>
          <w:tcPr>
            <w:tcW w:w="1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India eligibility not found across three surfaces</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B23B3B"/>
                <w:sz w:val="18"/>
                <w:szCs w:val="18"/>
              </w:rPr>
              <w:t>High</w:t>
            </w:r>
          </w:p>
        </w:tc>
      </w:tr>
      <w:tr w:rsidR="00233CE3">
        <w:tblPrEx>
          <w:tblCellMar>
            <w:top w:w="0" w:type="dxa"/>
            <w:bottom w:w="0" w:type="dxa"/>
          </w:tblCellMar>
        </w:tblPrEx>
        <w:tc>
          <w:tcPr>
            <w:tcW w:w="13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6. Account creation</w:t>
            </w:r>
          </w:p>
        </w:tc>
        <w:tc>
          <w:tcPr>
            <w:tcW w:w="11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23B3B"/>
                <w:sz w:val="18"/>
                <w:szCs w:val="18"/>
              </w:rPr>
              <w:t>Failed</w:t>
            </w:r>
          </w:p>
        </w:tc>
        <w:tc>
          <w:tcPr>
            <w:tcW w:w="1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Personal + India returns the form with no message</w:t>
            </w:r>
          </w:p>
        </w:tc>
        <w:tc>
          <w:tcPr>
            <w:tcW w:w="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pPr>
              <w:jc w:val="center"/>
            </w:pPr>
            <w:r>
              <w:rPr>
                <w:b/>
                <w:bCs/>
                <w:color w:val="B23B3B"/>
                <w:sz w:val="18"/>
                <w:szCs w:val="18"/>
              </w:rPr>
              <w:t>High</w:t>
            </w:r>
          </w:p>
        </w:tc>
      </w:tr>
    </w:tbl>
    <w:p w:rsidR="00233CE3" w:rsidRDefault="00AD42BA">
      <w:pPr>
        <w:pStyle w:val="Heading2"/>
        <w:spacing w:before="300" w:after="110"/>
      </w:pPr>
      <w:bookmarkStart w:id="6" w:name="_Toc240546678"/>
      <w:r>
        <w:t>Limitations of this review</w:t>
      </w:r>
      <w:bookmarkEnd w:id="6"/>
    </w:p>
    <w:p w:rsidR="00233CE3" w:rsidRDefault="00AD42BA">
      <w:pPr>
        <w:spacing w:after="200"/>
      </w:pPr>
      <w:r>
        <w:rPr>
          <w:i/>
          <w:iCs/>
          <w:color w:val="6B7280"/>
          <w:sz w:val="20"/>
          <w:szCs w:val="20"/>
        </w:rPr>
        <w:t>Stated up front so the findings are read at the weight the method supports.</w:t>
      </w:r>
    </w:p>
    <w:p w:rsidR="00233CE3" w:rsidRDefault="00AD42BA">
      <w:pPr>
        <w:pStyle w:val="ListParagraph"/>
        <w:numPr>
          <w:ilvl w:val="0"/>
          <w:numId w:val="2"/>
        </w:numPr>
        <w:spacing w:after="70"/>
      </w:pPr>
      <w:r>
        <w:t xml:space="preserve">This is an expert evaluation of one scenario by a single evaluator </w:t>
      </w:r>
      <w:r w:rsidR="005B3E67">
        <w:t>-</w:t>
      </w:r>
      <w:r>
        <w:t xml:space="preserve"> not a usability study with participants, and not evidence of how often these issues occur.</w:t>
      </w:r>
    </w:p>
    <w:p w:rsidR="00233CE3" w:rsidRDefault="00AD42BA">
      <w:pPr>
        <w:pStyle w:val="ListParagraph"/>
        <w:numPr>
          <w:ilvl w:val="0"/>
          <w:numId w:val="2"/>
        </w:numPr>
        <w:spacing w:after="70"/>
      </w:pPr>
      <w:r>
        <w:t>One context only: de</w:t>
      </w:r>
      <w:r>
        <w:t>sktop Chrome, one country, one currency corridor, one session.</w:t>
      </w:r>
    </w:p>
    <w:p w:rsidR="00233CE3" w:rsidRDefault="00AD42BA">
      <w:pPr>
        <w:pStyle w:val="ListParagraph"/>
        <w:numPr>
          <w:ilvl w:val="0"/>
          <w:numId w:val="2"/>
        </w:numPr>
        <w:spacing w:after="70"/>
      </w:pPr>
      <w:r>
        <w:t>No analytics, conversion data, support-ticket volume, or internal business context was available.</w:t>
      </w:r>
    </w:p>
    <w:p w:rsidR="00233CE3" w:rsidRDefault="00AD42BA">
      <w:pPr>
        <w:pStyle w:val="ListParagraph"/>
        <w:numPr>
          <w:ilvl w:val="0"/>
          <w:numId w:val="2"/>
        </w:numPr>
        <w:spacing w:after="70"/>
      </w:pPr>
      <w:r>
        <w:t>The eligibility explanation came from an external search and has not been confirmed against Wis</w:t>
      </w:r>
      <w:r>
        <w:t>e's official policy or regulatory position. It should be verified before being treated as established fact.</w:t>
      </w:r>
    </w:p>
    <w:p w:rsidR="00233CE3" w:rsidRDefault="00AD42BA">
      <w:pPr>
        <w:pStyle w:val="ListParagraph"/>
        <w:numPr>
          <w:ilvl w:val="0"/>
          <w:numId w:val="2"/>
        </w:numPr>
        <w:spacing w:after="70"/>
      </w:pPr>
      <w:r>
        <w:t>The rate comparison figures were captured at different moments on different sites and are not a controlled, time-matched comparison.</w:t>
      </w:r>
    </w:p>
    <w:p w:rsidR="00233CE3" w:rsidRDefault="00AD42BA">
      <w:pPr>
        <w:pStyle w:val="ListParagraph"/>
        <w:numPr>
          <w:ilvl w:val="0"/>
          <w:numId w:val="2"/>
        </w:numPr>
        <w:spacing w:after="70"/>
      </w:pPr>
      <w:r>
        <w:t>Findings should be treated as hypotheses to validate, not as measured usability rates.</w:t>
      </w:r>
    </w:p>
    <w:p w:rsidR="00233CE3" w:rsidRDefault="00AD42BA">
      <w:r>
        <w:br w:type="page"/>
      </w:r>
    </w:p>
    <w:p w:rsidR="00233CE3" w:rsidRDefault="00AD42BA">
      <w:pPr>
        <w:pStyle w:val="Heading1"/>
        <w:pBdr>
          <w:bottom w:val="single" w:sz="8" w:space="6" w:color="1F6F73"/>
        </w:pBdr>
        <w:spacing w:before="440" w:after="160"/>
      </w:pPr>
      <w:bookmarkStart w:id="7" w:name="_Toc240546679"/>
      <w:r>
        <w:rPr>
          <w:color w:val="B8863B"/>
        </w:rPr>
        <w:lastRenderedPageBreak/>
        <w:t xml:space="preserve">2.  </w:t>
      </w:r>
      <w:r>
        <w:t>Findings</w:t>
      </w:r>
      <w:bookmarkEnd w:id="7"/>
    </w:p>
    <w:p w:rsidR="00233CE3" w:rsidRDefault="00AD42BA">
      <w:pPr>
        <w:spacing w:after="200"/>
      </w:pPr>
      <w:r>
        <w:rPr>
          <w:i/>
          <w:iCs/>
          <w:color w:val="6B7280"/>
          <w:sz w:val="20"/>
          <w:szCs w:val="20"/>
        </w:rPr>
        <w:t>The journey splits into two questions with different answers. Section 2A covers discovery and cost, which largely succeeded. Section 2B covers account cre</w:t>
      </w:r>
      <w:r>
        <w:rPr>
          <w:i/>
          <w:iCs/>
          <w:color w:val="6B7280"/>
          <w:sz w:val="20"/>
          <w:szCs w:val="20"/>
        </w:rPr>
        <w:t>ation, which did not.</w:t>
      </w:r>
    </w:p>
    <w:p w:rsidR="00233CE3" w:rsidRDefault="00AD42BA">
      <w:pPr>
        <w:pStyle w:val="Heading2"/>
        <w:spacing w:before="300" w:after="110"/>
      </w:pPr>
      <w:bookmarkStart w:id="8" w:name="_Toc240546680"/>
      <w:r>
        <w:t xml:space="preserve">2A. Journey A </w:t>
      </w:r>
      <w:r w:rsidR="005B3E67">
        <w:t>-</w:t>
      </w:r>
      <w:r>
        <w:t xml:space="preserve"> Can I use Wise, and what will it cost?</w:t>
      </w:r>
      <w:bookmarkEnd w:id="8"/>
    </w:p>
    <w:p w:rsidR="00233CE3" w:rsidRDefault="00AD42BA">
      <w:pPr>
        <w:spacing w:after="160"/>
      </w:pPr>
      <w:r>
        <w:t>Cost discovery worked. Fees sat behind a hover sub-menu rather than a top-level link, which added effort but did not block the task (F6). The calculator itself was the strongest part of the journey: entering ₹800,000 for an INR→USD transfer returned a reci</w:t>
      </w:r>
      <w:r>
        <w:t>pient amount of 8,210.01 USD, total fees of ₹12,098.81, and an arrival estimate, all on one card.</w:t>
      </w:r>
    </w:p>
    <w:p w:rsidR="00233CE3" w:rsidRDefault="00AD42BA">
      <w:pPr>
        <w:spacing w:after="160"/>
      </w:pPr>
      <w:r>
        <w:t xml:space="preserve">Two gaps remained, and both are about interpretation rather than availability. The information needed to judge the quote is not on the page </w:t>
      </w:r>
      <w:r w:rsidR="005B3E67">
        <w:t>-</w:t>
      </w:r>
      <w:r>
        <w:t xml:space="preserve"> so the evaluator</w:t>
      </w:r>
      <w:r>
        <w:t xml:space="preserve"> opened other sites to supply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1185"/>
        <w:gridCol w:w="5826"/>
        <w:gridCol w:w="1975"/>
      </w:tblGrid>
      <w:tr w:rsidR="00233CE3">
        <w:tblPrEx>
          <w:tblCellMar>
            <w:top w:w="0" w:type="dxa"/>
            <w:bottom w:w="0" w:type="dxa"/>
          </w:tblCellMar>
        </w:tblPrEx>
        <w:tc>
          <w:tcPr>
            <w:tcW w:w="45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rPr>
              <w:t>F3</w:t>
            </w:r>
          </w:p>
        </w:tc>
        <w:tc>
          <w:tcPr>
            <w:tcW w:w="3550" w:type="pct"/>
            <w:gridSpan w:val="2"/>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r>
              <w:rPr>
                <w:b/>
                <w:bCs/>
                <w:color w:val="142A4C"/>
              </w:rPr>
              <w:t>The arrival estimate does not say which time zone it refers to</w:t>
            </w:r>
          </w:p>
        </w:tc>
        <w:tc>
          <w:tcPr>
            <w:tcW w:w="1000" w:type="pct"/>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pPr>
              <w:jc w:val="center"/>
            </w:pPr>
            <w:r>
              <w:rPr>
                <w:b/>
                <w:bCs/>
                <w:color w:val="B8863B"/>
                <w:sz w:val="18"/>
                <w:szCs w:val="18"/>
              </w:rPr>
              <w:t>Medium</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What happened</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The calculator displayed “Arrives by Thursday 3:00 AM.” No time zone was stated on the card.</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Evidence</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Figure 5 (Appendix B, Step 3).</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Why it matters</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 xml:space="preserve">For a cross-border transfer the ambiguity is inherent: 3:00 AM could reasonably be read as the sender's local time, the recipient's local time, or the reference time of the transfer network. A visitor cannot convert an estimate they cannot </w:t>
            </w:r>
            <w:r>
              <w:rPr>
                <w:sz w:val="19"/>
                <w:szCs w:val="19"/>
              </w:rPr>
              <w:t>anchor.</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EAF3F3"/>
            <w:tcMar>
              <w:top w:w="90" w:type="dxa"/>
              <w:left w:w="130" w:type="dxa"/>
              <w:bottom w:w="90" w:type="dxa"/>
              <w:right w:w="130" w:type="dxa"/>
            </w:tcMar>
            <w:vAlign w:val="center"/>
          </w:tcPr>
          <w:p w:rsidR="00233CE3" w:rsidRDefault="00AD42BA">
            <w:r>
              <w:rPr>
                <w:b/>
                <w:bCs/>
                <w:color w:val="1F6F73"/>
                <w:sz w:val="18"/>
                <w:szCs w:val="18"/>
              </w:rPr>
              <w:t>Recommended action</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EAF3F3"/>
            <w:tcMar>
              <w:top w:w="90" w:type="dxa"/>
              <w:left w:w="130" w:type="dxa"/>
              <w:bottom w:w="90" w:type="dxa"/>
              <w:right w:w="130" w:type="dxa"/>
            </w:tcMar>
            <w:vAlign w:val="center"/>
          </w:tcPr>
          <w:p w:rsidR="00233CE3" w:rsidRDefault="00AD42BA">
            <w:r>
              <w:rPr>
                <w:sz w:val="19"/>
                <w:szCs w:val="19"/>
              </w:rPr>
              <w:t>Label the estimate with an explicit zone, e.g. “by Thursday, 3:00 AM IST.”</w:t>
            </w:r>
          </w:p>
        </w:tc>
      </w:tr>
    </w:tbl>
    <w:p w:rsidR="00233CE3" w:rsidRDefault="00233CE3">
      <w:pPr>
        <w:spacing w:after="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1185"/>
        <w:gridCol w:w="5826"/>
        <w:gridCol w:w="1975"/>
      </w:tblGrid>
      <w:tr w:rsidR="00233CE3">
        <w:tblPrEx>
          <w:tblCellMar>
            <w:top w:w="0" w:type="dxa"/>
            <w:bottom w:w="0" w:type="dxa"/>
          </w:tblCellMar>
        </w:tblPrEx>
        <w:tc>
          <w:tcPr>
            <w:tcW w:w="45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rPr>
              <w:t>F4</w:t>
            </w:r>
          </w:p>
        </w:tc>
        <w:tc>
          <w:tcPr>
            <w:tcW w:w="3550" w:type="pct"/>
            <w:gridSpan w:val="2"/>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r>
              <w:rPr>
                <w:b/>
                <w:bCs/>
                <w:color w:val="142A4C"/>
              </w:rPr>
              <w:t>No reference rate is shown next to the quoted rate</w:t>
            </w:r>
          </w:p>
        </w:tc>
        <w:tc>
          <w:tcPr>
            <w:tcW w:w="1000" w:type="pct"/>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pPr>
              <w:jc w:val="center"/>
            </w:pPr>
            <w:r>
              <w:rPr>
                <w:b/>
                <w:bCs/>
                <w:color w:val="B8863B"/>
                <w:sz w:val="18"/>
                <w:szCs w:val="18"/>
              </w:rPr>
              <w:t>Medium</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What happened</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The calculator shows what the recipient gets, but no benchmark against which to judge it. The evaluator left the site and checked Google (8,338.04 USD) and Western Union (8,304.40 USD) for the same nominal amount.</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Evidence</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Figures 5–7 (Appendix B, Step 3). These quotes were captured at different moments on different sites, with different fee structures, funding methods, and delivery speeds. They are an indicative comparison only, not a controlled pricing conclusion.</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 xml:space="preserve">Why it </w:t>
            </w:r>
            <w:r>
              <w:rPr>
                <w:b/>
                <w:bCs/>
                <w:color w:val="142A4C"/>
                <w:sz w:val="18"/>
                <w:szCs w:val="18"/>
              </w:rPr>
              <w:t>matters</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 xml:space="preserve">The finding is a transparency question, not a pricing one: whether or not Wise's rate is competitive, the page does not give a first-time visitor any way to tell. The comparison then happens on a competitor's site instead of on Wise's </w:t>
            </w:r>
            <w:r w:rsidR="005B3E67">
              <w:rPr>
                <w:sz w:val="19"/>
                <w:szCs w:val="19"/>
              </w:rPr>
              <w:t>-</w:t>
            </w:r>
            <w:r>
              <w:rPr>
                <w:sz w:val="19"/>
                <w:szCs w:val="19"/>
              </w:rPr>
              <w:t xml:space="preserve"> which is a </w:t>
            </w:r>
            <w:r>
              <w:rPr>
                <w:sz w:val="19"/>
                <w:szCs w:val="19"/>
              </w:rPr>
              <w:t>weaker position for a product whose pricing page is headlined “Wise is built to save you money.”</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EAF3F3"/>
            <w:tcMar>
              <w:top w:w="90" w:type="dxa"/>
              <w:left w:w="130" w:type="dxa"/>
              <w:bottom w:w="90" w:type="dxa"/>
              <w:right w:w="130" w:type="dxa"/>
            </w:tcMar>
            <w:vAlign w:val="center"/>
          </w:tcPr>
          <w:p w:rsidR="00233CE3" w:rsidRDefault="00AD42BA">
            <w:r>
              <w:rPr>
                <w:b/>
                <w:bCs/>
                <w:color w:val="1F6F73"/>
                <w:sz w:val="18"/>
                <w:szCs w:val="18"/>
              </w:rPr>
              <w:t>Recommended action</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EAF3F3"/>
            <w:tcMar>
              <w:top w:w="90" w:type="dxa"/>
              <w:left w:w="130" w:type="dxa"/>
              <w:bottom w:w="90" w:type="dxa"/>
              <w:right w:w="130" w:type="dxa"/>
            </w:tcMar>
            <w:vAlign w:val="center"/>
          </w:tcPr>
          <w:p w:rsidR="00233CE3" w:rsidRDefault="00AD42BA">
            <w:r>
              <w:rPr>
                <w:sz w:val="19"/>
                <w:szCs w:val="19"/>
              </w:rPr>
              <w:t>Show the mid-market reference rate beside the quoted rate on the calculator card, so the spread is legible without a second tab.</w:t>
            </w:r>
          </w:p>
        </w:tc>
      </w:tr>
    </w:tbl>
    <w:p w:rsidR="00233CE3" w:rsidRDefault="00233CE3">
      <w:pPr>
        <w:spacing w:after="240"/>
      </w:pPr>
    </w:p>
    <w:p w:rsidR="00233CE3" w:rsidRDefault="00AD42BA">
      <w:pPr>
        <w:pBdr>
          <w:top w:val="single" w:sz="4" w:space="6" w:color="D9DEE4"/>
          <w:bottom w:val="single" w:sz="4" w:space="6" w:color="D9DEE4"/>
        </w:pBdr>
        <w:spacing w:before="140" w:after="40"/>
        <w:jc w:val="center"/>
      </w:pPr>
      <w:r>
        <w:rPr>
          <w:noProof/>
        </w:rPr>
        <w:lastRenderedPageBreak/>
        <w:drawing>
          <wp:inline distT="0" distB="0" distL="0" distR="0" wp14:anchorId="7002C4D7" wp14:editId="35466005">
            <wp:extent cx="5120640" cy="24620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2462004"/>
                    </a:xfrm>
                    <a:prstGeom prst="rect">
                      <a:avLst/>
                    </a:prstGeom>
                  </pic:spPr>
                </pic:pic>
              </a:graphicData>
            </a:graphic>
          </wp:inline>
        </w:drawing>
      </w:r>
    </w:p>
    <w:p w:rsidR="00233CE3" w:rsidRDefault="00AD42BA">
      <w:pPr>
        <w:spacing w:after="220"/>
        <w:jc w:val="center"/>
      </w:pPr>
      <w:r>
        <w:rPr>
          <w:b/>
          <w:bCs/>
          <w:color w:val="1F6F73"/>
          <w:sz w:val="17"/>
          <w:szCs w:val="17"/>
        </w:rPr>
        <w:t xml:space="preserve">Figure A  </w:t>
      </w:r>
      <w:r>
        <w:rPr>
          <w:color w:val="6B7280"/>
          <w:sz w:val="17"/>
          <w:szCs w:val="17"/>
        </w:rPr>
        <w:t>Evidence: cost and arrival appear together, but with no reference rate and no time zone (F3, F4).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1185"/>
        <w:gridCol w:w="5826"/>
        <w:gridCol w:w="1975"/>
      </w:tblGrid>
      <w:tr w:rsidR="00233CE3">
        <w:tblPrEx>
          <w:tblCellMar>
            <w:top w:w="0" w:type="dxa"/>
            <w:bottom w:w="0" w:type="dxa"/>
          </w:tblCellMar>
        </w:tblPrEx>
        <w:tc>
          <w:tcPr>
            <w:tcW w:w="45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rPr>
              <w:t>F5</w:t>
            </w:r>
          </w:p>
        </w:tc>
        <w:tc>
          <w:tcPr>
            <w:tcW w:w="3550" w:type="pct"/>
            <w:gridSpan w:val="2"/>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r>
              <w:rPr>
                <w:b/>
                <w:bCs/>
                <w:color w:val="142A4C"/>
              </w:rPr>
              <w:t>“Estimated amount per month” is ambiguous for a one-off transfer</w:t>
            </w:r>
          </w:p>
        </w:tc>
        <w:tc>
          <w:tcPr>
            <w:tcW w:w="1000" w:type="pct"/>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pPr>
              <w:jc w:val="center"/>
            </w:pPr>
            <w:r>
              <w:rPr>
                <w:b/>
                <w:bCs/>
                <w:color w:val="2E7D5B"/>
                <w:sz w:val="18"/>
                <w:szCs w:val="18"/>
              </w:rPr>
              <w:t>Low</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What happened</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Below the main calculator, a module labelled “Estimated amount per month” drives an average-fee percentage. The evaluator could not determine whether it described recurring monthly sending, a subscription-style estimate, or the same one-off transfer restat</w:t>
            </w:r>
            <w:r>
              <w:rPr>
                <w:sz w:val="19"/>
                <w:szCs w:val="19"/>
              </w:rPr>
              <w:t>ed.</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Evidence</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Figure 8 (Appendix B, Step 4).</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Why it matters</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 xml:space="preserve">The module's purpose </w:t>
            </w:r>
            <w:r w:rsidR="005B3E67">
              <w:rPr>
                <w:sz w:val="19"/>
                <w:szCs w:val="19"/>
              </w:rPr>
              <w:t>-</w:t>
            </w:r>
            <w:r>
              <w:rPr>
                <w:sz w:val="19"/>
                <w:szCs w:val="19"/>
              </w:rPr>
              <w:t xml:space="preserve"> showing that larger volumes attract lower fees </w:t>
            </w:r>
            <w:r w:rsidR="005B3E67">
              <w:rPr>
                <w:sz w:val="19"/>
                <w:szCs w:val="19"/>
              </w:rPr>
              <w:t>-</w:t>
            </w:r>
            <w:r>
              <w:rPr>
                <w:sz w:val="19"/>
                <w:szCs w:val="19"/>
              </w:rPr>
              <w:t xml:space="preserve"> is lost if the visitor cannot tell what the input represents.</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EAF3F3"/>
            <w:tcMar>
              <w:top w:w="90" w:type="dxa"/>
              <w:left w:w="130" w:type="dxa"/>
              <w:bottom w:w="90" w:type="dxa"/>
              <w:right w:w="130" w:type="dxa"/>
            </w:tcMar>
            <w:vAlign w:val="center"/>
          </w:tcPr>
          <w:p w:rsidR="00233CE3" w:rsidRDefault="00AD42BA">
            <w:r>
              <w:rPr>
                <w:b/>
                <w:bCs/>
                <w:color w:val="1F6F73"/>
                <w:sz w:val="18"/>
                <w:szCs w:val="18"/>
              </w:rPr>
              <w:t>Recommended action</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EAF3F3"/>
            <w:tcMar>
              <w:top w:w="90" w:type="dxa"/>
              <w:left w:w="130" w:type="dxa"/>
              <w:bottom w:w="90" w:type="dxa"/>
              <w:right w:w="130" w:type="dxa"/>
            </w:tcMar>
            <w:vAlign w:val="center"/>
          </w:tcPr>
          <w:p w:rsidR="00233CE3" w:rsidRDefault="00AD42BA">
            <w:r>
              <w:rPr>
                <w:sz w:val="19"/>
                <w:szCs w:val="19"/>
              </w:rPr>
              <w:t>Add one clarifying line, e.g. “If you send this much each month, here's your average fee,” or relabel for a single transfer.</w:t>
            </w:r>
          </w:p>
        </w:tc>
      </w:tr>
    </w:tbl>
    <w:p w:rsidR="00233CE3" w:rsidRDefault="00233CE3">
      <w:pPr>
        <w:spacing w:after="240"/>
      </w:pPr>
    </w:p>
    <w:p w:rsidR="00233CE3" w:rsidRDefault="00AD42BA">
      <w:pPr>
        <w:pStyle w:val="Heading2"/>
        <w:spacing w:before="300" w:after="110"/>
      </w:pPr>
      <w:bookmarkStart w:id="9" w:name="_Toc240546681"/>
      <w:r>
        <w:t xml:space="preserve">2B. Journey B </w:t>
      </w:r>
      <w:r w:rsidR="005B3E67">
        <w:t>-</w:t>
      </w:r>
      <w:r>
        <w:t xml:space="preserve"> Can I actually open an account?</w:t>
      </w:r>
      <w:bookmarkEnd w:id="9"/>
    </w:p>
    <w:p w:rsidR="00233CE3" w:rsidRDefault="00AD42BA">
      <w:pPr>
        <w:spacing w:after="160"/>
      </w:pPr>
      <w:r>
        <w:t xml:space="preserve">This is where the journey ended, and it accounts for both High-severity findings. The two issues compound: the eligibility question could not be answered in advance (F2), so the only remaining way to find out was to attempt signup </w:t>
      </w:r>
      <w:r w:rsidR="005B3E67">
        <w:t>-</w:t>
      </w:r>
      <w:r>
        <w:t xml:space="preserve"> which then failed witho</w:t>
      </w:r>
      <w:r>
        <w:t>ut explaining itself (F1).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1185"/>
        <w:gridCol w:w="5826"/>
        <w:gridCol w:w="1975"/>
      </w:tblGrid>
      <w:tr w:rsidR="00233CE3">
        <w:tblPrEx>
          <w:tblCellMar>
            <w:top w:w="0" w:type="dxa"/>
            <w:bottom w:w="0" w:type="dxa"/>
          </w:tblCellMar>
        </w:tblPrEx>
        <w:tc>
          <w:tcPr>
            <w:tcW w:w="45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rPr>
              <w:t>F2</w:t>
            </w:r>
          </w:p>
        </w:tc>
        <w:tc>
          <w:tcPr>
            <w:tcW w:w="3550" w:type="pct"/>
            <w:gridSpan w:val="2"/>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r>
              <w:rPr>
                <w:b/>
                <w:bCs/>
                <w:color w:val="142A4C"/>
              </w:rPr>
              <w:t>India-specific eligibility could not be located anywhere in the public journey</w:t>
            </w:r>
          </w:p>
        </w:tc>
        <w:tc>
          <w:tcPr>
            <w:tcW w:w="1000" w:type="pct"/>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pPr>
              <w:jc w:val="center"/>
            </w:pPr>
            <w:r>
              <w:rPr>
                <w:b/>
                <w:bCs/>
                <w:color w:val="B23B3B"/>
                <w:sz w:val="18"/>
                <w:szCs w:val="18"/>
              </w:rPr>
              <w:t>High</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What happened</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The evaluator searched three surfaces in sequence: the send-money product page, its FAQ section, and the Help Centre. The FAQ carries a general INR-restrictions question but no India eligibility answer. A Help Centre search for “restriction india” returned</w:t>
            </w:r>
            <w:r>
              <w:rPr>
                <w:sz w:val="19"/>
                <w:szCs w:val="19"/>
              </w:rPr>
              <w:t xml:space="preserve"> restriction articles for Türkiye, Belarus, Russia, and Myanmar </w:t>
            </w:r>
            <w:r w:rsidR="005B3E67">
              <w:rPr>
                <w:sz w:val="19"/>
                <w:szCs w:val="19"/>
              </w:rPr>
              <w:t>-</w:t>
            </w:r>
            <w:r>
              <w:rPr>
                <w:sz w:val="19"/>
                <w:szCs w:val="19"/>
              </w:rPr>
              <w:t xml:space="preserve"> not India. The search was abandoned unresolved.</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Evidence</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Figures 9–13 (Appendix B, Step 5). Stated precisely: eligibility information could not be located through these three surfaces using the terms tested. This does not establish that no such content exists anywhere on the site.</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Why it matters</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A visitor who c</w:t>
            </w:r>
            <w:r>
              <w:rPr>
                <w:sz w:val="19"/>
                <w:szCs w:val="19"/>
              </w:rPr>
              <w:t xml:space="preserve">annot confirm eligibility either abandons, or proceeds to signup on the assumption that they qualify </w:t>
            </w:r>
            <w:r w:rsidR="005B3E67">
              <w:rPr>
                <w:sz w:val="19"/>
                <w:szCs w:val="19"/>
              </w:rPr>
              <w:t>-</w:t>
            </w:r>
            <w:r>
              <w:rPr>
                <w:sz w:val="19"/>
                <w:szCs w:val="19"/>
              </w:rPr>
              <w:t xml:space="preserve"> which is what happened here, and what led directly to F1.</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EAF3F3"/>
            <w:tcMar>
              <w:top w:w="90" w:type="dxa"/>
              <w:left w:w="130" w:type="dxa"/>
              <w:bottom w:w="90" w:type="dxa"/>
              <w:right w:w="130" w:type="dxa"/>
            </w:tcMar>
            <w:vAlign w:val="center"/>
          </w:tcPr>
          <w:p w:rsidR="00233CE3" w:rsidRDefault="00AD42BA">
            <w:r>
              <w:rPr>
                <w:b/>
                <w:bCs/>
                <w:color w:val="1F6F73"/>
                <w:sz w:val="18"/>
                <w:szCs w:val="18"/>
              </w:rPr>
              <w:t>Recommended action</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EAF3F3"/>
            <w:tcMar>
              <w:top w:w="90" w:type="dxa"/>
              <w:left w:w="130" w:type="dxa"/>
              <w:bottom w:w="90" w:type="dxa"/>
              <w:right w:w="130" w:type="dxa"/>
            </w:tcMar>
            <w:vAlign w:val="center"/>
          </w:tcPr>
          <w:p w:rsidR="00233CE3" w:rsidRDefault="00AD42BA">
            <w:r>
              <w:rPr>
                <w:sz w:val="19"/>
                <w:szCs w:val="19"/>
              </w:rPr>
              <w:t>Display country-aware eligibility status on the pricing and send-money page</w:t>
            </w:r>
            <w:r>
              <w:rPr>
                <w:sz w:val="19"/>
                <w:szCs w:val="19"/>
              </w:rPr>
              <w:t>s once the visitor's country is known or selected.</w:t>
            </w:r>
          </w:p>
        </w:tc>
      </w:tr>
    </w:tbl>
    <w:p w:rsidR="00233CE3" w:rsidRDefault="00233CE3">
      <w:pPr>
        <w:spacing w:after="240"/>
      </w:pPr>
    </w:p>
    <w:p w:rsidR="00233CE3" w:rsidRDefault="00AD42BA">
      <w:pPr>
        <w:pBdr>
          <w:top w:val="single" w:sz="4" w:space="6" w:color="D9DEE4"/>
          <w:bottom w:val="single" w:sz="4" w:space="6" w:color="D9DEE4"/>
        </w:pBdr>
        <w:spacing w:before="140" w:after="40"/>
        <w:jc w:val="center"/>
      </w:pPr>
      <w:r>
        <w:rPr>
          <w:noProof/>
        </w:rPr>
        <w:lastRenderedPageBreak/>
        <w:drawing>
          <wp:inline distT="0" distB="0" distL="0" distR="0" wp14:anchorId="67DE79A7" wp14:editId="5CEDF3B4">
            <wp:extent cx="4937760" cy="3067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7760" cy="3067628"/>
                    </a:xfrm>
                    <a:prstGeom prst="rect">
                      <a:avLst/>
                    </a:prstGeom>
                  </pic:spPr>
                </pic:pic>
              </a:graphicData>
            </a:graphic>
          </wp:inline>
        </w:drawing>
      </w:r>
    </w:p>
    <w:p w:rsidR="00233CE3" w:rsidRDefault="00AD42BA">
      <w:pPr>
        <w:spacing w:after="220"/>
        <w:jc w:val="center"/>
      </w:pPr>
      <w:r>
        <w:rPr>
          <w:b/>
          <w:bCs/>
          <w:color w:val="1F6F73"/>
          <w:sz w:val="17"/>
          <w:szCs w:val="17"/>
        </w:rPr>
        <w:t xml:space="preserve">Figure B  </w:t>
      </w:r>
      <w:r>
        <w:rPr>
          <w:color w:val="6B7280"/>
          <w:sz w:val="17"/>
          <w:szCs w:val="17"/>
        </w:rPr>
        <w:t>Evidence: a Help Centre search for “restriction india” returns articles for other countries (F2).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1185"/>
        <w:gridCol w:w="5826"/>
        <w:gridCol w:w="1975"/>
      </w:tblGrid>
      <w:tr w:rsidR="00233CE3">
        <w:tblPrEx>
          <w:tblCellMar>
            <w:top w:w="0" w:type="dxa"/>
            <w:bottom w:w="0" w:type="dxa"/>
          </w:tblCellMar>
        </w:tblPrEx>
        <w:tc>
          <w:tcPr>
            <w:tcW w:w="45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rPr>
              <w:t>F1</w:t>
            </w:r>
          </w:p>
        </w:tc>
        <w:tc>
          <w:tcPr>
            <w:tcW w:w="3550" w:type="pct"/>
            <w:gridSpan w:val="2"/>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r>
              <w:rPr>
                <w:b/>
                <w:bCs/>
                <w:color w:val="142A4C"/>
              </w:rPr>
              <w:t>Selecting Personal + India returns the signup form to its previous screen with no message</w:t>
            </w:r>
          </w:p>
        </w:tc>
        <w:tc>
          <w:tcPr>
            <w:tcW w:w="1000" w:type="pct"/>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pPr>
              <w:jc w:val="center"/>
            </w:pPr>
            <w:r>
              <w:rPr>
                <w:b/>
                <w:bCs/>
                <w:color w:val="B23B3B"/>
                <w:sz w:val="18"/>
                <w:szCs w:val="18"/>
              </w:rPr>
              <w:t>High</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What happened</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 xml:space="preserve">On “Welcome to Wise,” the evaluator selected “Personal” as account type, then “Personal” again on the account-kind screen </w:t>
            </w:r>
            <w:r w:rsidR="005B3E67">
              <w:rPr>
                <w:sz w:val="19"/>
                <w:szCs w:val="19"/>
              </w:rPr>
              <w:t>-</w:t>
            </w:r>
            <w:r>
              <w:rPr>
                <w:sz w:val="19"/>
                <w:szCs w:val="19"/>
              </w:rPr>
              <w:t xml:space="preserve"> and was returned to “Welcome to Wise.” Selecting “India” as residence country produced the same return. No error, warning, validatio</w:t>
            </w:r>
            <w:r>
              <w:rPr>
                <w:sz w:val="19"/>
                <w:szCs w:val="19"/>
              </w:rPr>
              <w:t>n message, or explanation appeared at any point. An external search afterwards suggested the cause is that Wise does not currently issue personal accounts to residents of India; this was not stated anywhere in the flow and remains unverified against offici</w:t>
            </w:r>
            <w:r>
              <w:rPr>
                <w:sz w:val="19"/>
                <w:szCs w:val="19"/>
              </w:rPr>
              <w:t>al Wise policy.</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Evidence</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Figures 14–16 (Appendix B, Step 6), plus the external search result, which is reported here as an external source rather than as a confirmed product fact.</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b/>
                <w:bCs/>
                <w:color w:val="142A4C"/>
                <w:sz w:val="18"/>
                <w:szCs w:val="18"/>
              </w:rPr>
              <w:t>Why it matters</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FFFFFF"/>
            <w:tcMar>
              <w:top w:w="90" w:type="dxa"/>
              <w:left w:w="130" w:type="dxa"/>
              <w:bottom w:w="90" w:type="dxa"/>
              <w:right w:w="130" w:type="dxa"/>
            </w:tcMar>
            <w:vAlign w:val="center"/>
          </w:tcPr>
          <w:p w:rsidR="00233CE3" w:rsidRDefault="00AD42BA">
            <w:r>
              <w:rPr>
                <w:sz w:val="19"/>
                <w:szCs w:val="19"/>
              </w:rPr>
              <w:t xml:space="preserve">This is the highest-intent moment in the funnel </w:t>
            </w:r>
            <w:r w:rsidR="005B3E67">
              <w:rPr>
                <w:sz w:val="19"/>
                <w:szCs w:val="19"/>
              </w:rPr>
              <w:t>-</w:t>
            </w:r>
            <w:r>
              <w:rPr>
                <w:sz w:val="19"/>
                <w:szCs w:val="19"/>
              </w:rPr>
              <w:t xml:space="preserve"> the visitor has already decided to sign up. A silent reset is indistinguishable from a technical fault, so the most likely reading is “this site is broken,” not “I am not eligible.” The visitor then learns </w:t>
            </w:r>
            <w:r>
              <w:rPr>
                <w:sz w:val="19"/>
                <w:szCs w:val="19"/>
              </w:rPr>
              <w:t>the restriction from a search engine rather than from Wise, which is the least favourable way for a trust-dependent financial product to communicate a constraint it is already enforcing.</w:t>
            </w:r>
          </w:p>
        </w:tc>
      </w:tr>
      <w:tr w:rsidR="00233CE3">
        <w:tblPrEx>
          <w:tblCellMar>
            <w:top w:w="0" w:type="dxa"/>
            <w:bottom w:w="0" w:type="dxa"/>
          </w:tblCellMar>
        </w:tblPrEx>
        <w:tc>
          <w:tcPr>
            <w:tcW w:w="1050" w:type="pct"/>
            <w:gridSpan w:val="2"/>
            <w:tcBorders>
              <w:top w:val="single" w:sz="2" w:space="0" w:color="D9DEE4"/>
              <w:left w:val="single" w:sz="2" w:space="0" w:color="D9DEE4"/>
              <w:bottom w:val="single" w:sz="2" w:space="0" w:color="D9DEE4"/>
              <w:right w:val="single" w:sz="2" w:space="0" w:color="D9DEE4"/>
            </w:tcBorders>
            <w:shd w:val="clear" w:color="auto" w:fill="EAF3F3"/>
            <w:tcMar>
              <w:top w:w="90" w:type="dxa"/>
              <w:left w:w="130" w:type="dxa"/>
              <w:bottom w:w="90" w:type="dxa"/>
              <w:right w:w="130" w:type="dxa"/>
            </w:tcMar>
            <w:vAlign w:val="center"/>
          </w:tcPr>
          <w:p w:rsidR="00233CE3" w:rsidRDefault="00AD42BA">
            <w:r>
              <w:rPr>
                <w:b/>
                <w:bCs/>
                <w:color w:val="1F6F73"/>
                <w:sz w:val="18"/>
                <w:szCs w:val="18"/>
              </w:rPr>
              <w:t>Recommended action</w:t>
            </w:r>
          </w:p>
        </w:tc>
        <w:tc>
          <w:tcPr>
            <w:tcW w:w="3950" w:type="pct"/>
            <w:gridSpan w:val="2"/>
            <w:tcBorders>
              <w:top w:val="single" w:sz="2" w:space="0" w:color="D9DEE4"/>
              <w:left w:val="single" w:sz="2" w:space="0" w:color="D9DEE4"/>
              <w:bottom w:val="single" w:sz="2" w:space="0" w:color="D9DEE4"/>
              <w:right w:val="single" w:sz="2" w:space="0" w:color="D9DEE4"/>
            </w:tcBorders>
            <w:shd w:val="clear" w:color="auto" w:fill="EAF3F3"/>
            <w:tcMar>
              <w:top w:w="90" w:type="dxa"/>
              <w:left w:w="130" w:type="dxa"/>
              <w:bottom w:w="90" w:type="dxa"/>
              <w:right w:w="130" w:type="dxa"/>
            </w:tcMar>
            <w:vAlign w:val="center"/>
          </w:tcPr>
          <w:p w:rsidR="00233CE3" w:rsidRDefault="00AD42BA">
            <w:r>
              <w:rPr>
                <w:sz w:val="19"/>
                <w:szCs w:val="19"/>
              </w:rPr>
              <w:t xml:space="preserve">Interrupt the loop with an explicit message when </w:t>
            </w:r>
            <w:r>
              <w:rPr>
                <w:sz w:val="19"/>
                <w:szCs w:val="19"/>
              </w:rPr>
              <w:t xml:space="preserve">the blocked combination is detected </w:t>
            </w:r>
            <w:r w:rsidR="005B3E67">
              <w:rPr>
                <w:sz w:val="19"/>
                <w:szCs w:val="19"/>
              </w:rPr>
              <w:t>-</w:t>
            </w:r>
            <w:r>
              <w:rPr>
                <w:sz w:val="19"/>
                <w:szCs w:val="19"/>
              </w:rPr>
              <w:t xml:space="preserve"> e.g. “Wise doesn't currently offer personal accounts to residents of India” </w:t>
            </w:r>
            <w:r w:rsidR="005B3E67">
              <w:rPr>
                <w:sz w:val="19"/>
                <w:szCs w:val="19"/>
              </w:rPr>
              <w:t>-</w:t>
            </w:r>
            <w:r>
              <w:rPr>
                <w:sz w:val="19"/>
                <w:szCs w:val="19"/>
              </w:rPr>
              <w:t xml:space="preserve"> with a route to any available alternative.</w:t>
            </w:r>
          </w:p>
        </w:tc>
      </w:tr>
    </w:tbl>
    <w:p w:rsidR="00233CE3" w:rsidRDefault="00233CE3">
      <w:pPr>
        <w:spacing w:after="240"/>
      </w:pPr>
    </w:p>
    <w:p w:rsidR="00233CE3" w:rsidRDefault="00AD42BA">
      <w:pPr>
        <w:pBdr>
          <w:top w:val="single" w:sz="4" w:space="6" w:color="D9DEE4"/>
          <w:bottom w:val="single" w:sz="4" w:space="6" w:color="D9DEE4"/>
        </w:pBdr>
        <w:spacing w:before="140" w:after="40"/>
        <w:jc w:val="center"/>
      </w:pPr>
      <w:r>
        <w:rPr>
          <w:noProof/>
        </w:rPr>
        <w:lastRenderedPageBreak/>
        <w:drawing>
          <wp:inline distT="0" distB="0" distL="0" distR="0" wp14:anchorId="2FAB19C8" wp14:editId="5208DBE1">
            <wp:extent cx="5120640" cy="2214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2214768"/>
                    </a:xfrm>
                    <a:prstGeom prst="rect">
                      <a:avLst/>
                    </a:prstGeom>
                  </pic:spPr>
                </pic:pic>
              </a:graphicData>
            </a:graphic>
          </wp:inline>
        </w:drawing>
      </w:r>
    </w:p>
    <w:p w:rsidR="00233CE3" w:rsidRDefault="00AD42BA">
      <w:pPr>
        <w:spacing w:after="220"/>
        <w:jc w:val="center"/>
      </w:pPr>
      <w:r>
        <w:rPr>
          <w:b/>
          <w:bCs/>
          <w:color w:val="1F6F73"/>
          <w:sz w:val="17"/>
          <w:szCs w:val="17"/>
        </w:rPr>
        <w:t xml:space="preserve">Figure C  </w:t>
      </w:r>
      <w:r>
        <w:rPr>
          <w:color w:val="6B7280"/>
          <w:sz w:val="17"/>
          <w:szCs w:val="17"/>
        </w:rPr>
        <w:t>Evidence: choosing “Personal” here returns to the Welcome screen with no message shown (F1).</w:t>
      </w:r>
    </w:p>
    <w:p w:rsidR="00233CE3" w:rsidRDefault="00AD42BA">
      <w:pPr>
        <w:pStyle w:val="Heading1"/>
        <w:pBdr>
          <w:bottom w:val="single" w:sz="8" w:space="6" w:color="1F6F73"/>
        </w:pBdr>
        <w:spacing w:before="440" w:after="160"/>
      </w:pPr>
      <w:bookmarkStart w:id="10" w:name="_Toc240546682"/>
      <w:r>
        <w:rPr>
          <w:color w:val="B8863B"/>
        </w:rPr>
        <w:t xml:space="preserve">3.  </w:t>
      </w:r>
      <w:r>
        <w:t>Recommendations</w:t>
      </w:r>
      <w:bookmarkEnd w:id="10"/>
    </w:p>
    <w:p w:rsidR="00233CE3" w:rsidRDefault="00AD42BA">
      <w:pPr>
        <w:spacing w:after="200"/>
      </w:pPr>
      <w:r>
        <w:rPr>
          <w:i/>
          <w:iCs/>
          <w:color w:val="6B7280"/>
          <w:sz w:val="20"/>
          <w:szCs w:val="20"/>
        </w:rPr>
        <w:t>Three changes, ordered by priority, each tied to specific findings above.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rFonts w:ascii="Cambria" w:eastAsia="Cambria" w:hAnsi="Cambria" w:cs="Cambria"/>
                <w:b/>
                <w:bCs/>
                <w:color w:val="FFFFFF"/>
                <w:sz w:val="18"/>
                <w:szCs w:val="18"/>
              </w:rPr>
              <w:t xml:space="preserve">RECOMMENDATION 1   </w:t>
            </w:r>
            <w:r>
              <w:rPr>
                <w:b/>
                <w:bCs/>
                <w:color w:val="FFFFFF"/>
                <w:sz w:val="19"/>
                <w:szCs w:val="19"/>
              </w:rPr>
              <w:t>Replace the silent signup reset with an explicit r</w:t>
            </w:r>
            <w:r>
              <w:rPr>
                <w:b/>
                <w:bCs/>
                <w:color w:val="FFFFFF"/>
                <w:sz w:val="19"/>
                <w:szCs w:val="19"/>
              </w:rPr>
              <w:t>estriction message</w:t>
            </w:r>
          </w:p>
        </w:tc>
      </w:tr>
      <w:tr w:rsidR="00233CE3">
        <w:tblPrEx>
          <w:tblCellMar>
            <w:top w:w="0" w:type="dxa"/>
            <w:bottom w:w="0" w:type="dxa"/>
          </w:tblCellMar>
        </w:tblPrEx>
        <w:tc>
          <w:tcPr>
            <w:tcW w:w="5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F6F73"/>
                <w:sz w:val="18"/>
                <w:szCs w:val="18"/>
              </w:rPr>
              <w:t>Findings addressed: F1</w:t>
            </w:r>
          </w:p>
          <w:p w:rsidR="00233CE3" w:rsidRDefault="00AD42BA">
            <w:pPr>
              <w:spacing w:after="160"/>
            </w:pPr>
            <w:r>
              <w:rPr>
                <w:sz w:val="20"/>
                <w:szCs w:val="20"/>
              </w:rPr>
              <w:t>When a blocked account-type and residence combination is detected, stop the loop and state the reason in place, with a route to any available alternative.</w:t>
            </w:r>
          </w:p>
          <w:p w:rsidR="00233CE3" w:rsidRDefault="00AD42BA">
            <w:r>
              <w:rPr>
                <w:sz w:val="18"/>
                <w:szCs w:val="18"/>
              </w:rPr>
              <w:t xml:space="preserve">Rationale: The system already detects the condition </w:t>
            </w:r>
            <w:r w:rsidR="005B3E67">
              <w:rPr>
                <w:sz w:val="18"/>
                <w:szCs w:val="18"/>
              </w:rPr>
              <w:t>-</w:t>
            </w:r>
            <w:r>
              <w:rPr>
                <w:sz w:val="18"/>
                <w:szCs w:val="18"/>
              </w:rPr>
              <w:t xml:space="preserve"> it is acting on it. The only thing missing is telling the person it affects. An unexplained reset converts a policy constraint into what looks like a defect.</w:t>
            </w:r>
          </w:p>
          <w:p w:rsidR="00233CE3" w:rsidRDefault="00AD42BA">
            <w:r>
              <w:rPr>
                <w:sz w:val="18"/>
                <w:szCs w:val="18"/>
              </w:rPr>
              <w:t>Placement: At the moment the blocking combin</w:t>
            </w:r>
            <w:r>
              <w:rPr>
                <w:sz w:val="18"/>
                <w:szCs w:val="18"/>
              </w:rPr>
              <w:t>ation is detected, immediately after country or account-type selection.</w:t>
            </w:r>
          </w:p>
          <w:p w:rsidR="00233CE3" w:rsidRDefault="00AD42BA">
            <w:r>
              <w:rPr>
                <w:sz w:val="18"/>
                <w:szCs w:val="18"/>
              </w:rPr>
              <w:t>Success signal: No visitor attempts the blocked combination more than once; drop-off at this step becomes an explicit, auditable event rather than inferred abandonment.</w:t>
            </w:r>
          </w:p>
          <w:p w:rsidR="00233CE3" w:rsidRDefault="00AD42BA">
            <w:r>
              <w:rPr>
                <w:i/>
                <w:iCs/>
                <w:color w:val="8A3B2C"/>
                <w:sz w:val="18"/>
                <w:szCs w:val="18"/>
              </w:rPr>
              <w:t>Before shipping: confirm the specific reason with Wise's product or compliance team. It is sourced from an external search, not from Wise (see “What's confirmed”, Section 1). If unconfirmed, use generic decline wording rather than naming India specifically</w:t>
            </w:r>
            <w:r>
              <w:rPr>
                <w:i/>
                <w:iCs/>
                <w:color w:val="8A3B2C"/>
                <w:sz w:val="18"/>
                <w:szCs w:val="18"/>
              </w:rPr>
              <w:t>.</w:t>
            </w:r>
          </w:p>
        </w:tc>
      </w:tr>
    </w:tbl>
    <w:p w:rsidR="00233CE3" w:rsidRDefault="00233CE3">
      <w:pPr>
        <w:spacing w:after="220"/>
      </w:pPr>
    </w:p>
    <w:p w:rsidR="00233CE3" w:rsidRDefault="00AD42BA">
      <w:pPr>
        <w:pBdr>
          <w:top w:val="single" w:sz="4" w:space="6" w:color="D9DEE4"/>
          <w:bottom w:val="single" w:sz="4" w:space="6" w:color="D9DEE4"/>
        </w:pBdr>
        <w:spacing w:before="140" w:after="40"/>
        <w:jc w:val="center"/>
      </w:pPr>
      <w:r>
        <w:rPr>
          <w:noProof/>
        </w:rPr>
        <w:drawing>
          <wp:inline distT="0" distB="0" distL="0" distR="0" wp14:anchorId="38E838DB" wp14:editId="3FD9F589">
            <wp:extent cx="4206240" cy="2622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06240" cy="2622245"/>
                    </a:xfrm>
                    <a:prstGeom prst="rect">
                      <a:avLst/>
                    </a:prstGeom>
                  </pic:spPr>
                </pic:pic>
              </a:graphicData>
            </a:graphic>
          </wp:inline>
        </w:drawing>
      </w:r>
    </w:p>
    <w:p w:rsidR="00233CE3" w:rsidRDefault="00AD42BA">
      <w:pPr>
        <w:spacing w:after="220"/>
        <w:jc w:val="center"/>
      </w:pPr>
      <w:r>
        <w:rPr>
          <w:b/>
          <w:bCs/>
          <w:color w:val="1F6F73"/>
          <w:sz w:val="17"/>
          <w:szCs w:val="17"/>
        </w:rPr>
        <w:lastRenderedPageBreak/>
        <w:t xml:space="preserve">Figure D  </w:t>
      </w:r>
      <w:r>
        <w:rPr>
          <w:color w:val="6B7280"/>
          <w:sz w:val="17"/>
          <w:szCs w:val="17"/>
        </w:rPr>
        <w:t xml:space="preserve">Proposed fix (mockup, not a live Wise screen): the Welcome-to-Wise screen with an inline restriction message and an alternative path. Wording is illustrative </w:t>
      </w:r>
      <w:r w:rsidR="005B3E67">
        <w:rPr>
          <w:color w:val="6B7280"/>
          <w:sz w:val="17"/>
          <w:szCs w:val="17"/>
        </w:rPr>
        <w:t>-</w:t>
      </w:r>
      <w:r>
        <w:rPr>
          <w:color w:val="6B7280"/>
          <w:sz w:val="17"/>
          <w:szCs w:val="17"/>
        </w:rPr>
        <w:t xml:space="preserve"> confirm the stated reason before shipping.</w:t>
      </w:r>
    </w:p>
    <w:p w:rsidR="00233CE3" w:rsidRDefault="00233CE3">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rFonts w:ascii="Cambria" w:eastAsia="Cambria" w:hAnsi="Cambria" w:cs="Cambria"/>
                <w:b/>
                <w:bCs/>
                <w:color w:val="FFFFFF"/>
                <w:sz w:val="18"/>
                <w:szCs w:val="18"/>
              </w:rPr>
              <w:t xml:space="preserve">RECOMMENDATION 2   </w:t>
            </w:r>
            <w:r>
              <w:rPr>
                <w:b/>
                <w:bCs/>
                <w:color w:val="FFFFFF"/>
                <w:sz w:val="19"/>
                <w:szCs w:val="19"/>
              </w:rPr>
              <w:t>Surface country eligibility before signup begins</w:t>
            </w:r>
          </w:p>
        </w:tc>
      </w:tr>
      <w:tr w:rsidR="00233CE3">
        <w:tblPrEx>
          <w:tblCellMar>
            <w:top w:w="0" w:type="dxa"/>
            <w:bottom w:w="0" w:type="dxa"/>
          </w:tblCellMar>
        </w:tblPrEx>
        <w:tc>
          <w:tcPr>
            <w:tcW w:w="5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F6F73"/>
                <w:sz w:val="18"/>
                <w:szCs w:val="18"/>
              </w:rPr>
              <w:t>Findings addressed: F2</w:t>
            </w:r>
          </w:p>
          <w:p w:rsidR="00233CE3" w:rsidRDefault="00AD42BA">
            <w:pPr>
              <w:spacing w:after="160"/>
            </w:pPr>
            <w:r>
              <w:rPr>
                <w:sz w:val="20"/>
                <w:szCs w:val="20"/>
              </w:rPr>
              <w:t>Show a short, country-aware eligibility line on the pricing and send-money pages once the visitor's country is known or selected.</w:t>
            </w:r>
          </w:p>
          <w:p w:rsidR="00233CE3" w:rsidRDefault="00AD42BA">
            <w:r>
              <w:rPr>
                <w:sz w:val="18"/>
                <w:szCs w:val="18"/>
              </w:rPr>
              <w:t xml:space="preserve">Rationale: The evaluator checked three separate surfaces and still could not find this. It is decided-but-hidden information, not unknown information </w:t>
            </w:r>
            <w:r w:rsidR="005B3E67">
              <w:rPr>
                <w:sz w:val="18"/>
                <w:szCs w:val="18"/>
              </w:rPr>
              <w:t>-</w:t>
            </w:r>
            <w:r>
              <w:rPr>
                <w:sz w:val="18"/>
                <w:szCs w:val="18"/>
              </w:rPr>
              <w:t xml:space="preserve"> and showing it earlier prevents the wasted signup attempt entirely.</w:t>
            </w:r>
          </w:p>
          <w:p w:rsidR="00233CE3" w:rsidRDefault="00AD42BA">
            <w:r>
              <w:rPr>
                <w:sz w:val="18"/>
                <w:szCs w:val="18"/>
              </w:rPr>
              <w:t>Placement: Directly beneath the tran</w:t>
            </w:r>
            <w:r>
              <w:rPr>
                <w:sz w:val="18"/>
                <w:szCs w:val="18"/>
              </w:rPr>
              <w:t>sfer calculator, and on the send-money landing page.</w:t>
            </w:r>
          </w:p>
          <w:p w:rsidR="00233CE3" w:rsidRDefault="00AD42BA">
            <w:r>
              <w:rPr>
                <w:sz w:val="18"/>
                <w:szCs w:val="18"/>
              </w:rPr>
              <w:t>Success signal: Visitors can state their eligibility status without leaving the pricing or send-money page; Help Centre searches for country restrictions fall.</w:t>
            </w:r>
          </w:p>
        </w:tc>
      </w:tr>
    </w:tbl>
    <w:p w:rsidR="00233CE3" w:rsidRDefault="00233CE3">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rFonts w:ascii="Cambria" w:eastAsia="Cambria" w:hAnsi="Cambria" w:cs="Cambria"/>
                <w:b/>
                <w:bCs/>
                <w:color w:val="FFFFFF"/>
                <w:sz w:val="18"/>
                <w:szCs w:val="18"/>
              </w:rPr>
              <w:t xml:space="preserve">RECOMMENDATION 3   </w:t>
            </w:r>
            <w:r>
              <w:rPr>
                <w:b/>
                <w:bCs/>
                <w:color w:val="FFFFFF"/>
                <w:sz w:val="19"/>
                <w:szCs w:val="19"/>
              </w:rPr>
              <w:t>Give the calculator enough context to be interpreted</w:t>
            </w:r>
          </w:p>
        </w:tc>
      </w:tr>
      <w:tr w:rsidR="00233CE3">
        <w:tblPrEx>
          <w:tblCellMar>
            <w:top w:w="0" w:type="dxa"/>
            <w:bottom w:w="0" w:type="dxa"/>
          </w:tblCellMar>
        </w:tblPrEx>
        <w:tc>
          <w:tcPr>
            <w:tcW w:w="50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F6F73"/>
                <w:sz w:val="18"/>
                <w:szCs w:val="18"/>
              </w:rPr>
              <w:t>Findings addressed: F3, F4</w:t>
            </w:r>
          </w:p>
          <w:p w:rsidR="00233CE3" w:rsidRDefault="00AD42BA">
            <w:pPr>
              <w:spacing w:after="160"/>
            </w:pPr>
            <w:r>
              <w:rPr>
                <w:sz w:val="20"/>
                <w:szCs w:val="20"/>
              </w:rPr>
              <w:t>Add a mid-market reference rate beside the quoted rate, and an explicit time zone on the arrival estimate.</w:t>
            </w:r>
          </w:p>
          <w:p w:rsidR="00233CE3" w:rsidRDefault="00AD42BA">
            <w:r>
              <w:rPr>
                <w:sz w:val="18"/>
                <w:szCs w:val="18"/>
              </w:rPr>
              <w:t xml:space="preserve">Rationale: Both are things the evaluator wanted and had to source elsewhere or guess at. The underlying data is already on the page </w:t>
            </w:r>
            <w:r w:rsidR="005B3E67">
              <w:rPr>
                <w:sz w:val="18"/>
                <w:szCs w:val="18"/>
              </w:rPr>
              <w:t>-</w:t>
            </w:r>
            <w:r>
              <w:rPr>
                <w:sz w:val="18"/>
                <w:szCs w:val="18"/>
              </w:rPr>
              <w:t xml:space="preserve"> it is presented in a form that cannot be anchored.</w:t>
            </w:r>
          </w:p>
          <w:p w:rsidR="00233CE3" w:rsidRDefault="00AD42BA">
            <w:r>
              <w:rPr>
                <w:sz w:val="18"/>
                <w:szCs w:val="18"/>
              </w:rPr>
              <w:t>Placement: Inside the existing calculator card, beside “Total fees” and</w:t>
            </w:r>
            <w:r>
              <w:rPr>
                <w:sz w:val="18"/>
                <w:szCs w:val="18"/>
              </w:rPr>
              <w:t xml:space="preserve"> “Arrives.”</w:t>
            </w:r>
          </w:p>
          <w:p w:rsidR="00233CE3" w:rsidRDefault="00AD42BA">
            <w:r>
              <w:rPr>
                <w:sz w:val="18"/>
                <w:szCs w:val="18"/>
              </w:rPr>
              <w:t>Success signal: Visitors can judge rate competitiveness and expected local arrival time without opening another tab.</w:t>
            </w:r>
          </w:p>
        </w:tc>
      </w:tr>
    </w:tbl>
    <w:p w:rsidR="00233CE3" w:rsidRDefault="00233CE3">
      <w:pPr>
        <w:spacing w:after="220"/>
      </w:pPr>
    </w:p>
    <w:p w:rsidR="00233CE3" w:rsidRDefault="00AD42BA">
      <w:pPr>
        <w:pStyle w:val="Heading1"/>
        <w:pBdr>
          <w:bottom w:val="single" w:sz="8" w:space="6" w:color="1F6F73"/>
        </w:pBdr>
        <w:spacing w:before="440" w:after="160"/>
      </w:pPr>
      <w:bookmarkStart w:id="11" w:name="_Toc240546683"/>
      <w:r>
        <w:rPr>
          <w:color w:val="B8863B"/>
        </w:rPr>
        <w:t xml:space="preserve">4.  </w:t>
      </w:r>
      <w:r>
        <w:t>What I would validate with real users</w:t>
      </w:r>
      <w:bookmarkEnd w:id="11"/>
    </w:p>
    <w:p w:rsidR="00233CE3" w:rsidRDefault="00AD42BA">
      <w:pPr>
        <w:spacing w:after="200"/>
      </w:pPr>
      <w:r>
        <w:rPr>
          <w:i/>
          <w:iCs/>
          <w:color w:val="6B7280"/>
          <w:sz w:val="20"/>
          <w:szCs w:val="20"/>
        </w:rPr>
        <w:t>A cognitive walkthrough evaluates one path through the eyes of one evaluator. The plan below is what would turn these hypotheses into evidence.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7504"/>
      </w:tblGrid>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Participants</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Five to eight first-time, India-based visitors who have not used Wise or a comparable transfer serv</w:t>
            </w:r>
            <w:r>
              <w:rPr>
                <w:sz w:val="19"/>
                <w:szCs w:val="19"/>
              </w:rPr>
              <w:t>ice, including at least one intending a large (&gt;₹5,00,000) transfer.</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Method</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Moderated remote usability sessions with think-aloud, plus a short follow-up interview.</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Tasks</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The same scenario: find the cost and rate, find the delivery time, determine eligibility, and reach the first signup step.</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Success measures</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Task completion per question, time on task, number of tab-switches to external sites, self-reported confidence, and</w:t>
            </w:r>
            <w:r>
              <w:rPr>
                <w:sz w:val="19"/>
                <w:szCs w:val="19"/>
              </w:rPr>
              <w:t xml:space="preserve"> whether signup was completed or abandoned.</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Evidence to collect</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Screen recordings, think-aloud quotes, hesitation points and misclicks at the Personal + India step, and every moment a participant leaves the site to verify something Wise could have told th</w:t>
            </w:r>
            <w:r>
              <w:rPr>
                <w:sz w:val="19"/>
                <w:szCs w:val="19"/>
              </w:rPr>
              <w:t>em.</w:t>
            </w:r>
          </w:p>
        </w:tc>
      </w:tr>
    </w:tbl>
    <w:p w:rsidR="00233CE3" w:rsidRDefault="00233CE3">
      <w:pPr>
        <w:spacing w:before="240"/>
      </w:pPr>
    </w:p>
    <w:p w:rsidR="00233CE3" w:rsidRDefault="00AD42BA">
      <w:pPr>
        <w:pStyle w:val="Heading2"/>
        <w:spacing w:before="300" w:after="110"/>
      </w:pPr>
      <w:bookmarkStart w:id="12" w:name="_Toc240546684"/>
      <w:r>
        <w:t>Hypotheses</w:t>
      </w:r>
      <w:bookmarkEnd w:id="12"/>
    </w:p>
    <w:p w:rsidR="00233CE3" w:rsidRDefault="00AD42BA">
      <w:pPr>
        <w:pStyle w:val="ListParagraph"/>
        <w:numPr>
          <w:ilvl w:val="0"/>
          <w:numId w:val="2"/>
        </w:numPr>
        <w:spacing w:after="70"/>
      </w:pPr>
      <w:r>
        <w:t xml:space="preserve">H1 </w:t>
      </w:r>
      <w:r w:rsidR="005B3E67">
        <w:t>-</w:t>
      </w:r>
      <w:r>
        <w:t xml:space="preserve"> First-time, India-based visitors attempting a Personal account will encounter the same unexplained loop, and will attribute it to a site fault rather than to an eligibility restriction.</w:t>
      </w:r>
    </w:p>
    <w:p w:rsidR="00233CE3" w:rsidRDefault="00AD42BA">
      <w:pPr>
        <w:pStyle w:val="ListParagraph"/>
        <w:numPr>
          <w:ilvl w:val="0"/>
          <w:numId w:val="2"/>
        </w:numPr>
        <w:spacing w:after="70"/>
      </w:pPr>
      <w:r>
        <w:t xml:space="preserve">H2 </w:t>
      </w:r>
      <w:r w:rsidR="005B3E67">
        <w:t>-</w:t>
      </w:r>
      <w:r>
        <w:t xml:space="preserve"> Visitors will judge Wise's exchange rate by comparing it against a figure sourced outside the page, rather than from information Wise provides.</w:t>
      </w:r>
    </w:p>
    <w:p w:rsidR="00233CE3" w:rsidRDefault="00AD42BA">
      <w:pPr>
        <w:pStyle w:val="ListParagraph"/>
        <w:numPr>
          <w:ilvl w:val="0"/>
          <w:numId w:val="2"/>
        </w:numPr>
        <w:spacing w:after="70"/>
      </w:pPr>
      <w:r>
        <w:lastRenderedPageBreak/>
        <w:t xml:space="preserve">H3 </w:t>
      </w:r>
      <w:r w:rsidR="005B3E67">
        <w:t>-</w:t>
      </w:r>
      <w:r>
        <w:t xml:space="preserve"> An explicit inline eligibility message will reduce both abandonment at the signup step and Help Centre</w:t>
      </w:r>
      <w:r>
        <w:t xml:space="preserve"> searches for country restrictions.</w:t>
      </w:r>
    </w:p>
    <w:p w:rsidR="00233CE3" w:rsidRDefault="00AD42BA">
      <w:r>
        <w:br w:type="page"/>
      </w:r>
    </w:p>
    <w:p w:rsidR="00233CE3" w:rsidRDefault="00AD42BA">
      <w:pPr>
        <w:pStyle w:val="Heading1"/>
        <w:pBdr>
          <w:bottom w:val="single" w:sz="8" w:space="6" w:color="1F6F73"/>
        </w:pBdr>
        <w:spacing w:before="440" w:after="160"/>
      </w:pPr>
      <w:bookmarkStart w:id="13" w:name="_Toc240546685"/>
      <w:r>
        <w:rPr>
          <w:color w:val="B8863B"/>
        </w:rPr>
        <w:lastRenderedPageBreak/>
        <w:t xml:space="preserve">A.  </w:t>
      </w:r>
      <w:r>
        <w:t xml:space="preserve">Appendix A </w:t>
      </w:r>
      <w:r w:rsidR="005B3E67">
        <w:t>-</w:t>
      </w:r>
      <w:r>
        <w:t xml:space="preserve"> Method, scope, and evaluation assumptions</w:t>
      </w:r>
      <w:bookmarkEnd w:id="13"/>
    </w:p>
    <w:p w:rsidR="00233CE3" w:rsidRDefault="00AD42BA">
      <w:pPr>
        <w:spacing w:after="200"/>
      </w:pPr>
      <w:r>
        <w:rPr>
          <w:i/>
          <w:iCs/>
          <w:color w:val="6B7280"/>
          <w:sz w:val="20"/>
          <w:szCs w:val="20"/>
        </w:rPr>
        <w:t>The scenario below was defined before the product was inspected, to reduce the risk of fitting a task to an interesting discovery after the fact.</w:t>
      </w:r>
    </w:p>
    <w:p w:rsidR="00233CE3" w:rsidRDefault="00AD42BA">
      <w:pPr>
        <w:pStyle w:val="Heading2"/>
        <w:spacing w:before="300" w:after="110"/>
      </w:pPr>
      <w:bookmarkStart w:id="14" w:name="_Toc240546686"/>
      <w:r>
        <w:t>A1. User goal</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7504"/>
      </w:tblGrid>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USER GOAL</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 xml:space="preserve">First confirm that Wise can send money internationally. If so, learn what it costs (fees and exchange rate), how long it takes, and what eligibility criteria apply to a resident of India </w:t>
            </w:r>
            <w:r w:rsidR="005B3E67">
              <w:rPr>
                <w:sz w:val="19"/>
                <w:szCs w:val="19"/>
              </w:rPr>
              <w:t>-</w:t>
            </w:r>
            <w:r>
              <w:rPr>
                <w:sz w:val="19"/>
                <w:szCs w:val="19"/>
              </w:rPr>
              <w:t xml:space="preserve"> then find the first step to create an account.</w:t>
            </w:r>
          </w:p>
        </w:tc>
      </w:tr>
    </w:tbl>
    <w:p w:rsidR="00233CE3" w:rsidRDefault="00AD42BA">
      <w:pPr>
        <w:pStyle w:val="Heading2"/>
        <w:spacing w:before="300" w:after="110"/>
      </w:pPr>
      <w:bookmarkStart w:id="15" w:name="_Toc240546687"/>
      <w:r>
        <w:t>A2. Task</w:t>
      </w:r>
      <w:r>
        <w:t xml:space="preserve"> scenario</w:t>
      </w:r>
      <w:bookmarkEnd w:id="15"/>
    </w:p>
    <w:p w:rsidR="00233CE3" w:rsidRDefault="00AD42BA">
      <w:pPr>
        <w:pBdr>
          <w:left w:val="single" w:sz="18" w:space="10" w:color="1F6F73"/>
        </w:pBdr>
        <w:spacing w:after="200"/>
        <w:ind w:left="200"/>
      </w:pPr>
      <w:r>
        <w:rPr>
          <w:i/>
          <w:iCs/>
        </w:rPr>
        <w:t>“You are a first-time user who wants to understand whether this service can help you send money internationally. Find the fees, exchange-rate information, delivery time, eligibility requirements, and the first step to create an account.”</w:t>
      </w:r>
    </w:p>
    <w:p w:rsidR="00233CE3" w:rsidRDefault="00AD42BA">
      <w:pPr>
        <w:pStyle w:val="Heading2"/>
        <w:spacing w:before="300" w:after="110"/>
      </w:pPr>
      <w:bookmarkStart w:id="16" w:name="_Toc240546688"/>
      <w:r>
        <w:t>A3. Scope and safety</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7504"/>
      </w:tblGrid>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Product</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 xml:space="preserve">Wise </w:t>
            </w:r>
            <w:r w:rsidR="005B3E67">
              <w:rPr>
                <w:sz w:val="19"/>
                <w:szCs w:val="19"/>
              </w:rPr>
              <w:t>-</w:t>
            </w:r>
            <w:r>
              <w:rPr>
                <w:sz w:val="19"/>
                <w:szCs w:val="19"/>
              </w:rPr>
              <w:t xml:space="preserve"> https://wise.com/</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Starting point</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Landing page (wise.com), arrived at as an unauthenticated first-time visitor</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Device / browser</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Chrome, desktop</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Account status</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First-time visitor, no existing account</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Stopping point</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After collecting the required information, or immediately before entering personal or financial data during signup</w:t>
            </w:r>
          </w:p>
        </w:tc>
      </w:tr>
      <w:tr w:rsidR="00233CE3">
        <w:tblPrEx>
          <w:tblCellMar>
            <w:top w:w="0" w:type="dxa"/>
            <w:bottom w:w="0" w:type="dxa"/>
          </w:tblCellMar>
        </w:tblPrEx>
        <w:tc>
          <w:tcPr>
            <w:tcW w:w="1200" w:type="pct"/>
            <w:tcBorders>
              <w:top w:val="single" w:sz="2" w:space="0" w:color="D9DEE4"/>
              <w:left w:val="single" w:sz="2" w:space="0" w:color="D9DEE4"/>
              <w:bottom w:val="single" w:sz="2" w:space="0" w:color="D9DEE4"/>
              <w:right w:val="single" w:sz="2" w:space="0" w:color="D9DEE4"/>
            </w:tcBorders>
            <w:shd w:val="clear" w:color="auto" w:fill="F3F5F8"/>
            <w:tcMar>
              <w:top w:w="90" w:type="dxa"/>
              <w:left w:w="130" w:type="dxa"/>
              <w:bottom w:w="90" w:type="dxa"/>
              <w:right w:w="130" w:type="dxa"/>
            </w:tcMar>
            <w:vAlign w:val="center"/>
          </w:tcPr>
          <w:p w:rsidR="00233CE3" w:rsidRDefault="00AD42BA">
            <w:r>
              <w:rPr>
                <w:b/>
                <w:bCs/>
                <w:color w:val="142A4C"/>
                <w:sz w:val="19"/>
                <w:szCs w:val="19"/>
              </w:rPr>
              <w:t>Evaluator role</w:t>
            </w:r>
          </w:p>
        </w:tc>
        <w:tc>
          <w:tcPr>
            <w:tcW w:w="38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9"/>
                <w:szCs w:val="19"/>
              </w:rPr>
              <w:t>Throughout this report, “the evaluator” refers to the author acting out the first-time-visitor scenario. No real participants</w:t>
            </w:r>
            <w:r>
              <w:rPr>
                <w:sz w:val="19"/>
                <w:szCs w:val="19"/>
              </w:rPr>
              <w:t xml:space="preserve"> took part.</w:t>
            </w:r>
          </w:p>
        </w:tc>
      </w:tr>
    </w:tbl>
    <w:p w:rsidR="00233CE3" w:rsidRDefault="00AD42BA">
      <w:pPr>
        <w:pStyle w:val="Heading2"/>
        <w:spacing w:before="300" w:after="110"/>
      </w:pPr>
      <w:bookmarkStart w:id="17" w:name="_Toc240546689"/>
      <w:r>
        <w:t>A4. Expected path</w:t>
      </w:r>
      <w:bookmarkEnd w:id="17"/>
    </w:p>
    <w:p w:rsidR="00233CE3" w:rsidRDefault="00AD42BA">
      <w:pPr>
        <w:spacing w:after="200"/>
      </w:pPr>
      <w:r>
        <w:rPr>
          <w:i/>
          <w:iCs/>
          <w:color w:val="6B7280"/>
          <w:sz w:val="20"/>
          <w:szCs w:val="20"/>
        </w:rPr>
        <w:t>These expectations describe what a first-time visitor needs in order to complete this task. They are evaluation assumptions, not claims about Wise's information architecture, business model, or regulatory obligations.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6714"/>
      </w:tblGrid>
      <w:tr w:rsidR="00233CE3">
        <w:tblPrEx>
          <w:tblCellMar>
            <w:top w:w="0" w:type="dxa"/>
            <w:bottom w:w="0" w:type="dxa"/>
          </w:tblCellMar>
        </w:tblPrEx>
        <w:trPr>
          <w:tblHeader/>
        </w:trPr>
        <w:tc>
          <w:tcPr>
            <w:tcW w:w="16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Step</w:t>
            </w:r>
          </w:p>
        </w:tc>
        <w:tc>
          <w:tcPr>
            <w:tcW w:w="34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Ex</w:t>
            </w:r>
            <w:r>
              <w:rPr>
                <w:b/>
                <w:bCs/>
                <w:color w:val="FFFFFF"/>
                <w:sz w:val="18"/>
                <w:szCs w:val="18"/>
              </w:rPr>
              <w:t>pected observation</w:t>
            </w:r>
          </w:p>
        </w:tc>
      </w:tr>
      <w:tr w:rsidR="00233CE3">
        <w:tblPrEx>
          <w:tblCellMar>
            <w:top w:w="0" w:type="dxa"/>
            <w:bottom w:w="0" w:type="dxa"/>
          </w:tblCellMar>
        </w:tblPrEx>
        <w:tc>
          <w:tcPr>
            <w:tcW w:w="1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1. Understand the service</w:t>
            </w:r>
          </w:p>
        </w:tc>
        <w:tc>
          <w:tcPr>
            <w:tcW w:w="3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The homepage states in plain language that the product sends money abroad.</w:t>
            </w:r>
          </w:p>
        </w:tc>
      </w:tr>
      <w:tr w:rsidR="00233CE3">
        <w:tblPrEx>
          <w:tblCellMar>
            <w:top w:w="0" w:type="dxa"/>
            <w:bottom w:w="0" w:type="dxa"/>
          </w:tblCellMar>
        </w:tblPrEx>
        <w:tc>
          <w:tcPr>
            <w:tcW w:w="1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2. Find transfer information</w:t>
            </w:r>
          </w:p>
        </w:tc>
        <w:tc>
          <w:tcPr>
            <w:tcW w:w="3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A short navigation path surfaces “send money” or “transfer” content.</w:t>
            </w:r>
          </w:p>
        </w:tc>
      </w:tr>
      <w:tr w:rsidR="00233CE3">
        <w:tblPrEx>
          <w:tblCellMar>
            <w:top w:w="0" w:type="dxa"/>
            <w:bottom w:w="0" w:type="dxa"/>
          </w:tblCellMar>
        </w:tblPrEx>
        <w:tc>
          <w:tcPr>
            <w:tcW w:w="1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3. Find fees</w:t>
            </w:r>
          </w:p>
        </w:tc>
        <w:tc>
          <w:tcPr>
            <w:tcW w:w="3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A pricing or fees page is reachable within a click or two of the homepage.</w:t>
            </w:r>
          </w:p>
        </w:tc>
      </w:tr>
      <w:tr w:rsidR="00233CE3">
        <w:tblPrEx>
          <w:tblCellMar>
            <w:top w:w="0" w:type="dxa"/>
            <w:bottom w:w="0" w:type="dxa"/>
          </w:tblCellMar>
        </w:tblPrEx>
        <w:tc>
          <w:tcPr>
            <w:tcW w:w="1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4. Understand exchange rate</w:t>
            </w:r>
          </w:p>
        </w:tc>
        <w:tc>
          <w:tcPr>
            <w:tcW w:w="3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A calculator shows “you send” against “recipient gets” at the current rate.</w:t>
            </w:r>
          </w:p>
        </w:tc>
      </w:tr>
      <w:tr w:rsidR="00233CE3">
        <w:tblPrEx>
          <w:tblCellMar>
            <w:top w:w="0" w:type="dxa"/>
            <w:bottom w:w="0" w:type="dxa"/>
          </w:tblCellMar>
        </w:tblPrEx>
        <w:tc>
          <w:tcPr>
            <w:tcW w:w="1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5. Find delivery time</w:t>
            </w:r>
          </w:p>
        </w:tc>
        <w:tc>
          <w:tcPr>
            <w:tcW w:w="3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The same calculator gives an arrival estimate.</w:t>
            </w:r>
          </w:p>
        </w:tc>
      </w:tr>
      <w:tr w:rsidR="00233CE3">
        <w:tblPrEx>
          <w:tblCellMar>
            <w:top w:w="0" w:type="dxa"/>
            <w:bottom w:w="0" w:type="dxa"/>
          </w:tblCellMar>
        </w:tblPrEx>
        <w:tc>
          <w:tcPr>
            <w:tcW w:w="1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6. Ch</w:t>
            </w:r>
            <w:r>
              <w:rPr>
                <w:b/>
                <w:bCs/>
                <w:color w:val="142A4C"/>
                <w:sz w:val="18"/>
                <w:szCs w:val="18"/>
              </w:rPr>
              <w:t>eck eligibility</w:t>
            </w:r>
          </w:p>
        </w:tc>
        <w:tc>
          <w:tcPr>
            <w:tcW w:w="3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Country-specific eligibility is visible before the visitor is asked to sign up.</w:t>
            </w:r>
          </w:p>
        </w:tc>
      </w:tr>
      <w:tr w:rsidR="00233CE3">
        <w:tblPrEx>
          <w:tblCellMar>
            <w:top w:w="0" w:type="dxa"/>
            <w:bottom w:w="0" w:type="dxa"/>
          </w:tblCellMar>
        </w:tblPrEx>
        <w:tc>
          <w:tcPr>
            <w:tcW w:w="1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7. Start account creation</w:t>
            </w:r>
          </w:p>
        </w:tc>
        <w:tc>
          <w:tcPr>
            <w:tcW w:w="3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An unambiguous signup CTA leads into a linear flow.</w:t>
            </w:r>
          </w:p>
        </w:tc>
      </w:tr>
    </w:tbl>
    <w:p w:rsidR="00233CE3" w:rsidRDefault="00AD42BA">
      <w:pPr>
        <w:pStyle w:val="Heading2"/>
        <w:spacing w:before="300" w:after="110"/>
      </w:pPr>
      <w:bookmarkStart w:id="18" w:name="_Toc240546690"/>
      <w:r>
        <w:t>A5. Success criteria</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5"/>
        <w:gridCol w:w="7109"/>
      </w:tblGrid>
      <w:tr w:rsidR="00233CE3">
        <w:tblPrEx>
          <w:tblCellMar>
            <w:top w:w="0" w:type="dxa"/>
            <w:bottom w:w="0" w:type="dxa"/>
          </w:tblCellMar>
        </w:tblPrEx>
        <w:trPr>
          <w:tblHeader/>
        </w:trPr>
        <w:tc>
          <w:tcPr>
            <w:tcW w:w="14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Criterion</w:t>
            </w:r>
          </w:p>
        </w:tc>
        <w:tc>
          <w:tcPr>
            <w:tcW w:w="360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Target</w:t>
            </w:r>
          </w:p>
        </w:tc>
      </w:tr>
      <w:tr w:rsidR="00233CE3">
        <w:tblPrEx>
          <w:tblCellMar>
            <w:top w:w="0" w:type="dxa"/>
            <w:bottom w:w="0" w:type="dxa"/>
          </w:tblCellMar>
        </w:tblPrEx>
        <w:tc>
          <w:tcPr>
            <w:tcW w:w="1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10-second comprehension</w:t>
            </w:r>
          </w:p>
        </w:tc>
        <w:tc>
          <w:tcPr>
            <w:tcW w:w="3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The visitor can explain what the service does within 10 seconds of landing.</w:t>
            </w:r>
          </w:p>
        </w:tc>
      </w:tr>
      <w:tr w:rsidR="00233CE3">
        <w:tblPrEx>
          <w:tblCellMar>
            <w:top w:w="0" w:type="dxa"/>
            <w:bottom w:w="0" w:type="dxa"/>
          </w:tblCellMar>
        </w:tblPrEx>
        <w:tc>
          <w:tcPr>
            <w:tcW w:w="1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lastRenderedPageBreak/>
              <w:t>Fee discovery</w:t>
            </w:r>
          </w:p>
        </w:tc>
        <w:tc>
          <w:tcPr>
            <w:tcW w:w="3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Fees can be found on-site, without leaving Wise.</w:t>
            </w:r>
          </w:p>
        </w:tc>
      </w:tr>
      <w:tr w:rsidR="00233CE3">
        <w:tblPrEx>
          <w:tblCellMar>
            <w:top w:w="0" w:type="dxa"/>
            <w:bottom w:w="0" w:type="dxa"/>
          </w:tblCellMar>
        </w:tblPrEx>
        <w:tc>
          <w:tcPr>
            <w:tcW w:w="1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Rate clarity</w:t>
            </w:r>
          </w:p>
        </w:tc>
        <w:tc>
          <w:tcPr>
            <w:tcW w:w="3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The visitor can explain how the quoted rate relates to a reference rate.</w:t>
            </w:r>
          </w:p>
        </w:tc>
      </w:tr>
      <w:tr w:rsidR="00233CE3">
        <w:tblPrEx>
          <w:tblCellMar>
            <w:top w:w="0" w:type="dxa"/>
            <w:bottom w:w="0" w:type="dxa"/>
          </w:tblCellMar>
        </w:tblPrEx>
        <w:tc>
          <w:tcPr>
            <w:tcW w:w="1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Restrictions</w:t>
            </w:r>
          </w:p>
        </w:tc>
        <w:tc>
          <w:tcPr>
            <w:tcW w:w="3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Country eligibility is visible before signup begins.</w:t>
            </w:r>
          </w:p>
        </w:tc>
      </w:tr>
      <w:tr w:rsidR="00233CE3">
        <w:tblPrEx>
          <w:tblCellMar>
            <w:top w:w="0" w:type="dxa"/>
            <w:bottom w:w="0" w:type="dxa"/>
          </w:tblCellMar>
        </w:tblPrEx>
        <w:tc>
          <w:tcPr>
            <w:tcW w:w="1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Verification</w:t>
            </w:r>
          </w:p>
        </w:tc>
        <w:tc>
          <w:tcPr>
            <w:tcW w:w="3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Identity-verification requirements are explained when they appear.</w:t>
            </w:r>
          </w:p>
        </w:tc>
      </w:tr>
      <w:tr w:rsidR="00233CE3">
        <w:tblPrEx>
          <w:tblCellMar>
            <w:top w:w="0" w:type="dxa"/>
            <w:bottom w:w="0" w:type="dxa"/>
          </w:tblCellMar>
        </w:tblPrEx>
        <w:tc>
          <w:tcPr>
            <w:tcW w:w="14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142A4C"/>
                <w:sz w:val="18"/>
                <w:szCs w:val="18"/>
              </w:rPr>
              <w:t>Progress</w:t>
            </w:r>
          </w:p>
        </w:tc>
        <w:tc>
          <w:tcPr>
            <w:tcW w:w="360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The visitor can tell what happened after each action.</w:t>
            </w:r>
          </w:p>
        </w:tc>
      </w:tr>
    </w:tbl>
    <w:p w:rsidR="00233CE3" w:rsidRDefault="00AD42BA">
      <w:pPr>
        <w:pStyle w:val="Heading2"/>
        <w:spacing w:before="300" w:after="110"/>
      </w:pPr>
      <w:bookmarkStart w:id="19" w:name="_Toc240546691"/>
      <w:r>
        <w:t>A6. The four cognitive-walkthrough questions</w:t>
      </w:r>
      <w:bookmarkEnd w:id="19"/>
    </w:p>
    <w:p w:rsidR="00233CE3" w:rsidRDefault="00AD42BA">
      <w:pPr>
        <w:spacing w:after="160"/>
      </w:pPr>
      <w:r>
        <w:t xml:space="preserve">Right outcome, notice the action, associate action with outcome, see progress </w:t>
      </w:r>
      <w:r w:rsidR="005B3E67">
        <w:t>-</w:t>
      </w:r>
      <w:r>
        <w:t xml:space="preserve"> applied at every decision point in Appendix B. These follow Nielsen Norman Group's standard cognitive-walkthrough framework; full definitions are omitted here since they're app</w:t>
      </w:r>
      <w:r>
        <w:t>lied, not just listed, throughout Appendix B.</w:t>
      </w:r>
    </w:p>
    <w:p w:rsidR="00233CE3" w:rsidRDefault="00AD42BA">
      <w:r>
        <w:br w:type="page"/>
      </w:r>
    </w:p>
    <w:p w:rsidR="00233CE3" w:rsidRDefault="00AD42BA">
      <w:pPr>
        <w:pStyle w:val="Heading1"/>
        <w:pBdr>
          <w:bottom w:val="single" w:sz="8" w:space="6" w:color="1F6F73"/>
        </w:pBdr>
        <w:spacing w:before="440" w:after="160"/>
      </w:pPr>
      <w:bookmarkStart w:id="20" w:name="_Toc240546692"/>
      <w:r>
        <w:rPr>
          <w:color w:val="B8863B"/>
        </w:rPr>
        <w:lastRenderedPageBreak/>
        <w:t xml:space="preserve">B.  </w:t>
      </w:r>
      <w:r>
        <w:t xml:space="preserve">Appendix B </w:t>
      </w:r>
      <w:r w:rsidR="005B3E67">
        <w:t>-</w:t>
      </w:r>
      <w:r>
        <w:t xml:space="preserve"> Step-by-step walkthrough log</w:t>
      </w:r>
      <w:bookmarkEnd w:id="20"/>
    </w:p>
    <w:p w:rsidR="00233CE3" w:rsidRDefault="00AD42BA">
      <w:pPr>
        <w:spacing w:after="200"/>
      </w:pPr>
      <w:r>
        <w:rPr>
          <w:i/>
          <w:iCs/>
          <w:color w:val="6B7280"/>
          <w:sz w:val="20"/>
          <w:szCs w:val="20"/>
        </w:rPr>
        <w:t>Six decision points, from arrival to the point signup could not be completed. Each records the four-question verdicts and the screenshot evidence behind the findings in Section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9183"/>
      </w:tblGrid>
      <w:tr w:rsidR="00233CE3">
        <w:tblPrEx>
          <w:tblCellMar>
            <w:top w:w="0" w:type="dxa"/>
            <w:bottom w:w="0" w:type="dxa"/>
          </w:tblCellMar>
        </w:tblPrEx>
        <w:tc>
          <w:tcPr>
            <w:tcW w:w="35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sz w:val="26"/>
                <w:szCs w:val="26"/>
              </w:rPr>
              <w:t>1</w:t>
            </w:r>
          </w:p>
        </w:tc>
        <w:tc>
          <w:tcPr>
            <w:tcW w:w="4650" w:type="pct"/>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r>
              <w:rPr>
                <w:b/>
                <w:bCs/>
                <w:color w:val="142A4C"/>
                <w:sz w:val="22"/>
                <w:szCs w:val="22"/>
              </w:rPr>
              <w:t>Landing on the homepage</w:t>
            </w:r>
          </w:p>
          <w:p w:rsidR="00233CE3" w:rsidRDefault="00AD42BA">
            <w:r>
              <w:rPr>
                <w:color w:val="6B7280"/>
                <w:sz w:val="17"/>
                <w:szCs w:val="17"/>
              </w:rPr>
              <w:t>URL / page: wise.com</w:t>
            </w:r>
          </w:p>
        </w:tc>
      </w:tr>
    </w:tbl>
    <w:p w:rsidR="00233CE3" w:rsidRDefault="00233CE3">
      <w:pPr>
        <w:spacing w:before="1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8"/>
        <w:gridCol w:w="6616"/>
      </w:tblGrid>
      <w:tr w:rsidR="00233CE3">
        <w:tblPrEx>
          <w:tblCellMar>
            <w:top w:w="0" w:type="dxa"/>
            <w:bottom w:w="0" w:type="dxa"/>
          </w:tblCellMar>
        </w:tblPrEx>
        <w:trPr>
          <w:tblHeader/>
        </w:trPr>
        <w:tc>
          <w:tcPr>
            <w:tcW w:w="16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Cognitive-walkthrough question</w:t>
            </w:r>
          </w:p>
        </w:tc>
        <w:tc>
          <w:tcPr>
            <w:tcW w:w="33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 xml:space="preserve">Verdict </w:t>
            </w:r>
            <w:r w:rsidR="005B3E67">
              <w:rPr>
                <w:b/>
                <w:bCs/>
                <w:color w:val="FFFFFF"/>
                <w:sz w:val="18"/>
                <w:szCs w:val="18"/>
              </w:rPr>
              <w:t>-</w:t>
            </w:r>
            <w:r>
              <w:rPr>
                <w:b/>
                <w:bCs/>
                <w:color w:val="FFFFFF"/>
                <w:sz w:val="18"/>
                <w:szCs w:val="18"/>
              </w:rPr>
              <w:t xml:space="preserve"> evidence observed</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Q1 </w:t>
            </w:r>
            <w:r w:rsidR="005B3E67">
              <w:rPr>
                <w:sz w:val="18"/>
                <w:szCs w:val="18"/>
              </w:rPr>
              <w:t>-</w:t>
            </w:r>
            <w:r>
              <w:rPr>
                <w:sz w:val="18"/>
                <w:szCs w:val="18"/>
              </w:rPr>
              <w:t xml:space="preserve"> Right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The evaluator's opening question </w:t>
            </w:r>
            <w:r w:rsidR="005B3E67">
              <w:rPr>
                <w:sz w:val="18"/>
                <w:szCs w:val="18"/>
              </w:rPr>
              <w:t>-</w:t>
            </w:r>
            <w:r>
              <w:rPr>
                <w:sz w:val="18"/>
                <w:szCs w:val="18"/>
              </w:rPr>
              <w:t xml:space="preserve"> can this service send money abroad </w:t>
            </w:r>
            <w:r w:rsidR="005B3E67">
              <w:rPr>
                <w:sz w:val="18"/>
                <w:szCs w:val="18"/>
              </w:rPr>
              <w:t>-</w:t>
            </w:r>
            <w:r>
              <w:rPr>
                <w:sz w:val="18"/>
                <w:szCs w:val="18"/>
              </w:rPr>
              <w:t xml:space="preserve"> is what the page addresses first.</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Q2 </w:t>
            </w:r>
            <w:r w:rsidR="005B3E67">
              <w:rPr>
                <w:sz w:val="18"/>
                <w:szCs w:val="18"/>
              </w:rPr>
              <w:t>-</w:t>
            </w:r>
            <w:r>
              <w:rPr>
                <w:sz w:val="18"/>
                <w:szCs w:val="18"/>
              </w:rPr>
              <w:t xml:space="preserve"> Notice action?</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The hero headline was the most prominent element above the fold in this walkthrough.</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Q3 </w:t>
            </w:r>
            <w:r w:rsidR="005B3E67">
              <w:rPr>
                <w:sz w:val="18"/>
                <w:szCs w:val="18"/>
              </w:rPr>
              <w:t>-</w:t>
            </w:r>
            <w:r>
              <w:rPr>
                <w:sz w:val="18"/>
                <w:szCs w:val="18"/>
              </w:rPr>
              <w:t xml:space="preserve"> Action →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“Send and spend money worldwide” uses the same words the evaluator was holding, so no interpretation was needed.</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Q4 </w:t>
            </w:r>
            <w:r w:rsidR="005B3E67">
              <w:rPr>
                <w:sz w:val="18"/>
                <w:szCs w:val="18"/>
              </w:rPr>
              <w:t>-</w:t>
            </w:r>
            <w:r>
              <w:rPr>
                <w:sz w:val="18"/>
                <w:szCs w:val="18"/>
              </w:rPr>
              <w:t xml:space="preserve"> See progress?</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w:t>
            </w:r>
            <w:r>
              <w:rPr>
                <w:b/>
                <w:bCs/>
                <w:color w:val="2E7D5B"/>
                <w:sz w:val="19"/>
                <w:szCs w:val="19"/>
              </w:rPr>
              <w:t>es</w:t>
            </w:r>
            <w:r>
              <w:rPr>
                <w:sz w:val="18"/>
                <w:szCs w:val="18"/>
              </w:rPr>
              <w:t xml:space="preserve">  </w:t>
            </w:r>
            <w:r w:rsidR="005B3E67">
              <w:rPr>
                <w:sz w:val="18"/>
                <w:szCs w:val="18"/>
              </w:rPr>
              <w:t>-</w:t>
            </w:r>
            <w:r>
              <w:rPr>
                <w:sz w:val="18"/>
                <w:szCs w:val="18"/>
              </w:rPr>
              <w:t xml:space="preserve">  A supporting line about fees and a “Sign up in minutes” CTA indicate what to do next.</w:t>
            </w:r>
          </w:p>
        </w:tc>
      </w:tr>
    </w:tbl>
    <w:p w:rsidR="00233CE3" w:rsidRDefault="00233CE3">
      <w:pPr>
        <w:spacing w:before="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EBD9B4"/>
              <w:left w:val="single" w:sz="2" w:space="0" w:color="EBD9B4"/>
              <w:bottom w:val="single" w:sz="2" w:space="0" w:color="EBD9B4"/>
              <w:right w:val="single" w:sz="2" w:space="0" w:color="EBD9B4"/>
            </w:tcBorders>
            <w:shd w:val="clear" w:color="auto" w:fill="FBF3E7"/>
            <w:tcMar>
              <w:top w:w="90" w:type="dxa"/>
              <w:left w:w="130" w:type="dxa"/>
              <w:bottom w:w="90" w:type="dxa"/>
              <w:right w:w="130" w:type="dxa"/>
            </w:tcMar>
            <w:vAlign w:val="center"/>
          </w:tcPr>
          <w:p w:rsidR="00233CE3" w:rsidRDefault="00AD42BA">
            <w:r>
              <w:rPr>
                <w:b/>
                <w:bCs/>
                <w:color w:val="B8863B"/>
                <w:sz w:val="16"/>
                <w:szCs w:val="16"/>
              </w:rPr>
              <w:t>OBSERVATION / UNCERTAINTY</w:t>
            </w:r>
          </w:p>
          <w:p w:rsidR="00233CE3" w:rsidRDefault="00AD42BA">
            <w:r>
              <w:rPr>
                <w:sz w:val="18"/>
                <w:szCs w:val="18"/>
              </w:rPr>
              <w:t xml:space="preserve">None of consequence </w:t>
            </w:r>
            <w:r w:rsidR="005B3E67">
              <w:rPr>
                <w:sz w:val="18"/>
                <w:szCs w:val="18"/>
              </w:rPr>
              <w:t>-</w:t>
            </w:r>
            <w:r>
              <w:rPr>
                <w:sz w:val="18"/>
                <w:szCs w:val="18"/>
              </w:rPr>
              <w:t xml:space="preserve"> the only step in the journey that resolved on the first screen, with no observed hesitation.</w:t>
            </w:r>
          </w:p>
        </w:tc>
      </w:tr>
      <w:tr w:rsidR="00233CE3">
        <w:tblPrEx>
          <w:tblCellMar>
            <w:top w:w="0" w:type="dxa"/>
            <w:bottom w:w="0" w:type="dxa"/>
          </w:tblCellMar>
        </w:tblPrEx>
        <w:tc>
          <w:tcPr>
            <w:tcW w:w="5000" w:type="pct"/>
            <w:tcBorders>
              <w:top w:val="single" w:sz="2" w:space="0" w:color="BFDDDD"/>
              <w:left w:val="single" w:sz="2" w:space="0" w:color="BFDDDD"/>
              <w:bottom w:val="single" w:sz="2" w:space="0" w:color="BFDDDD"/>
              <w:right w:val="single" w:sz="2" w:space="0" w:color="BFDDDD"/>
            </w:tcBorders>
            <w:shd w:val="clear" w:color="auto" w:fill="EAF3F3"/>
            <w:tcMar>
              <w:top w:w="90" w:type="dxa"/>
              <w:left w:w="130" w:type="dxa"/>
              <w:bottom w:w="90" w:type="dxa"/>
              <w:right w:w="130" w:type="dxa"/>
            </w:tcMar>
            <w:vAlign w:val="center"/>
          </w:tcPr>
          <w:p w:rsidR="00233CE3" w:rsidRDefault="00AD42BA">
            <w:r>
              <w:rPr>
                <w:b/>
                <w:bCs/>
                <w:color w:val="1F6F73"/>
                <w:sz w:val="16"/>
                <w:szCs w:val="16"/>
              </w:rPr>
              <w:t>DESIGN IMPLICATION</w:t>
            </w:r>
          </w:p>
          <w:p w:rsidR="00233CE3" w:rsidRDefault="00AD42BA">
            <w:r>
              <w:rPr>
                <w:sz w:val="18"/>
                <w:szCs w:val="18"/>
              </w:rPr>
              <w:t>No change required. This direct, plain-language hero pattern is worth preserving as other pages are designed.</w:t>
            </w:r>
          </w:p>
        </w:tc>
      </w:tr>
    </w:tbl>
    <w:p w:rsidR="00233CE3" w:rsidRDefault="00AD42BA">
      <w:pPr>
        <w:pBdr>
          <w:top w:val="single" w:sz="4" w:space="6" w:color="D9DEE4"/>
          <w:bottom w:val="single" w:sz="4" w:space="6" w:color="D9DEE4"/>
        </w:pBdr>
        <w:spacing w:before="140" w:after="40"/>
        <w:jc w:val="center"/>
      </w:pPr>
      <w:r>
        <w:rPr>
          <w:noProof/>
        </w:rPr>
        <w:drawing>
          <wp:inline distT="0" distB="0" distL="0" distR="0">
            <wp:extent cx="5577840" cy="22799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7840" cy="2279963"/>
                    </a:xfrm>
                    <a:prstGeom prst="rect">
                      <a:avLst/>
                    </a:prstGeom>
                  </pic:spPr>
                </pic:pic>
              </a:graphicData>
            </a:graphic>
          </wp:inline>
        </w:drawing>
      </w:r>
    </w:p>
    <w:p w:rsidR="00233CE3" w:rsidRDefault="00AD42BA">
      <w:pPr>
        <w:spacing w:after="220"/>
        <w:jc w:val="center"/>
      </w:pPr>
      <w:r>
        <w:rPr>
          <w:b/>
          <w:bCs/>
          <w:color w:val="1F6F73"/>
          <w:sz w:val="17"/>
          <w:szCs w:val="17"/>
        </w:rPr>
        <w:t xml:space="preserve">Figure 1  </w:t>
      </w:r>
      <w:r>
        <w:rPr>
          <w:color w:val="6B7280"/>
          <w:sz w:val="17"/>
          <w:szCs w:val="17"/>
        </w:rPr>
        <w:t>Homepage hero answers the service-purpose question directly.</w:t>
      </w:r>
    </w:p>
    <w:p w:rsidR="00233CE3" w:rsidRDefault="00233CE3">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9183"/>
      </w:tblGrid>
      <w:tr w:rsidR="00233CE3">
        <w:tblPrEx>
          <w:tblCellMar>
            <w:top w:w="0" w:type="dxa"/>
            <w:bottom w:w="0" w:type="dxa"/>
          </w:tblCellMar>
        </w:tblPrEx>
        <w:tc>
          <w:tcPr>
            <w:tcW w:w="35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sz w:val="26"/>
                <w:szCs w:val="26"/>
              </w:rPr>
              <w:t>2</w:t>
            </w:r>
          </w:p>
        </w:tc>
        <w:tc>
          <w:tcPr>
            <w:tcW w:w="4650" w:type="pct"/>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r>
              <w:rPr>
                <w:b/>
                <w:bCs/>
                <w:color w:val="142A4C"/>
                <w:sz w:val="22"/>
                <w:szCs w:val="22"/>
              </w:rPr>
              <w:t>Navigating to find fees</w:t>
            </w:r>
          </w:p>
          <w:p w:rsidR="00233CE3" w:rsidRDefault="00AD42BA">
            <w:r>
              <w:rPr>
                <w:color w:val="6B7280"/>
                <w:sz w:val="17"/>
                <w:szCs w:val="17"/>
              </w:rPr>
              <w:t>URL / page: wise.com → hover “Personal” → wise.com/in/pricing/</w:t>
            </w:r>
          </w:p>
        </w:tc>
      </w:tr>
    </w:tbl>
    <w:p w:rsidR="00233CE3" w:rsidRDefault="00233CE3">
      <w:pPr>
        <w:spacing w:before="1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8"/>
        <w:gridCol w:w="6616"/>
      </w:tblGrid>
      <w:tr w:rsidR="00233CE3">
        <w:tblPrEx>
          <w:tblCellMar>
            <w:top w:w="0" w:type="dxa"/>
            <w:bottom w:w="0" w:type="dxa"/>
          </w:tblCellMar>
        </w:tblPrEx>
        <w:trPr>
          <w:tblHeader/>
        </w:trPr>
        <w:tc>
          <w:tcPr>
            <w:tcW w:w="16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Cognitive-walkthrough question</w:t>
            </w:r>
          </w:p>
        </w:tc>
        <w:tc>
          <w:tcPr>
            <w:tcW w:w="33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 xml:space="preserve">Verdict </w:t>
            </w:r>
            <w:r w:rsidR="005B3E67">
              <w:rPr>
                <w:b/>
                <w:bCs/>
                <w:color w:val="FFFFFF"/>
                <w:sz w:val="18"/>
                <w:szCs w:val="18"/>
              </w:rPr>
              <w:t>-</w:t>
            </w:r>
            <w:r>
              <w:rPr>
                <w:b/>
                <w:bCs/>
                <w:color w:val="FFFFFF"/>
                <w:sz w:val="18"/>
                <w:szCs w:val="18"/>
              </w:rPr>
              <w:t xml:space="preserve"> evidence observed</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Q1 </w:t>
            </w:r>
            <w:r w:rsidR="005B3E67">
              <w:rPr>
                <w:sz w:val="18"/>
                <w:szCs w:val="18"/>
              </w:rPr>
              <w:t>-</w:t>
            </w:r>
            <w:r>
              <w:rPr>
                <w:sz w:val="18"/>
                <w:szCs w:val="18"/>
              </w:rPr>
              <w:t xml:space="preserve"> Right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The evaluator reasoned that fee information would sit under one of the three top-level nav items.</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lastRenderedPageBreak/>
              <w:t xml:space="preserve">Q2 </w:t>
            </w:r>
            <w:r w:rsidR="005B3E67">
              <w:rPr>
                <w:sz w:val="18"/>
                <w:szCs w:val="18"/>
              </w:rPr>
              <w:t>-</w:t>
            </w:r>
            <w:r>
              <w:rPr>
                <w:sz w:val="18"/>
                <w:szCs w:val="18"/>
              </w:rPr>
              <w:t xml:space="preserve"> Notice action?</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8863B"/>
                <w:sz w:val="19"/>
                <w:szCs w:val="19"/>
              </w:rPr>
              <w:t>Partially</w:t>
            </w:r>
            <w:r>
              <w:rPr>
                <w:sz w:val="18"/>
                <w:szCs w:val="18"/>
              </w:rPr>
              <w:t xml:space="preserve">  </w:t>
            </w:r>
            <w:r w:rsidR="005B3E67">
              <w:rPr>
                <w:sz w:val="18"/>
                <w:szCs w:val="18"/>
              </w:rPr>
              <w:t>-</w:t>
            </w:r>
            <w:r>
              <w:rPr>
                <w:sz w:val="18"/>
                <w:szCs w:val="18"/>
              </w:rPr>
              <w:t xml:space="preserve">  Personal / Business / Platform carry no pricing or fees label; each had to be hovered and read before “Personal pricing” was found.</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Q3 </w:t>
            </w:r>
            <w:r w:rsidR="005B3E67">
              <w:rPr>
                <w:sz w:val="18"/>
                <w:szCs w:val="18"/>
              </w:rPr>
              <w:t>-</w:t>
            </w:r>
            <w:r>
              <w:rPr>
                <w:sz w:val="18"/>
                <w:szCs w:val="18"/>
              </w:rPr>
              <w:t xml:space="preserve"> Action →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Once visible, “Personal pricing” and “Send money” map dire</w:t>
            </w:r>
            <w:r>
              <w:rPr>
                <w:sz w:val="18"/>
                <w:szCs w:val="18"/>
              </w:rPr>
              <w:t>ctly onto the goal.</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Q4 </w:t>
            </w:r>
            <w:r w:rsidR="005B3E67">
              <w:rPr>
                <w:sz w:val="18"/>
                <w:szCs w:val="18"/>
              </w:rPr>
              <w:t>-</w:t>
            </w:r>
            <w:r>
              <w:rPr>
                <w:sz w:val="18"/>
                <w:szCs w:val="18"/>
              </w:rPr>
              <w:t xml:space="preserve"> See progress?</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The destination page is headlined “Wise is built to save you money,” confirming the right page was reached.</w:t>
            </w:r>
          </w:p>
        </w:tc>
      </w:tr>
    </w:tbl>
    <w:p w:rsidR="00233CE3" w:rsidRDefault="00233CE3">
      <w:pPr>
        <w:spacing w:before="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EBD9B4"/>
              <w:left w:val="single" w:sz="2" w:space="0" w:color="EBD9B4"/>
              <w:bottom w:val="single" w:sz="2" w:space="0" w:color="EBD9B4"/>
              <w:right w:val="single" w:sz="2" w:space="0" w:color="EBD9B4"/>
            </w:tcBorders>
            <w:shd w:val="clear" w:color="auto" w:fill="FBF3E7"/>
            <w:tcMar>
              <w:top w:w="90" w:type="dxa"/>
              <w:left w:w="130" w:type="dxa"/>
              <w:bottom w:w="90" w:type="dxa"/>
              <w:right w:w="130" w:type="dxa"/>
            </w:tcMar>
            <w:vAlign w:val="center"/>
          </w:tcPr>
          <w:p w:rsidR="00233CE3" w:rsidRDefault="00AD42BA">
            <w:r>
              <w:rPr>
                <w:b/>
                <w:bCs/>
                <w:color w:val="B8863B"/>
                <w:sz w:val="16"/>
                <w:szCs w:val="16"/>
              </w:rPr>
              <w:t>OBSERVATION / UNCERTAINTY</w:t>
            </w:r>
          </w:p>
          <w:p w:rsidR="00233CE3" w:rsidRDefault="00AD42BA">
            <w:r>
              <w:rPr>
                <w:sz w:val="18"/>
                <w:szCs w:val="18"/>
              </w:rPr>
              <w:t xml:space="preserve">Three unlabelled nav items had to be hovered and their mega-menus read before pricing was found </w:t>
            </w:r>
            <w:r w:rsidR="005B3E67">
              <w:rPr>
                <w:sz w:val="18"/>
                <w:szCs w:val="18"/>
              </w:rPr>
              <w:t>-</w:t>
            </w:r>
            <w:r>
              <w:rPr>
                <w:sz w:val="18"/>
                <w:szCs w:val="18"/>
              </w:rPr>
              <w:t xml:space="preserve"> findable, but effortful on a first visit. (Finding F6.)</w:t>
            </w:r>
          </w:p>
        </w:tc>
      </w:tr>
      <w:tr w:rsidR="00233CE3">
        <w:tblPrEx>
          <w:tblCellMar>
            <w:top w:w="0" w:type="dxa"/>
            <w:bottom w:w="0" w:type="dxa"/>
          </w:tblCellMar>
        </w:tblPrEx>
        <w:tc>
          <w:tcPr>
            <w:tcW w:w="5000" w:type="pct"/>
            <w:tcBorders>
              <w:top w:val="single" w:sz="2" w:space="0" w:color="BFDDDD"/>
              <w:left w:val="single" w:sz="2" w:space="0" w:color="BFDDDD"/>
              <w:bottom w:val="single" w:sz="2" w:space="0" w:color="BFDDDD"/>
              <w:right w:val="single" w:sz="2" w:space="0" w:color="BFDDDD"/>
            </w:tcBorders>
            <w:shd w:val="clear" w:color="auto" w:fill="EAF3F3"/>
            <w:tcMar>
              <w:top w:w="90" w:type="dxa"/>
              <w:left w:w="130" w:type="dxa"/>
              <w:bottom w:w="90" w:type="dxa"/>
              <w:right w:w="130" w:type="dxa"/>
            </w:tcMar>
            <w:vAlign w:val="center"/>
          </w:tcPr>
          <w:p w:rsidR="00233CE3" w:rsidRDefault="00AD42BA">
            <w:r>
              <w:rPr>
                <w:b/>
                <w:bCs/>
                <w:color w:val="1F6F73"/>
                <w:sz w:val="16"/>
                <w:szCs w:val="16"/>
              </w:rPr>
              <w:t>DESIGN IMPLICATION</w:t>
            </w:r>
          </w:p>
          <w:p w:rsidR="00233CE3" w:rsidRDefault="00AD42BA">
            <w:r>
              <w:rPr>
                <w:sz w:val="18"/>
                <w:szCs w:val="18"/>
              </w:rPr>
              <w:t>Add a visible “Pricing” or “Fees” entry at the top level of the navigation.</w:t>
            </w:r>
          </w:p>
        </w:tc>
      </w:tr>
    </w:tbl>
    <w:p w:rsidR="00233CE3" w:rsidRDefault="00AD42BA">
      <w:pPr>
        <w:pBdr>
          <w:top w:val="single" w:sz="4" w:space="6" w:color="D9DEE4"/>
          <w:bottom w:val="single" w:sz="4" w:space="6" w:color="D9DEE4"/>
        </w:pBdr>
        <w:spacing w:before="140" w:after="40"/>
        <w:jc w:val="center"/>
      </w:pPr>
      <w:r>
        <w:rPr>
          <w:noProof/>
        </w:rPr>
        <w:drawing>
          <wp:inline distT="0" distB="0" distL="0" distR="0">
            <wp:extent cx="5577840" cy="22170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77840" cy="2217099"/>
                    </a:xfrm>
                    <a:prstGeom prst="rect">
                      <a:avLst/>
                    </a:prstGeom>
                  </pic:spPr>
                </pic:pic>
              </a:graphicData>
            </a:graphic>
          </wp:inline>
        </w:drawing>
      </w:r>
    </w:p>
    <w:p w:rsidR="00233CE3" w:rsidRDefault="00AD42BA">
      <w:pPr>
        <w:spacing w:after="220"/>
        <w:jc w:val="center"/>
      </w:pPr>
      <w:r>
        <w:rPr>
          <w:b/>
          <w:bCs/>
          <w:color w:val="1F6F73"/>
          <w:sz w:val="17"/>
          <w:szCs w:val="17"/>
        </w:rPr>
        <w:t xml:space="preserve">Figure 2  </w:t>
      </w:r>
      <w:r>
        <w:rPr>
          <w:color w:val="6B7280"/>
          <w:sz w:val="17"/>
          <w:szCs w:val="17"/>
        </w:rPr>
        <w:t>Evidence: pricing is nested inside the Personal hover menu, not the top-level nav.</w:t>
      </w:r>
    </w:p>
    <w:p w:rsidR="00233CE3" w:rsidRDefault="00AD42BA">
      <w:pPr>
        <w:pBdr>
          <w:top w:val="single" w:sz="4" w:space="6" w:color="D9DEE4"/>
          <w:bottom w:val="single" w:sz="4" w:space="6" w:color="D9DEE4"/>
        </w:pBdr>
        <w:spacing w:before="140" w:after="40"/>
        <w:jc w:val="center"/>
      </w:pPr>
      <w:r>
        <w:rPr>
          <w:noProof/>
        </w:rPr>
        <w:drawing>
          <wp:inline distT="0" distB="0" distL="0" distR="0">
            <wp:extent cx="5577840" cy="24383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77840" cy="2438326"/>
                    </a:xfrm>
                    <a:prstGeom prst="rect">
                      <a:avLst/>
                    </a:prstGeom>
                  </pic:spPr>
                </pic:pic>
              </a:graphicData>
            </a:graphic>
          </wp:inline>
        </w:drawing>
      </w:r>
    </w:p>
    <w:p w:rsidR="00233CE3" w:rsidRDefault="00AD42BA">
      <w:pPr>
        <w:spacing w:after="220"/>
        <w:jc w:val="center"/>
      </w:pPr>
      <w:r>
        <w:rPr>
          <w:b/>
          <w:bCs/>
          <w:color w:val="1F6F73"/>
          <w:sz w:val="17"/>
          <w:szCs w:val="17"/>
        </w:rPr>
        <w:t xml:space="preserve">Figure 3  </w:t>
      </w:r>
      <w:r>
        <w:rPr>
          <w:color w:val="6B7280"/>
          <w:sz w:val="17"/>
          <w:szCs w:val="17"/>
        </w:rPr>
        <w:t>The pricing page confirms the right destination was reached.</w:t>
      </w:r>
    </w:p>
    <w:p w:rsidR="00233CE3" w:rsidRDefault="00AD42BA">
      <w:pPr>
        <w:pBdr>
          <w:top w:val="single" w:sz="4" w:space="6" w:color="D9DEE4"/>
          <w:bottom w:val="single" w:sz="4" w:space="6" w:color="D9DEE4"/>
        </w:pBdr>
        <w:spacing w:before="140" w:after="40"/>
        <w:jc w:val="center"/>
      </w:pPr>
      <w:r>
        <w:rPr>
          <w:noProof/>
        </w:rPr>
        <w:lastRenderedPageBreak/>
        <w:drawing>
          <wp:inline distT="0" distB="0" distL="0" distR="0">
            <wp:extent cx="5577840" cy="28304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77840" cy="2830473"/>
                    </a:xfrm>
                    <a:prstGeom prst="rect">
                      <a:avLst/>
                    </a:prstGeom>
                  </pic:spPr>
                </pic:pic>
              </a:graphicData>
            </a:graphic>
          </wp:inline>
        </w:drawing>
      </w:r>
    </w:p>
    <w:p w:rsidR="00233CE3" w:rsidRDefault="00AD42BA">
      <w:pPr>
        <w:spacing w:after="220"/>
        <w:jc w:val="center"/>
      </w:pPr>
      <w:r>
        <w:rPr>
          <w:b/>
          <w:bCs/>
          <w:color w:val="1F6F73"/>
          <w:sz w:val="17"/>
          <w:szCs w:val="17"/>
        </w:rPr>
        <w:t xml:space="preserve">Figure 4  </w:t>
      </w:r>
      <w:r>
        <w:rPr>
          <w:color w:val="6B7280"/>
          <w:sz w:val="17"/>
          <w:szCs w:val="17"/>
        </w:rPr>
        <w:t>The four pricing options; “Send money” was the relevant path.</w:t>
      </w:r>
    </w:p>
    <w:p w:rsidR="00233CE3" w:rsidRDefault="00233CE3">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9183"/>
      </w:tblGrid>
      <w:tr w:rsidR="00233CE3">
        <w:tblPrEx>
          <w:tblCellMar>
            <w:top w:w="0" w:type="dxa"/>
            <w:bottom w:w="0" w:type="dxa"/>
          </w:tblCellMar>
        </w:tblPrEx>
        <w:tc>
          <w:tcPr>
            <w:tcW w:w="35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sz w:val="26"/>
                <w:szCs w:val="26"/>
              </w:rPr>
              <w:t>3</w:t>
            </w:r>
          </w:p>
        </w:tc>
        <w:tc>
          <w:tcPr>
            <w:tcW w:w="4650" w:type="pct"/>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r>
              <w:rPr>
                <w:b/>
                <w:bCs/>
                <w:color w:val="142A4C"/>
                <w:sz w:val="22"/>
                <w:szCs w:val="22"/>
              </w:rPr>
              <w:t>Running the t</w:t>
            </w:r>
            <w:r>
              <w:rPr>
                <w:b/>
                <w:bCs/>
                <w:color w:val="142A4C"/>
                <w:sz w:val="22"/>
                <w:szCs w:val="22"/>
              </w:rPr>
              <w:t>ransfer calculator</w:t>
            </w:r>
          </w:p>
          <w:p w:rsidR="00233CE3" w:rsidRDefault="00AD42BA">
            <w:r>
              <w:rPr>
                <w:color w:val="6B7280"/>
                <w:sz w:val="17"/>
                <w:szCs w:val="17"/>
              </w:rPr>
              <w:t>URL / page: wise.com/in/pricing/send-money</w:t>
            </w:r>
          </w:p>
        </w:tc>
      </w:tr>
    </w:tbl>
    <w:p w:rsidR="00233CE3" w:rsidRDefault="00233CE3">
      <w:pPr>
        <w:spacing w:before="1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8"/>
        <w:gridCol w:w="6616"/>
      </w:tblGrid>
      <w:tr w:rsidR="00233CE3">
        <w:tblPrEx>
          <w:tblCellMar>
            <w:top w:w="0" w:type="dxa"/>
            <w:bottom w:w="0" w:type="dxa"/>
          </w:tblCellMar>
        </w:tblPrEx>
        <w:trPr>
          <w:tblHeader/>
        </w:trPr>
        <w:tc>
          <w:tcPr>
            <w:tcW w:w="16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Cognitive-walkthrough question</w:t>
            </w:r>
          </w:p>
        </w:tc>
        <w:tc>
          <w:tcPr>
            <w:tcW w:w="33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 xml:space="preserve">Verdict </w:t>
            </w:r>
            <w:r w:rsidR="005B3E67">
              <w:rPr>
                <w:b/>
                <w:bCs/>
                <w:color w:val="FFFFFF"/>
                <w:sz w:val="18"/>
                <w:szCs w:val="18"/>
              </w:rPr>
              <w:t>-</w:t>
            </w:r>
            <w:r>
              <w:rPr>
                <w:b/>
                <w:bCs/>
                <w:color w:val="FFFFFF"/>
                <w:sz w:val="18"/>
                <w:szCs w:val="18"/>
              </w:rPr>
              <w:t xml:space="preserve"> evidence observed</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Q1 </w:t>
            </w:r>
            <w:r w:rsidR="005B3E67">
              <w:rPr>
                <w:sz w:val="18"/>
                <w:szCs w:val="18"/>
              </w:rPr>
              <w:t>-</w:t>
            </w:r>
            <w:r>
              <w:rPr>
                <w:sz w:val="18"/>
                <w:szCs w:val="18"/>
              </w:rPr>
              <w:t xml:space="preserve"> Right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The calculator is the control needed to answer the cost question.</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Q2 </w:t>
            </w:r>
            <w:r w:rsidR="005B3E67">
              <w:rPr>
                <w:sz w:val="18"/>
                <w:szCs w:val="18"/>
              </w:rPr>
              <w:t>-</w:t>
            </w:r>
            <w:r>
              <w:rPr>
                <w:sz w:val="18"/>
                <w:szCs w:val="18"/>
              </w:rPr>
              <w:t xml:space="preserve"> Notice action?</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“You send exactly” and “Recipient gets” are immediately visible and editable.</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Q3 </w:t>
            </w:r>
            <w:r w:rsidR="005B3E67">
              <w:rPr>
                <w:sz w:val="18"/>
                <w:szCs w:val="18"/>
              </w:rPr>
              <w:t>-</w:t>
            </w:r>
            <w:r>
              <w:rPr>
                <w:sz w:val="18"/>
                <w:szCs w:val="18"/>
              </w:rPr>
              <w:t xml:space="preserve"> Action →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Entering ₹800,000 INR→USD returns 8,210.01 USD with total fees of ₹12,098.81.</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Q4 </w:t>
            </w:r>
            <w:r w:rsidR="005B3E67">
              <w:rPr>
                <w:sz w:val="18"/>
                <w:szCs w:val="18"/>
              </w:rPr>
              <w:t>-</w:t>
            </w:r>
            <w:r>
              <w:rPr>
                <w:sz w:val="18"/>
                <w:szCs w:val="18"/>
              </w:rPr>
              <w:t xml:space="preserve"> See progress?</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8863B"/>
                <w:sz w:val="19"/>
                <w:szCs w:val="19"/>
              </w:rPr>
              <w:t>Partially</w:t>
            </w:r>
            <w:r>
              <w:rPr>
                <w:sz w:val="18"/>
                <w:szCs w:val="18"/>
              </w:rPr>
              <w:t xml:space="preserve">  </w:t>
            </w:r>
            <w:r w:rsidR="005B3E67">
              <w:rPr>
                <w:sz w:val="18"/>
                <w:szCs w:val="18"/>
              </w:rPr>
              <w:t>-</w:t>
            </w:r>
            <w:r>
              <w:rPr>
                <w:sz w:val="18"/>
                <w:szCs w:val="18"/>
              </w:rPr>
              <w:t xml:space="preserve">  Cost and arrival are both sho</w:t>
            </w:r>
            <w:r>
              <w:rPr>
                <w:sz w:val="18"/>
                <w:szCs w:val="18"/>
              </w:rPr>
              <w:t>wn, but neither is interpretable without external context: no reference rate (F4), and no time zone on the arrival estimate (F3).</w:t>
            </w:r>
          </w:p>
        </w:tc>
      </w:tr>
    </w:tbl>
    <w:p w:rsidR="00233CE3" w:rsidRDefault="00233CE3">
      <w:pPr>
        <w:spacing w:before="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EBD9B4"/>
              <w:left w:val="single" w:sz="2" w:space="0" w:color="EBD9B4"/>
              <w:bottom w:val="single" w:sz="2" w:space="0" w:color="EBD9B4"/>
              <w:right w:val="single" w:sz="2" w:space="0" w:color="EBD9B4"/>
            </w:tcBorders>
            <w:shd w:val="clear" w:color="auto" w:fill="FBF3E7"/>
            <w:tcMar>
              <w:top w:w="90" w:type="dxa"/>
              <w:left w:w="130" w:type="dxa"/>
              <w:bottom w:w="90" w:type="dxa"/>
              <w:right w:w="130" w:type="dxa"/>
            </w:tcMar>
            <w:vAlign w:val="center"/>
          </w:tcPr>
          <w:p w:rsidR="00233CE3" w:rsidRDefault="00AD42BA">
            <w:r>
              <w:rPr>
                <w:b/>
                <w:bCs/>
                <w:color w:val="B8863B"/>
                <w:sz w:val="16"/>
                <w:szCs w:val="16"/>
              </w:rPr>
              <w:t>OBSERVATION / UNCERTAINTY</w:t>
            </w:r>
          </w:p>
          <w:p w:rsidR="00233CE3" w:rsidRDefault="00AD42BA">
            <w:r>
              <w:rPr>
                <w:sz w:val="18"/>
                <w:szCs w:val="18"/>
              </w:rPr>
              <w:t>The evaluator opened Google and Western Union to judge the quote. Those figures were captured at d</w:t>
            </w:r>
            <w:r>
              <w:rPr>
                <w:sz w:val="18"/>
                <w:szCs w:val="18"/>
              </w:rPr>
              <w:t xml:space="preserve">ifferent moments under different fee and delivery conditions, so they are indicative only </w:t>
            </w:r>
            <w:r w:rsidR="005B3E67">
              <w:rPr>
                <w:sz w:val="18"/>
                <w:szCs w:val="18"/>
              </w:rPr>
              <w:t>-</w:t>
            </w:r>
            <w:r>
              <w:rPr>
                <w:sz w:val="18"/>
                <w:szCs w:val="18"/>
              </w:rPr>
              <w:t xml:space="preserve"> the finding is that the page gives no way to judge the rate in place, not that the rate is uncompetitive.</w:t>
            </w:r>
          </w:p>
        </w:tc>
      </w:tr>
      <w:tr w:rsidR="00233CE3">
        <w:tblPrEx>
          <w:tblCellMar>
            <w:top w:w="0" w:type="dxa"/>
            <w:bottom w:w="0" w:type="dxa"/>
          </w:tblCellMar>
        </w:tblPrEx>
        <w:tc>
          <w:tcPr>
            <w:tcW w:w="5000" w:type="pct"/>
            <w:tcBorders>
              <w:top w:val="single" w:sz="2" w:space="0" w:color="BFDDDD"/>
              <w:left w:val="single" w:sz="2" w:space="0" w:color="BFDDDD"/>
              <w:bottom w:val="single" w:sz="2" w:space="0" w:color="BFDDDD"/>
              <w:right w:val="single" w:sz="2" w:space="0" w:color="BFDDDD"/>
            </w:tcBorders>
            <w:shd w:val="clear" w:color="auto" w:fill="EAF3F3"/>
            <w:tcMar>
              <w:top w:w="90" w:type="dxa"/>
              <w:left w:w="130" w:type="dxa"/>
              <w:bottom w:w="90" w:type="dxa"/>
              <w:right w:w="130" w:type="dxa"/>
            </w:tcMar>
            <w:vAlign w:val="center"/>
          </w:tcPr>
          <w:p w:rsidR="00233CE3" w:rsidRDefault="00AD42BA">
            <w:r>
              <w:rPr>
                <w:b/>
                <w:bCs/>
                <w:color w:val="1F6F73"/>
                <w:sz w:val="16"/>
                <w:szCs w:val="16"/>
              </w:rPr>
              <w:t>DESIGN IMPLICATION</w:t>
            </w:r>
          </w:p>
          <w:p w:rsidR="00233CE3" w:rsidRDefault="00AD42BA">
            <w:r>
              <w:rPr>
                <w:sz w:val="18"/>
                <w:szCs w:val="18"/>
              </w:rPr>
              <w:t>Show the mid-market reference rate on the calculator card and label the arrival estimate with an explicit time zone.</w:t>
            </w:r>
          </w:p>
        </w:tc>
      </w:tr>
    </w:tbl>
    <w:p w:rsidR="00233CE3" w:rsidRDefault="00AD42BA">
      <w:pPr>
        <w:pBdr>
          <w:top w:val="single" w:sz="4" w:space="6" w:color="D9DEE4"/>
          <w:bottom w:val="single" w:sz="4" w:space="6" w:color="D9DEE4"/>
        </w:pBdr>
        <w:spacing w:before="140" w:after="40"/>
        <w:jc w:val="center"/>
      </w:pPr>
      <w:r>
        <w:rPr>
          <w:noProof/>
        </w:rPr>
        <w:lastRenderedPageBreak/>
        <w:drawing>
          <wp:inline distT="0" distB="0" distL="0" distR="0">
            <wp:extent cx="5577840" cy="2681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7840" cy="2681825"/>
                    </a:xfrm>
                    <a:prstGeom prst="rect">
                      <a:avLst/>
                    </a:prstGeom>
                  </pic:spPr>
                </pic:pic>
              </a:graphicData>
            </a:graphic>
          </wp:inline>
        </w:drawing>
      </w:r>
    </w:p>
    <w:p w:rsidR="00233CE3" w:rsidRDefault="00AD42BA">
      <w:pPr>
        <w:spacing w:after="220"/>
        <w:jc w:val="center"/>
      </w:pPr>
      <w:r>
        <w:rPr>
          <w:b/>
          <w:bCs/>
          <w:color w:val="1F6F73"/>
          <w:sz w:val="17"/>
          <w:szCs w:val="17"/>
        </w:rPr>
        <w:t xml:space="preserve">Figure 5  </w:t>
      </w:r>
      <w:r>
        <w:rPr>
          <w:color w:val="6B7280"/>
          <w:sz w:val="17"/>
          <w:szCs w:val="17"/>
        </w:rPr>
        <w:t>Evidence: cost and arrival shown together; arrival carries no time zone.</w:t>
      </w:r>
    </w:p>
    <w:p w:rsidR="00233CE3" w:rsidRDefault="00AD42BA">
      <w:pPr>
        <w:pBdr>
          <w:top w:val="single" w:sz="4" w:space="6" w:color="D9DEE4"/>
          <w:bottom w:val="single" w:sz="4" w:space="6" w:color="D9DEE4"/>
        </w:pBdr>
        <w:spacing w:before="140" w:after="40"/>
        <w:jc w:val="center"/>
      </w:pPr>
      <w:r>
        <w:rPr>
          <w:noProof/>
        </w:rPr>
        <w:drawing>
          <wp:inline distT="0" distB="0" distL="0" distR="0">
            <wp:extent cx="5577840" cy="25019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77840" cy="2501934"/>
                    </a:xfrm>
                    <a:prstGeom prst="rect">
                      <a:avLst/>
                    </a:prstGeom>
                  </pic:spPr>
                </pic:pic>
              </a:graphicData>
            </a:graphic>
          </wp:inline>
        </w:drawing>
      </w:r>
    </w:p>
    <w:p w:rsidR="00233CE3" w:rsidRDefault="00AD42BA">
      <w:pPr>
        <w:spacing w:after="220"/>
        <w:jc w:val="center"/>
      </w:pPr>
      <w:r>
        <w:rPr>
          <w:b/>
          <w:bCs/>
          <w:color w:val="1F6F73"/>
          <w:sz w:val="17"/>
          <w:szCs w:val="17"/>
        </w:rPr>
        <w:t xml:space="preserve">Figure 6  </w:t>
      </w:r>
      <w:r>
        <w:rPr>
          <w:color w:val="6B7280"/>
          <w:sz w:val="17"/>
          <w:szCs w:val="17"/>
        </w:rPr>
        <w:t>Indicative external reference point captured separately (Google).</w:t>
      </w:r>
    </w:p>
    <w:p w:rsidR="00233CE3" w:rsidRDefault="00AD42BA">
      <w:pPr>
        <w:pBdr>
          <w:top w:val="single" w:sz="4" w:space="6" w:color="D9DEE4"/>
          <w:bottom w:val="single" w:sz="4" w:space="6" w:color="D9DEE4"/>
        </w:pBdr>
        <w:spacing w:before="140" w:after="40"/>
        <w:jc w:val="center"/>
      </w:pPr>
      <w:r>
        <w:rPr>
          <w:noProof/>
        </w:rPr>
        <w:drawing>
          <wp:inline distT="0" distB="0" distL="0" distR="0">
            <wp:extent cx="5577840" cy="24617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77840" cy="2461704"/>
                    </a:xfrm>
                    <a:prstGeom prst="rect">
                      <a:avLst/>
                    </a:prstGeom>
                  </pic:spPr>
                </pic:pic>
              </a:graphicData>
            </a:graphic>
          </wp:inline>
        </w:drawing>
      </w:r>
    </w:p>
    <w:p w:rsidR="00233CE3" w:rsidRDefault="00AD42BA">
      <w:pPr>
        <w:spacing w:after="220"/>
        <w:jc w:val="center"/>
      </w:pPr>
      <w:r>
        <w:rPr>
          <w:b/>
          <w:bCs/>
          <w:color w:val="1F6F73"/>
          <w:sz w:val="17"/>
          <w:szCs w:val="17"/>
        </w:rPr>
        <w:lastRenderedPageBreak/>
        <w:t xml:space="preserve">Figure 7  </w:t>
      </w:r>
      <w:r>
        <w:rPr>
          <w:color w:val="6B7280"/>
          <w:sz w:val="17"/>
          <w:szCs w:val="17"/>
        </w:rPr>
        <w:t>Second indicative external quote (Western Union); conditions not time-matched.</w:t>
      </w:r>
    </w:p>
    <w:p w:rsidR="00233CE3" w:rsidRDefault="00233CE3">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9183"/>
      </w:tblGrid>
      <w:tr w:rsidR="00233CE3">
        <w:tblPrEx>
          <w:tblCellMar>
            <w:top w:w="0" w:type="dxa"/>
            <w:bottom w:w="0" w:type="dxa"/>
          </w:tblCellMar>
        </w:tblPrEx>
        <w:tc>
          <w:tcPr>
            <w:tcW w:w="35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sz w:val="26"/>
                <w:szCs w:val="26"/>
              </w:rPr>
              <w:t>4</w:t>
            </w:r>
          </w:p>
        </w:tc>
        <w:tc>
          <w:tcPr>
            <w:tcW w:w="4650" w:type="pct"/>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r>
              <w:rPr>
                <w:b/>
                <w:bCs/>
                <w:color w:val="142A4C"/>
                <w:sz w:val="22"/>
                <w:szCs w:val="22"/>
              </w:rPr>
              <w:t>Reading the fee breakdown</w:t>
            </w:r>
          </w:p>
          <w:p w:rsidR="00233CE3" w:rsidRDefault="00AD42BA">
            <w:r>
              <w:rPr>
                <w:color w:val="6B7280"/>
                <w:sz w:val="17"/>
                <w:szCs w:val="17"/>
              </w:rPr>
              <w:t>URL / page: wise.com/in/pricing/send-money (scrolled)</w:t>
            </w:r>
          </w:p>
        </w:tc>
      </w:tr>
    </w:tbl>
    <w:p w:rsidR="00233CE3" w:rsidRDefault="00233CE3">
      <w:pPr>
        <w:spacing w:before="1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8"/>
        <w:gridCol w:w="6616"/>
      </w:tblGrid>
      <w:tr w:rsidR="00233CE3">
        <w:tblPrEx>
          <w:tblCellMar>
            <w:top w:w="0" w:type="dxa"/>
            <w:bottom w:w="0" w:type="dxa"/>
          </w:tblCellMar>
        </w:tblPrEx>
        <w:trPr>
          <w:tblHeader/>
        </w:trPr>
        <w:tc>
          <w:tcPr>
            <w:tcW w:w="16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Cognitive-walkthrough question</w:t>
            </w:r>
          </w:p>
        </w:tc>
        <w:tc>
          <w:tcPr>
            <w:tcW w:w="33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 xml:space="preserve">Verdict </w:t>
            </w:r>
            <w:r w:rsidR="005B3E67">
              <w:rPr>
                <w:b/>
                <w:bCs/>
                <w:color w:val="FFFFFF"/>
                <w:sz w:val="18"/>
                <w:szCs w:val="18"/>
              </w:rPr>
              <w:t>-</w:t>
            </w:r>
            <w:r>
              <w:rPr>
                <w:b/>
                <w:bCs/>
                <w:color w:val="FFFFFF"/>
                <w:sz w:val="18"/>
                <w:szCs w:val="18"/>
              </w:rPr>
              <w:t xml:space="preserve"> evidence observed</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Q1 </w:t>
            </w:r>
            <w:r w:rsidR="005B3E67">
              <w:rPr>
                <w:sz w:val="18"/>
                <w:szCs w:val="18"/>
              </w:rPr>
              <w:t>-</w:t>
            </w:r>
            <w:r>
              <w:rPr>
                <w:sz w:val="18"/>
                <w:szCs w:val="18"/>
              </w:rPr>
              <w:t xml:space="preserve"> Right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The module is still about fees, so it is the right area of the page.</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Q2 </w:t>
            </w:r>
            <w:r w:rsidR="005B3E67">
              <w:rPr>
                <w:sz w:val="18"/>
                <w:szCs w:val="18"/>
              </w:rPr>
              <w:t>-</w:t>
            </w:r>
            <w:r>
              <w:rPr>
                <w:sz w:val="18"/>
                <w:szCs w:val="18"/>
              </w:rPr>
              <w:t xml:space="preserve"> Notice action?</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“Estimated amount per month” and “Average fee” sit directly below the calculator.</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Q3 </w:t>
            </w:r>
            <w:r w:rsidR="005B3E67">
              <w:rPr>
                <w:sz w:val="18"/>
                <w:szCs w:val="18"/>
              </w:rPr>
              <w:t>-</w:t>
            </w:r>
            <w:r>
              <w:rPr>
                <w:sz w:val="18"/>
                <w:szCs w:val="18"/>
              </w:rPr>
              <w:t xml:space="preserve"> Action →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23B3B"/>
                <w:sz w:val="19"/>
                <w:szCs w:val="19"/>
              </w:rPr>
              <w:t>No</w:t>
            </w:r>
            <w:r>
              <w:rPr>
                <w:sz w:val="18"/>
                <w:szCs w:val="18"/>
              </w:rPr>
              <w:t xml:space="preserve">  </w:t>
            </w:r>
            <w:r w:rsidR="005B3E67">
              <w:rPr>
                <w:sz w:val="18"/>
                <w:szCs w:val="18"/>
              </w:rPr>
              <w:t>-</w:t>
            </w:r>
            <w:r>
              <w:rPr>
                <w:sz w:val="18"/>
                <w:szCs w:val="18"/>
              </w:rPr>
              <w:t xml:space="preserve">  The “per month” framing was not understood </w:t>
            </w:r>
            <w:r w:rsidR="005B3E67">
              <w:rPr>
                <w:sz w:val="18"/>
                <w:szCs w:val="18"/>
              </w:rPr>
              <w:t>-</w:t>
            </w:r>
            <w:r>
              <w:rPr>
                <w:sz w:val="18"/>
                <w:szCs w:val="18"/>
              </w:rPr>
              <w:t xml:space="preserve"> it could describe recurring sending, a subscription-style estimate, or the same transfer rest</w:t>
            </w:r>
            <w:r>
              <w:rPr>
                <w:sz w:val="18"/>
                <w:szCs w:val="18"/>
              </w:rPr>
              <w:t>ated.</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Q4 </w:t>
            </w:r>
            <w:r w:rsidR="005B3E67">
              <w:rPr>
                <w:sz w:val="18"/>
                <w:szCs w:val="18"/>
              </w:rPr>
              <w:t>-</w:t>
            </w:r>
            <w:r>
              <w:rPr>
                <w:sz w:val="18"/>
                <w:szCs w:val="18"/>
              </w:rPr>
              <w:t xml:space="preserve"> See progress?</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8863B"/>
                <w:sz w:val="19"/>
                <w:szCs w:val="19"/>
              </w:rPr>
              <w:t>Unclear</w:t>
            </w:r>
            <w:r>
              <w:rPr>
                <w:sz w:val="18"/>
                <w:szCs w:val="18"/>
              </w:rPr>
              <w:t xml:space="preserve">  </w:t>
            </w:r>
            <w:r w:rsidR="005B3E67">
              <w:rPr>
                <w:sz w:val="18"/>
                <w:szCs w:val="18"/>
              </w:rPr>
              <w:t>-</w:t>
            </w:r>
            <w:r>
              <w:rPr>
                <w:sz w:val="18"/>
                <w:szCs w:val="18"/>
              </w:rPr>
              <w:t xml:space="preserve">  An average-fee percentage is shown, but without knowing what the input represents it could not be tied back to the transfer.</w:t>
            </w:r>
          </w:p>
        </w:tc>
      </w:tr>
    </w:tbl>
    <w:p w:rsidR="00233CE3" w:rsidRDefault="00233CE3">
      <w:pPr>
        <w:spacing w:before="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EBD9B4"/>
              <w:left w:val="single" w:sz="2" w:space="0" w:color="EBD9B4"/>
              <w:bottom w:val="single" w:sz="2" w:space="0" w:color="EBD9B4"/>
              <w:right w:val="single" w:sz="2" w:space="0" w:color="EBD9B4"/>
            </w:tcBorders>
            <w:shd w:val="clear" w:color="auto" w:fill="FBF3E7"/>
            <w:tcMar>
              <w:top w:w="90" w:type="dxa"/>
              <w:left w:w="130" w:type="dxa"/>
              <w:bottom w:w="90" w:type="dxa"/>
              <w:right w:w="130" w:type="dxa"/>
            </w:tcMar>
            <w:vAlign w:val="center"/>
          </w:tcPr>
          <w:p w:rsidR="00233CE3" w:rsidRDefault="00AD42BA">
            <w:r>
              <w:rPr>
                <w:b/>
                <w:bCs/>
                <w:color w:val="B8863B"/>
                <w:sz w:val="16"/>
                <w:szCs w:val="16"/>
              </w:rPr>
              <w:t>OBSERVATION / UNCERTAINTY</w:t>
            </w:r>
          </w:p>
          <w:p w:rsidR="00233CE3" w:rsidRDefault="00AD42BA">
            <w:r>
              <w:rPr>
                <w:sz w:val="18"/>
                <w:szCs w:val="18"/>
              </w:rPr>
              <w:t>Ambiguous microcopy left the module's purpose unresolved. (Findin</w:t>
            </w:r>
            <w:r>
              <w:rPr>
                <w:sz w:val="18"/>
                <w:szCs w:val="18"/>
              </w:rPr>
              <w:t>g F5.)</w:t>
            </w:r>
          </w:p>
        </w:tc>
      </w:tr>
      <w:tr w:rsidR="00233CE3">
        <w:tblPrEx>
          <w:tblCellMar>
            <w:top w:w="0" w:type="dxa"/>
            <w:bottom w:w="0" w:type="dxa"/>
          </w:tblCellMar>
        </w:tblPrEx>
        <w:tc>
          <w:tcPr>
            <w:tcW w:w="5000" w:type="pct"/>
            <w:tcBorders>
              <w:top w:val="single" w:sz="2" w:space="0" w:color="BFDDDD"/>
              <w:left w:val="single" w:sz="2" w:space="0" w:color="BFDDDD"/>
              <w:bottom w:val="single" w:sz="2" w:space="0" w:color="BFDDDD"/>
              <w:right w:val="single" w:sz="2" w:space="0" w:color="BFDDDD"/>
            </w:tcBorders>
            <w:shd w:val="clear" w:color="auto" w:fill="EAF3F3"/>
            <w:tcMar>
              <w:top w:w="90" w:type="dxa"/>
              <w:left w:w="130" w:type="dxa"/>
              <w:bottom w:w="90" w:type="dxa"/>
              <w:right w:w="130" w:type="dxa"/>
            </w:tcMar>
            <w:vAlign w:val="center"/>
          </w:tcPr>
          <w:p w:rsidR="00233CE3" w:rsidRDefault="00AD42BA">
            <w:r>
              <w:rPr>
                <w:b/>
                <w:bCs/>
                <w:color w:val="1F6F73"/>
                <w:sz w:val="16"/>
                <w:szCs w:val="16"/>
              </w:rPr>
              <w:t>DESIGN IMPLICATION</w:t>
            </w:r>
          </w:p>
          <w:p w:rsidR="00233CE3" w:rsidRDefault="00AD42BA">
            <w:r>
              <w:rPr>
                <w:sz w:val="18"/>
                <w:szCs w:val="18"/>
              </w:rPr>
              <w:t>Add one line of explanatory microcopy, or relabel the module for a single transfer.</w:t>
            </w:r>
          </w:p>
        </w:tc>
      </w:tr>
    </w:tbl>
    <w:p w:rsidR="00233CE3" w:rsidRDefault="00AD42BA">
      <w:pPr>
        <w:pBdr>
          <w:top w:val="single" w:sz="4" w:space="6" w:color="D9DEE4"/>
          <w:bottom w:val="single" w:sz="4" w:space="6" w:color="D9DEE4"/>
        </w:pBdr>
        <w:spacing w:before="140" w:after="40"/>
        <w:jc w:val="center"/>
      </w:pPr>
      <w:r>
        <w:rPr>
          <w:noProof/>
        </w:rPr>
        <w:drawing>
          <wp:inline distT="0" distB="0" distL="0" distR="0">
            <wp:extent cx="5577840" cy="23479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77840" cy="2347901"/>
                    </a:xfrm>
                    <a:prstGeom prst="rect">
                      <a:avLst/>
                    </a:prstGeom>
                  </pic:spPr>
                </pic:pic>
              </a:graphicData>
            </a:graphic>
          </wp:inline>
        </w:drawing>
      </w:r>
    </w:p>
    <w:p w:rsidR="00233CE3" w:rsidRDefault="00AD42BA">
      <w:pPr>
        <w:spacing w:after="220"/>
        <w:jc w:val="center"/>
      </w:pPr>
      <w:r>
        <w:rPr>
          <w:b/>
          <w:bCs/>
          <w:color w:val="1F6F73"/>
          <w:sz w:val="17"/>
          <w:szCs w:val="17"/>
        </w:rPr>
        <w:t xml:space="preserve">Figure 8  </w:t>
      </w:r>
      <w:r>
        <w:rPr>
          <w:color w:val="6B7280"/>
          <w:sz w:val="17"/>
          <w:szCs w:val="17"/>
        </w:rPr>
        <w:t>Evidence: “per month” framing is not explained on the card.</w:t>
      </w:r>
    </w:p>
    <w:p w:rsidR="00233CE3" w:rsidRDefault="00233CE3">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9183"/>
      </w:tblGrid>
      <w:tr w:rsidR="00233CE3">
        <w:tblPrEx>
          <w:tblCellMar>
            <w:top w:w="0" w:type="dxa"/>
            <w:bottom w:w="0" w:type="dxa"/>
          </w:tblCellMar>
        </w:tblPrEx>
        <w:tc>
          <w:tcPr>
            <w:tcW w:w="35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sz w:val="26"/>
                <w:szCs w:val="26"/>
              </w:rPr>
              <w:t>5</w:t>
            </w:r>
          </w:p>
        </w:tc>
        <w:tc>
          <w:tcPr>
            <w:tcW w:w="4650" w:type="pct"/>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r>
              <w:rPr>
                <w:b/>
                <w:bCs/>
                <w:color w:val="142A4C"/>
                <w:sz w:val="22"/>
                <w:szCs w:val="22"/>
              </w:rPr>
              <w:t>Searching for eligibility and restrictions</w:t>
            </w:r>
          </w:p>
          <w:p w:rsidR="00233CE3" w:rsidRDefault="00AD42BA">
            <w:r>
              <w:rPr>
                <w:color w:val="6B7280"/>
                <w:sz w:val="17"/>
                <w:szCs w:val="17"/>
              </w:rPr>
              <w:t>URL / page: wise.com/in/send-money → wise.com/help/ (search)</w:t>
            </w:r>
          </w:p>
        </w:tc>
      </w:tr>
    </w:tbl>
    <w:p w:rsidR="00233CE3" w:rsidRDefault="00233CE3">
      <w:pPr>
        <w:spacing w:before="1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8"/>
        <w:gridCol w:w="6616"/>
      </w:tblGrid>
      <w:tr w:rsidR="00233CE3">
        <w:tblPrEx>
          <w:tblCellMar>
            <w:top w:w="0" w:type="dxa"/>
            <w:bottom w:w="0" w:type="dxa"/>
          </w:tblCellMar>
        </w:tblPrEx>
        <w:trPr>
          <w:tblHeader/>
        </w:trPr>
        <w:tc>
          <w:tcPr>
            <w:tcW w:w="16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Cognitive-walkthrough question</w:t>
            </w:r>
          </w:p>
        </w:tc>
        <w:tc>
          <w:tcPr>
            <w:tcW w:w="33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 xml:space="preserve">Verdict </w:t>
            </w:r>
            <w:r w:rsidR="005B3E67">
              <w:rPr>
                <w:b/>
                <w:bCs/>
                <w:color w:val="FFFFFF"/>
                <w:sz w:val="18"/>
                <w:szCs w:val="18"/>
              </w:rPr>
              <w:t>-</w:t>
            </w:r>
            <w:r>
              <w:rPr>
                <w:b/>
                <w:bCs/>
                <w:color w:val="FFFFFF"/>
                <w:sz w:val="18"/>
                <w:szCs w:val="18"/>
              </w:rPr>
              <w:t xml:space="preserve"> evidence observed</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Q1 </w:t>
            </w:r>
            <w:r w:rsidR="005B3E67">
              <w:rPr>
                <w:sz w:val="18"/>
                <w:szCs w:val="18"/>
              </w:rPr>
              <w:t>-</w:t>
            </w:r>
            <w:r>
              <w:rPr>
                <w:sz w:val="18"/>
                <w:szCs w:val="18"/>
              </w:rPr>
              <w:t xml:space="preserve"> Right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The evaluator reasoned that eligibility rules would sit on the send-money page, the FAQ, or the Help Centre.</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lastRenderedPageBreak/>
              <w:t xml:space="preserve">Q2 </w:t>
            </w:r>
            <w:r w:rsidR="005B3E67">
              <w:rPr>
                <w:sz w:val="18"/>
                <w:szCs w:val="18"/>
              </w:rPr>
              <w:t>-</w:t>
            </w:r>
            <w:r>
              <w:rPr>
                <w:sz w:val="18"/>
                <w:szCs w:val="18"/>
              </w:rPr>
              <w:t xml:space="preserve"> Notice action?</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23B3B"/>
                <w:sz w:val="19"/>
                <w:szCs w:val="19"/>
              </w:rPr>
              <w:t>No</w:t>
            </w:r>
            <w:r>
              <w:rPr>
                <w:sz w:val="18"/>
                <w:szCs w:val="18"/>
              </w:rPr>
              <w:t xml:space="preserve">  </w:t>
            </w:r>
            <w:r w:rsidR="005B3E67">
              <w:rPr>
                <w:sz w:val="18"/>
                <w:szCs w:val="18"/>
              </w:rPr>
              <w:t>-</w:t>
            </w:r>
            <w:r>
              <w:rPr>
                <w:sz w:val="18"/>
                <w:szCs w:val="18"/>
              </w:rPr>
              <w:t xml:space="preserve">  None of the three surfaces surfaced an India eligibility answer using the terms tested. The FAQ carries a general INR-restrictions question; a Help Centre search for “restriction india” returned articles for Türkiye, Belarus, Russia, and Myanmar.</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Q3 </w:t>
            </w:r>
            <w:r w:rsidR="005B3E67">
              <w:rPr>
                <w:sz w:val="18"/>
                <w:szCs w:val="18"/>
              </w:rPr>
              <w:t>-</w:t>
            </w:r>
            <w:r>
              <w:rPr>
                <w:sz w:val="18"/>
                <w:szCs w:val="18"/>
              </w:rPr>
              <w:t xml:space="preserve"> Action →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23B3B"/>
                <w:sz w:val="19"/>
                <w:szCs w:val="19"/>
              </w:rPr>
              <w:t>No</w:t>
            </w:r>
            <w:r>
              <w:rPr>
                <w:sz w:val="18"/>
                <w:szCs w:val="18"/>
              </w:rPr>
              <w:t xml:space="preserve">  </w:t>
            </w:r>
            <w:r w:rsidR="005B3E67">
              <w:rPr>
                <w:sz w:val="18"/>
                <w:szCs w:val="18"/>
              </w:rPr>
              <w:t>-</w:t>
            </w:r>
            <w:r>
              <w:rPr>
                <w:sz w:val="18"/>
                <w:szCs w:val="18"/>
              </w:rPr>
              <w:t xml:space="preserve">  No action-to-outcome connection could form, because the relevant content was never reached.</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Q4 </w:t>
            </w:r>
            <w:r w:rsidR="005B3E67">
              <w:rPr>
                <w:sz w:val="18"/>
                <w:szCs w:val="18"/>
              </w:rPr>
              <w:t>-</w:t>
            </w:r>
            <w:r>
              <w:rPr>
                <w:sz w:val="18"/>
                <w:szCs w:val="18"/>
              </w:rPr>
              <w:t xml:space="preserve"> See progress?</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23B3B"/>
                <w:sz w:val="19"/>
                <w:szCs w:val="19"/>
              </w:rPr>
              <w:t>No</w:t>
            </w:r>
            <w:r>
              <w:rPr>
                <w:sz w:val="18"/>
                <w:szCs w:val="18"/>
              </w:rPr>
              <w:t xml:space="preserve">  </w:t>
            </w:r>
            <w:r w:rsidR="005B3E67">
              <w:rPr>
                <w:sz w:val="18"/>
                <w:szCs w:val="18"/>
              </w:rPr>
              <w:t>-</w:t>
            </w:r>
            <w:r>
              <w:rPr>
                <w:sz w:val="18"/>
                <w:szCs w:val="18"/>
              </w:rPr>
              <w:t xml:space="preserve">  The search was abandoned without resolving whether personal accounts are available to Indian residents.</w:t>
            </w:r>
          </w:p>
        </w:tc>
      </w:tr>
    </w:tbl>
    <w:p w:rsidR="00233CE3" w:rsidRDefault="00233CE3">
      <w:pPr>
        <w:spacing w:before="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EBD9B4"/>
              <w:left w:val="single" w:sz="2" w:space="0" w:color="EBD9B4"/>
              <w:bottom w:val="single" w:sz="2" w:space="0" w:color="EBD9B4"/>
              <w:right w:val="single" w:sz="2" w:space="0" w:color="EBD9B4"/>
            </w:tcBorders>
            <w:shd w:val="clear" w:color="auto" w:fill="FBF3E7"/>
            <w:tcMar>
              <w:top w:w="90" w:type="dxa"/>
              <w:left w:w="130" w:type="dxa"/>
              <w:bottom w:w="90" w:type="dxa"/>
              <w:right w:w="130" w:type="dxa"/>
            </w:tcMar>
            <w:vAlign w:val="center"/>
          </w:tcPr>
          <w:p w:rsidR="00233CE3" w:rsidRDefault="00AD42BA">
            <w:r>
              <w:rPr>
                <w:b/>
                <w:bCs/>
                <w:color w:val="B8863B"/>
                <w:sz w:val="16"/>
                <w:szCs w:val="16"/>
              </w:rPr>
              <w:t>OBSERVATION / UNCERTAINTY</w:t>
            </w:r>
          </w:p>
          <w:p w:rsidR="00233CE3" w:rsidRDefault="00AD42BA">
            <w:r>
              <w:rPr>
                <w:sz w:val="18"/>
                <w:szCs w:val="18"/>
              </w:rPr>
              <w:t xml:space="preserve">Eligibility could not be located through these three surfaces using the terms tested </w:t>
            </w:r>
            <w:r w:rsidR="005B3E67">
              <w:rPr>
                <w:sz w:val="18"/>
                <w:szCs w:val="18"/>
              </w:rPr>
              <w:t>-</w:t>
            </w:r>
            <w:r>
              <w:rPr>
                <w:sz w:val="18"/>
                <w:szCs w:val="18"/>
              </w:rPr>
              <w:t xml:space="preserve"> which is a discoverability finding, not proof that no such content exists anywhere on the site. (Finding F2.)</w:t>
            </w:r>
          </w:p>
        </w:tc>
      </w:tr>
      <w:tr w:rsidR="00233CE3">
        <w:tblPrEx>
          <w:tblCellMar>
            <w:top w:w="0" w:type="dxa"/>
            <w:bottom w:w="0" w:type="dxa"/>
          </w:tblCellMar>
        </w:tblPrEx>
        <w:tc>
          <w:tcPr>
            <w:tcW w:w="5000" w:type="pct"/>
            <w:tcBorders>
              <w:top w:val="single" w:sz="2" w:space="0" w:color="BFDDDD"/>
              <w:left w:val="single" w:sz="2" w:space="0" w:color="BFDDDD"/>
              <w:bottom w:val="single" w:sz="2" w:space="0" w:color="BFDDDD"/>
              <w:right w:val="single" w:sz="2" w:space="0" w:color="BFDDDD"/>
            </w:tcBorders>
            <w:shd w:val="clear" w:color="auto" w:fill="EAF3F3"/>
            <w:tcMar>
              <w:top w:w="90" w:type="dxa"/>
              <w:left w:w="130" w:type="dxa"/>
              <w:bottom w:w="90" w:type="dxa"/>
              <w:right w:w="130" w:type="dxa"/>
            </w:tcMar>
            <w:vAlign w:val="center"/>
          </w:tcPr>
          <w:p w:rsidR="00233CE3" w:rsidRDefault="00AD42BA">
            <w:r>
              <w:rPr>
                <w:b/>
                <w:bCs/>
                <w:color w:val="1F6F73"/>
                <w:sz w:val="16"/>
                <w:szCs w:val="16"/>
              </w:rPr>
              <w:t>DESIGN IMPLICATION</w:t>
            </w:r>
          </w:p>
          <w:p w:rsidR="00233CE3" w:rsidRDefault="00AD42BA">
            <w:r>
              <w:rPr>
                <w:sz w:val="18"/>
                <w:szCs w:val="18"/>
              </w:rPr>
              <w:t>Surface country-specific eligibility on the pricing and send-money pages, rather than relying on Help Centre search.</w:t>
            </w:r>
          </w:p>
        </w:tc>
      </w:tr>
    </w:tbl>
    <w:p w:rsidR="00233CE3" w:rsidRDefault="00AD42BA">
      <w:pPr>
        <w:pBdr>
          <w:top w:val="single" w:sz="4" w:space="6" w:color="D9DEE4"/>
          <w:bottom w:val="single" w:sz="4" w:space="6" w:color="D9DEE4"/>
        </w:pBdr>
        <w:spacing w:before="140" w:after="40"/>
        <w:jc w:val="center"/>
      </w:pPr>
      <w:r>
        <w:rPr>
          <w:noProof/>
        </w:rPr>
        <w:drawing>
          <wp:inline distT="0" distB="0" distL="0" distR="0">
            <wp:extent cx="5577840" cy="27867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77840" cy="2786783"/>
                    </a:xfrm>
                    <a:prstGeom prst="rect">
                      <a:avLst/>
                    </a:prstGeom>
                  </pic:spPr>
                </pic:pic>
              </a:graphicData>
            </a:graphic>
          </wp:inline>
        </w:drawing>
      </w:r>
    </w:p>
    <w:p w:rsidR="00233CE3" w:rsidRDefault="00AD42BA">
      <w:pPr>
        <w:spacing w:after="220"/>
        <w:jc w:val="center"/>
      </w:pPr>
      <w:r>
        <w:rPr>
          <w:b/>
          <w:bCs/>
          <w:color w:val="1F6F73"/>
          <w:sz w:val="17"/>
          <w:szCs w:val="17"/>
        </w:rPr>
        <w:t xml:space="preserve">Figure 9  </w:t>
      </w:r>
      <w:r>
        <w:rPr>
          <w:color w:val="6B7280"/>
          <w:sz w:val="17"/>
          <w:szCs w:val="17"/>
        </w:rPr>
        <w:t>Send-money page reviewed for eligibility criteria; none stated.</w:t>
      </w:r>
    </w:p>
    <w:p w:rsidR="00233CE3" w:rsidRDefault="00AD42BA">
      <w:pPr>
        <w:pBdr>
          <w:top w:val="single" w:sz="4" w:space="6" w:color="D9DEE4"/>
          <w:bottom w:val="single" w:sz="4" w:space="6" w:color="D9DEE4"/>
        </w:pBdr>
        <w:spacing w:before="140" w:after="40"/>
        <w:jc w:val="center"/>
      </w:pPr>
      <w:r>
        <w:rPr>
          <w:noProof/>
        </w:rPr>
        <w:drawing>
          <wp:inline distT="0" distB="0" distL="0" distR="0">
            <wp:extent cx="5577840" cy="2183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77840" cy="2183820"/>
                    </a:xfrm>
                    <a:prstGeom prst="rect">
                      <a:avLst/>
                    </a:prstGeom>
                  </pic:spPr>
                </pic:pic>
              </a:graphicData>
            </a:graphic>
          </wp:inline>
        </w:drawing>
      </w:r>
    </w:p>
    <w:p w:rsidR="00233CE3" w:rsidRDefault="00AD42BA">
      <w:pPr>
        <w:spacing w:after="220"/>
        <w:jc w:val="center"/>
      </w:pPr>
      <w:r>
        <w:rPr>
          <w:b/>
          <w:bCs/>
          <w:color w:val="1F6F73"/>
          <w:sz w:val="17"/>
          <w:szCs w:val="17"/>
        </w:rPr>
        <w:t xml:space="preserve">Figure 10  </w:t>
      </w:r>
      <w:r>
        <w:rPr>
          <w:color w:val="6B7280"/>
          <w:sz w:val="17"/>
          <w:szCs w:val="17"/>
        </w:rPr>
        <w:t>Evidence: FAQ carries a general INR-restrictions item, no India eligibility answer.</w:t>
      </w:r>
    </w:p>
    <w:p w:rsidR="00233CE3" w:rsidRDefault="00AD42BA">
      <w:pPr>
        <w:pBdr>
          <w:top w:val="single" w:sz="4" w:space="6" w:color="D9DEE4"/>
          <w:bottom w:val="single" w:sz="4" w:space="6" w:color="D9DEE4"/>
        </w:pBdr>
        <w:spacing w:before="140" w:after="40"/>
        <w:jc w:val="center"/>
      </w:pPr>
      <w:r>
        <w:rPr>
          <w:noProof/>
        </w:rPr>
        <w:lastRenderedPageBreak/>
        <w:drawing>
          <wp:inline distT="0" distB="0" distL="0" distR="0">
            <wp:extent cx="5577840" cy="19516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77840" cy="1951624"/>
                    </a:xfrm>
                    <a:prstGeom prst="rect">
                      <a:avLst/>
                    </a:prstGeom>
                  </pic:spPr>
                </pic:pic>
              </a:graphicData>
            </a:graphic>
          </wp:inline>
        </w:drawing>
      </w:r>
    </w:p>
    <w:p w:rsidR="00233CE3" w:rsidRDefault="00AD42BA">
      <w:pPr>
        <w:spacing w:after="220"/>
        <w:jc w:val="center"/>
      </w:pPr>
      <w:r>
        <w:rPr>
          <w:b/>
          <w:bCs/>
          <w:color w:val="1F6F73"/>
          <w:sz w:val="17"/>
          <w:szCs w:val="17"/>
        </w:rPr>
        <w:t xml:space="preserve">Figure 11  </w:t>
      </w:r>
      <w:r>
        <w:rPr>
          <w:color w:val="6B7280"/>
          <w:sz w:val="17"/>
          <w:szCs w:val="17"/>
        </w:rPr>
        <w:t>Footer reviewed; Help Centre followed as the next likely source.</w:t>
      </w:r>
    </w:p>
    <w:p w:rsidR="00233CE3" w:rsidRDefault="00AD42BA">
      <w:pPr>
        <w:pBdr>
          <w:top w:val="single" w:sz="4" w:space="6" w:color="D9DEE4"/>
          <w:bottom w:val="single" w:sz="4" w:space="6" w:color="D9DEE4"/>
        </w:pBdr>
        <w:spacing w:before="140" w:after="40"/>
        <w:jc w:val="center"/>
      </w:pPr>
      <w:r>
        <w:rPr>
          <w:noProof/>
        </w:rPr>
        <w:drawing>
          <wp:inline distT="0" distB="0" distL="0" distR="0">
            <wp:extent cx="5577840" cy="27211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77840" cy="2721104"/>
                    </a:xfrm>
                    <a:prstGeom prst="rect">
                      <a:avLst/>
                    </a:prstGeom>
                  </pic:spPr>
                </pic:pic>
              </a:graphicData>
            </a:graphic>
          </wp:inline>
        </w:drawing>
      </w:r>
    </w:p>
    <w:p w:rsidR="00233CE3" w:rsidRDefault="00AD42BA">
      <w:pPr>
        <w:spacing w:after="220"/>
        <w:jc w:val="center"/>
      </w:pPr>
      <w:r>
        <w:rPr>
          <w:b/>
          <w:bCs/>
          <w:color w:val="1F6F73"/>
          <w:sz w:val="17"/>
          <w:szCs w:val="17"/>
        </w:rPr>
        <w:t xml:space="preserve">Figure 12  </w:t>
      </w:r>
      <w:r>
        <w:rPr>
          <w:color w:val="6B7280"/>
          <w:sz w:val="17"/>
          <w:szCs w:val="17"/>
        </w:rPr>
        <w:t>Help Centre search home.</w:t>
      </w:r>
    </w:p>
    <w:p w:rsidR="00233CE3" w:rsidRDefault="00AD42BA">
      <w:pPr>
        <w:pBdr>
          <w:top w:val="single" w:sz="4" w:space="6" w:color="D9DEE4"/>
          <w:bottom w:val="single" w:sz="4" w:space="6" w:color="D9DEE4"/>
        </w:pBdr>
        <w:spacing w:before="140" w:after="40"/>
        <w:jc w:val="center"/>
      </w:pPr>
      <w:r>
        <w:rPr>
          <w:noProof/>
        </w:rPr>
        <w:lastRenderedPageBreak/>
        <w:drawing>
          <wp:inline distT="0" distB="0" distL="0" distR="0">
            <wp:extent cx="5577840" cy="346528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77840" cy="3465283"/>
                    </a:xfrm>
                    <a:prstGeom prst="rect">
                      <a:avLst/>
                    </a:prstGeom>
                  </pic:spPr>
                </pic:pic>
              </a:graphicData>
            </a:graphic>
          </wp:inline>
        </w:drawing>
      </w:r>
    </w:p>
    <w:p w:rsidR="00233CE3" w:rsidRDefault="00AD42BA">
      <w:pPr>
        <w:spacing w:after="220"/>
        <w:jc w:val="center"/>
      </w:pPr>
      <w:r>
        <w:rPr>
          <w:b/>
          <w:bCs/>
          <w:color w:val="1F6F73"/>
          <w:sz w:val="17"/>
          <w:szCs w:val="17"/>
        </w:rPr>
        <w:t xml:space="preserve">Figure 13  </w:t>
      </w:r>
      <w:r>
        <w:rPr>
          <w:color w:val="6B7280"/>
          <w:sz w:val="17"/>
          <w:szCs w:val="17"/>
        </w:rPr>
        <w:t>Evidence: Help search returns restriction a</w:t>
      </w:r>
      <w:r>
        <w:rPr>
          <w:color w:val="6B7280"/>
          <w:sz w:val="17"/>
          <w:szCs w:val="17"/>
        </w:rPr>
        <w:t>rticles for other countries, not India.</w:t>
      </w:r>
    </w:p>
    <w:p w:rsidR="00233CE3" w:rsidRDefault="00233CE3">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9183"/>
      </w:tblGrid>
      <w:tr w:rsidR="00233CE3">
        <w:tblPrEx>
          <w:tblCellMar>
            <w:top w:w="0" w:type="dxa"/>
            <w:bottom w:w="0" w:type="dxa"/>
          </w:tblCellMar>
        </w:tblPrEx>
        <w:tc>
          <w:tcPr>
            <w:tcW w:w="350" w:type="pct"/>
            <w:tcBorders>
              <w:top w:val="single" w:sz="2" w:space="0" w:color="1F6F73"/>
              <w:left w:val="single" w:sz="2" w:space="0" w:color="1F6F73"/>
              <w:bottom w:val="single" w:sz="2" w:space="0" w:color="1F6F73"/>
              <w:right w:val="single" w:sz="2" w:space="0" w:color="1F6F73"/>
            </w:tcBorders>
            <w:shd w:val="clear" w:color="auto" w:fill="1F6F73"/>
            <w:tcMar>
              <w:top w:w="90" w:type="dxa"/>
              <w:left w:w="130" w:type="dxa"/>
              <w:bottom w:w="90" w:type="dxa"/>
              <w:right w:w="130" w:type="dxa"/>
            </w:tcMar>
            <w:vAlign w:val="center"/>
          </w:tcPr>
          <w:p w:rsidR="00233CE3" w:rsidRDefault="00AD42BA">
            <w:pPr>
              <w:jc w:val="center"/>
            </w:pPr>
            <w:r>
              <w:rPr>
                <w:b/>
                <w:bCs/>
                <w:color w:val="FFFFFF"/>
                <w:sz w:val="26"/>
                <w:szCs w:val="26"/>
              </w:rPr>
              <w:t>6</w:t>
            </w:r>
          </w:p>
        </w:tc>
        <w:tc>
          <w:tcPr>
            <w:tcW w:w="4650" w:type="pct"/>
            <w:tcBorders>
              <w:top w:val="single" w:sz="2" w:space="0" w:color="F3F5F8"/>
              <w:left w:val="single" w:sz="2" w:space="0" w:color="F3F5F8"/>
              <w:bottom w:val="single" w:sz="2" w:space="0" w:color="F3F5F8"/>
              <w:right w:val="single" w:sz="2" w:space="0" w:color="F3F5F8"/>
            </w:tcBorders>
            <w:shd w:val="clear" w:color="auto" w:fill="F3F5F8"/>
            <w:tcMar>
              <w:top w:w="90" w:type="dxa"/>
              <w:left w:w="130" w:type="dxa"/>
              <w:bottom w:w="90" w:type="dxa"/>
              <w:right w:w="130" w:type="dxa"/>
            </w:tcMar>
            <w:vAlign w:val="center"/>
          </w:tcPr>
          <w:p w:rsidR="00233CE3" w:rsidRDefault="00AD42BA">
            <w:r>
              <w:rPr>
                <w:b/>
                <w:bCs/>
                <w:color w:val="142A4C"/>
                <w:sz w:val="22"/>
                <w:szCs w:val="22"/>
              </w:rPr>
              <w:t>Attempting to create an account</w:t>
            </w:r>
          </w:p>
          <w:p w:rsidR="00233CE3" w:rsidRDefault="00AD42BA">
            <w:r>
              <w:rPr>
                <w:color w:val="6B7280"/>
                <w:sz w:val="17"/>
                <w:szCs w:val="17"/>
              </w:rPr>
              <w:t>URL / page: wise.com/register</w:t>
            </w:r>
          </w:p>
        </w:tc>
      </w:tr>
    </w:tbl>
    <w:p w:rsidR="00233CE3" w:rsidRDefault="00233CE3">
      <w:pPr>
        <w:spacing w:before="1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8"/>
        <w:gridCol w:w="6616"/>
      </w:tblGrid>
      <w:tr w:rsidR="00233CE3">
        <w:tblPrEx>
          <w:tblCellMar>
            <w:top w:w="0" w:type="dxa"/>
            <w:bottom w:w="0" w:type="dxa"/>
          </w:tblCellMar>
        </w:tblPrEx>
        <w:trPr>
          <w:tblHeader/>
        </w:trPr>
        <w:tc>
          <w:tcPr>
            <w:tcW w:w="16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Cognitive-walkthrough question</w:t>
            </w:r>
          </w:p>
        </w:tc>
        <w:tc>
          <w:tcPr>
            <w:tcW w:w="3350" w:type="pct"/>
            <w:tcBorders>
              <w:top w:val="single" w:sz="2" w:space="0" w:color="142A4C"/>
              <w:left w:val="single" w:sz="2" w:space="0" w:color="142A4C"/>
              <w:bottom w:val="single" w:sz="2" w:space="0" w:color="142A4C"/>
              <w:right w:val="single" w:sz="2" w:space="0" w:color="142A4C"/>
            </w:tcBorders>
            <w:shd w:val="clear" w:color="auto" w:fill="142A4C"/>
            <w:tcMar>
              <w:top w:w="90" w:type="dxa"/>
              <w:left w:w="130" w:type="dxa"/>
              <w:bottom w:w="90" w:type="dxa"/>
              <w:right w:w="130" w:type="dxa"/>
            </w:tcMar>
            <w:vAlign w:val="center"/>
          </w:tcPr>
          <w:p w:rsidR="00233CE3" w:rsidRDefault="00AD42BA">
            <w:r>
              <w:rPr>
                <w:b/>
                <w:bCs/>
                <w:color w:val="FFFFFF"/>
                <w:sz w:val="18"/>
                <w:szCs w:val="18"/>
              </w:rPr>
              <w:t xml:space="preserve">Verdict </w:t>
            </w:r>
            <w:r w:rsidR="005B3E67">
              <w:rPr>
                <w:b/>
                <w:bCs/>
                <w:color w:val="FFFFFF"/>
                <w:sz w:val="18"/>
                <w:szCs w:val="18"/>
              </w:rPr>
              <w:t>-</w:t>
            </w:r>
            <w:r>
              <w:rPr>
                <w:b/>
                <w:bCs/>
                <w:color w:val="FFFFFF"/>
                <w:sz w:val="18"/>
                <w:szCs w:val="18"/>
              </w:rPr>
              <w:t xml:space="preserve"> evidence observed</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Q1 </w:t>
            </w:r>
            <w:r w:rsidR="005B3E67">
              <w:rPr>
                <w:sz w:val="18"/>
                <w:szCs w:val="18"/>
              </w:rPr>
              <w:t>-</w:t>
            </w:r>
            <w:r>
              <w:rPr>
                <w:sz w:val="18"/>
                <w:szCs w:val="18"/>
              </w:rPr>
              <w:t xml:space="preserve"> Right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2E7D5B"/>
                <w:sz w:val="19"/>
                <w:szCs w:val="19"/>
              </w:rPr>
              <w:t>Yes</w:t>
            </w:r>
            <w:r>
              <w:rPr>
                <w:sz w:val="18"/>
                <w:szCs w:val="18"/>
              </w:rPr>
              <w:t xml:space="preserve">  </w:t>
            </w:r>
            <w:r w:rsidR="005B3E67">
              <w:rPr>
                <w:sz w:val="18"/>
                <w:szCs w:val="18"/>
              </w:rPr>
              <w:t>-</w:t>
            </w:r>
            <w:r>
              <w:rPr>
                <w:sz w:val="18"/>
                <w:szCs w:val="18"/>
              </w:rPr>
              <w:t xml:space="preserve">  “Register” in the navigation clearly maps to the account-creation goal.</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Q2 </w:t>
            </w:r>
            <w:r w:rsidR="005B3E67">
              <w:rPr>
                <w:sz w:val="18"/>
                <w:szCs w:val="18"/>
              </w:rPr>
              <w:t>-</w:t>
            </w:r>
            <w:r>
              <w:rPr>
                <w:sz w:val="18"/>
                <w:szCs w:val="18"/>
              </w:rPr>
              <w:t xml:space="preserve"> Notice action?</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8863B"/>
                <w:sz w:val="19"/>
                <w:szCs w:val="19"/>
              </w:rPr>
              <w:t>Partially</w:t>
            </w:r>
            <w:r>
              <w:rPr>
                <w:sz w:val="18"/>
                <w:szCs w:val="18"/>
              </w:rPr>
              <w:t xml:space="preserve">  </w:t>
            </w:r>
            <w:r w:rsidR="005B3E67">
              <w:rPr>
                <w:sz w:val="18"/>
                <w:szCs w:val="18"/>
              </w:rPr>
              <w:t>-</w:t>
            </w:r>
            <w:r>
              <w:rPr>
                <w:sz w:val="18"/>
                <w:szCs w:val="18"/>
              </w:rPr>
              <w:t xml:space="preserve">  “Welcome to Wise” shows two rows </w:t>
            </w:r>
            <w:r w:rsidR="005B3E67">
              <w:rPr>
                <w:sz w:val="18"/>
                <w:szCs w:val="18"/>
              </w:rPr>
              <w:t>-</w:t>
            </w:r>
            <w:r>
              <w:rPr>
                <w:sz w:val="18"/>
                <w:szCs w:val="18"/>
              </w:rPr>
              <w:t xml:space="preserve"> Personal (account type) and India (residence country) </w:t>
            </w:r>
            <w:r w:rsidR="005B3E67">
              <w:rPr>
                <w:sz w:val="18"/>
                <w:szCs w:val="18"/>
              </w:rPr>
              <w:t>-</w:t>
            </w:r>
            <w:r>
              <w:rPr>
                <w:sz w:val="18"/>
                <w:szCs w:val="18"/>
              </w:rPr>
              <w:t xml:space="preserve"> without indicating that both must be opened, or in what order.</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Q3 </w:t>
            </w:r>
            <w:r w:rsidR="005B3E67">
              <w:rPr>
                <w:sz w:val="18"/>
                <w:szCs w:val="18"/>
              </w:rPr>
              <w:t>-</w:t>
            </w:r>
            <w:r>
              <w:rPr>
                <w:sz w:val="18"/>
                <w:szCs w:val="18"/>
              </w:rPr>
              <w:t xml:space="preserve"> Action → outcome?</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23B3B"/>
                <w:sz w:val="19"/>
                <w:szCs w:val="19"/>
              </w:rPr>
              <w:t>No</w:t>
            </w:r>
            <w:r>
              <w:rPr>
                <w:sz w:val="18"/>
                <w:szCs w:val="18"/>
              </w:rPr>
              <w:t xml:space="preserve">  </w:t>
            </w:r>
            <w:r w:rsidR="005B3E67">
              <w:rPr>
                <w:sz w:val="18"/>
                <w:szCs w:val="18"/>
              </w:rPr>
              <w:t>-</w:t>
            </w:r>
            <w:r>
              <w:rPr>
                <w:sz w:val="18"/>
                <w:szCs w:val="18"/>
              </w:rPr>
              <w:t xml:space="preserve">  Selecting “Personal” opens an account-kind screen; choosing “Perso</w:t>
            </w:r>
            <w:r>
              <w:rPr>
                <w:sz w:val="18"/>
                <w:szCs w:val="18"/>
              </w:rPr>
              <w:t>nal” again returns to “Welcome to Wise” rather than advancing. Selecting “India” as residence produces the same return.</w:t>
            </w:r>
          </w:p>
        </w:tc>
      </w:tr>
      <w:tr w:rsidR="00233CE3">
        <w:tblPrEx>
          <w:tblCellMar>
            <w:top w:w="0" w:type="dxa"/>
            <w:bottom w:w="0" w:type="dxa"/>
          </w:tblCellMar>
        </w:tblPrEx>
        <w:tc>
          <w:tcPr>
            <w:tcW w:w="16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sz w:val="18"/>
                <w:szCs w:val="18"/>
              </w:rPr>
              <w:t xml:space="preserve">Q4 </w:t>
            </w:r>
            <w:r w:rsidR="005B3E67">
              <w:rPr>
                <w:sz w:val="18"/>
                <w:szCs w:val="18"/>
              </w:rPr>
              <w:t>-</w:t>
            </w:r>
            <w:r>
              <w:rPr>
                <w:sz w:val="18"/>
                <w:szCs w:val="18"/>
              </w:rPr>
              <w:t xml:space="preserve"> See progress?</w:t>
            </w:r>
          </w:p>
        </w:tc>
        <w:tc>
          <w:tcPr>
            <w:tcW w:w="3350" w:type="pct"/>
            <w:tcBorders>
              <w:top w:val="single" w:sz="2" w:space="0" w:color="D9DEE4"/>
              <w:left w:val="single" w:sz="2" w:space="0" w:color="D9DEE4"/>
              <w:bottom w:val="single" w:sz="2" w:space="0" w:color="D9DEE4"/>
              <w:right w:val="single" w:sz="2" w:space="0" w:color="D9DEE4"/>
            </w:tcBorders>
            <w:tcMar>
              <w:top w:w="90" w:type="dxa"/>
              <w:left w:w="130" w:type="dxa"/>
              <w:bottom w:w="90" w:type="dxa"/>
              <w:right w:w="130" w:type="dxa"/>
            </w:tcMar>
            <w:vAlign w:val="center"/>
          </w:tcPr>
          <w:p w:rsidR="00233CE3" w:rsidRDefault="00AD42BA">
            <w:r>
              <w:rPr>
                <w:b/>
                <w:bCs/>
                <w:color w:val="B23B3B"/>
                <w:sz w:val="19"/>
                <w:szCs w:val="19"/>
              </w:rPr>
              <w:t>No</w:t>
            </w:r>
            <w:r>
              <w:rPr>
                <w:sz w:val="18"/>
                <w:szCs w:val="18"/>
              </w:rPr>
              <w:t xml:space="preserve">  </w:t>
            </w:r>
            <w:r w:rsidR="005B3E67">
              <w:rPr>
                <w:sz w:val="18"/>
                <w:szCs w:val="18"/>
              </w:rPr>
              <w:t>-</w:t>
            </w:r>
            <w:r>
              <w:rPr>
                <w:sz w:val="18"/>
                <w:szCs w:val="18"/>
              </w:rPr>
              <w:t xml:space="preserve">  No error, warning, or explanation appears </w:t>
            </w:r>
            <w:r w:rsidR="005B3E67">
              <w:rPr>
                <w:sz w:val="18"/>
                <w:szCs w:val="18"/>
              </w:rPr>
              <w:t>-</w:t>
            </w:r>
            <w:r>
              <w:rPr>
                <w:sz w:val="18"/>
                <w:szCs w:val="18"/>
              </w:rPr>
              <w:t xml:space="preserve"> the form resets, so it is impossible to tell whether the input was accepted, rejected, or lost.</w:t>
            </w:r>
          </w:p>
        </w:tc>
      </w:tr>
    </w:tbl>
    <w:p w:rsidR="00233CE3" w:rsidRDefault="00233CE3">
      <w:pPr>
        <w:spacing w:before="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4"/>
      </w:tblGrid>
      <w:tr w:rsidR="00233CE3">
        <w:tblPrEx>
          <w:tblCellMar>
            <w:top w:w="0" w:type="dxa"/>
            <w:bottom w:w="0" w:type="dxa"/>
          </w:tblCellMar>
        </w:tblPrEx>
        <w:tc>
          <w:tcPr>
            <w:tcW w:w="5000" w:type="pct"/>
            <w:tcBorders>
              <w:top w:val="single" w:sz="2" w:space="0" w:color="EBD9B4"/>
              <w:left w:val="single" w:sz="2" w:space="0" w:color="EBD9B4"/>
              <w:bottom w:val="single" w:sz="2" w:space="0" w:color="EBD9B4"/>
              <w:right w:val="single" w:sz="2" w:space="0" w:color="EBD9B4"/>
            </w:tcBorders>
            <w:shd w:val="clear" w:color="auto" w:fill="FBF3E7"/>
            <w:tcMar>
              <w:top w:w="90" w:type="dxa"/>
              <w:left w:w="130" w:type="dxa"/>
              <w:bottom w:w="90" w:type="dxa"/>
              <w:right w:w="130" w:type="dxa"/>
            </w:tcMar>
            <w:vAlign w:val="center"/>
          </w:tcPr>
          <w:p w:rsidR="00233CE3" w:rsidRDefault="00AD42BA">
            <w:r>
              <w:rPr>
                <w:b/>
                <w:bCs/>
                <w:color w:val="B8863B"/>
                <w:sz w:val="16"/>
                <w:szCs w:val="16"/>
              </w:rPr>
              <w:t>OBSERVATION / UNCERTAINTY</w:t>
            </w:r>
          </w:p>
          <w:p w:rsidR="00233CE3" w:rsidRDefault="00AD42BA">
            <w:r>
              <w:rPr>
                <w:sz w:val="18"/>
                <w:szCs w:val="18"/>
              </w:rPr>
              <w:t>Signup could not be completed. An external search afterwards suggested Wise does no</w:t>
            </w:r>
            <w:r>
              <w:rPr>
                <w:sz w:val="18"/>
                <w:szCs w:val="18"/>
              </w:rPr>
              <w:t>t currently issue personal accounts to residents of India; that explanation came from outside the product and has not been verified against official Wise policy. (Finding F1.)</w:t>
            </w:r>
          </w:p>
        </w:tc>
      </w:tr>
      <w:tr w:rsidR="00233CE3">
        <w:tblPrEx>
          <w:tblCellMar>
            <w:top w:w="0" w:type="dxa"/>
            <w:bottom w:w="0" w:type="dxa"/>
          </w:tblCellMar>
        </w:tblPrEx>
        <w:tc>
          <w:tcPr>
            <w:tcW w:w="5000" w:type="pct"/>
            <w:tcBorders>
              <w:top w:val="single" w:sz="2" w:space="0" w:color="BFDDDD"/>
              <w:left w:val="single" w:sz="2" w:space="0" w:color="BFDDDD"/>
              <w:bottom w:val="single" w:sz="2" w:space="0" w:color="BFDDDD"/>
              <w:right w:val="single" w:sz="2" w:space="0" w:color="BFDDDD"/>
            </w:tcBorders>
            <w:shd w:val="clear" w:color="auto" w:fill="EAF3F3"/>
            <w:tcMar>
              <w:top w:w="90" w:type="dxa"/>
              <w:left w:w="130" w:type="dxa"/>
              <w:bottom w:w="90" w:type="dxa"/>
              <w:right w:w="130" w:type="dxa"/>
            </w:tcMar>
            <w:vAlign w:val="center"/>
          </w:tcPr>
          <w:p w:rsidR="00233CE3" w:rsidRDefault="00AD42BA">
            <w:r>
              <w:rPr>
                <w:b/>
                <w:bCs/>
                <w:color w:val="1F6F73"/>
                <w:sz w:val="16"/>
                <w:szCs w:val="16"/>
              </w:rPr>
              <w:t>DESIGN IMPLICATION</w:t>
            </w:r>
          </w:p>
          <w:p w:rsidR="00233CE3" w:rsidRDefault="00AD42BA">
            <w:r>
              <w:rPr>
                <w:sz w:val="18"/>
                <w:szCs w:val="18"/>
              </w:rPr>
              <w:t>When a blocked combination is detected, show an explicit inline message explaining the restriction instead of silently resetting the form.</w:t>
            </w:r>
          </w:p>
        </w:tc>
      </w:tr>
    </w:tbl>
    <w:p w:rsidR="00233CE3" w:rsidRDefault="00AD42BA">
      <w:pPr>
        <w:pBdr>
          <w:top w:val="single" w:sz="4" w:space="6" w:color="D9DEE4"/>
          <w:bottom w:val="single" w:sz="4" w:space="6" w:color="D9DEE4"/>
        </w:pBdr>
        <w:spacing w:before="140" w:after="40"/>
        <w:jc w:val="center"/>
      </w:pPr>
      <w:r>
        <w:rPr>
          <w:noProof/>
        </w:rPr>
        <w:lastRenderedPageBreak/>
        <w:drawing>
          <wp:inline distT="0" distB="0" distL="0" distR="0">
            <wp:extent cx="5577840" cy="23947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77840" cy="2394706"/>
                    </a:xfrm>
                    <a:prstGeom prst="rect">
                      <a:avLst/>
                    </a:prstGeom>
                  </pic:spPr>
                </pic:pic>
              </a:graphicData>
            </a:graphic>
          </wp:inline>
        </w:drawing>
      </w:r>
    </w:p>
    <w:p w:rsidR="00233CE3" w:rsidRDefault="00AD42BA">
      <w:pPr>
        <w:spacing w:after="220"/>
        <w:jc w:val="center"/>
      </w:pPr>
      <w:r>
        <w:rPr>
          <w:b/>
          <w:bCs/>
          <w:color w:val="1F6F73"/>
          <w:sz w:val="17"/>
          <w:szCs w:val="17"/>
        </w:rPr>
        <w:t xml:space="preserve">Figure 14  </w:t>
      </w:r>
      <w:r>
        <w:rPr>
          <w:color w:val="6B7280"/>
          <w:sz w:val="17"/>
          <w:szCs w:val="17"/>
        </w:rPr>
        <w:t>“Welcome to Wise”: account type and residence country, selectable in either order.</w:t>
      </w:r>
    </w:p>
    <w:p w:rsidR="00233CE3" w:rsidRDefault="00AD42BA">
      <w:pPr>
        <w:pBdr>
          <w:top w:val="single" w:sz="4" w:space="6" w:color="D9DEE4"/>
          <w:bottom w:val="single" w:sz="4" w:space="6" w:color="D9DEE4"/>
        </w:pBdr>
        <w:spacing w:before="140" w:after="40"/>
        <w:jc w:val="center"/>
      </w:pPr>
      <w:r>
        <w:rPr>
          <w:noProof/>
        </w:rPr>
        <w:drawing>
          <wp:inline distT="0" distB="0" distL="0" distR="0">
            <wp:extent cx="5577840" cy="24125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7840" cy="2412515"/>
                    </a:xfrm>
                    <a:prstGeom prst="rect">
                      <a:avLst/>
                    </a:prstGeom>
                  </pic:spPr>
                </pic:pic>
              </a:graphicData>
            </a:graphic>
          </wp:inline>
        </w:drawing>
      </w:r>
    </w:p>
    <w:p w:rsidR="00233CE3" w:rsidRDefault="00AD42BA">
      <w:pPr>
        <w:spacing w:after="220"/>
        <w:jc w:val="center"/>
      </w:pPr>
      <w:r>
        <w:rPr>
          <w:b/>
          <w:bCs/>
          <w:color w:val="1F6F73"/>
          <w:sz w:val="17"/>
          <w:szCs w:val="17"/>
        </w:rPr>
        <w:t xml:space="preserve">Figure 15  </w:t>
      </w:r>
      <w:r>
        <w:rPr>
          <w:color w:val="6B7280"/>
          <w:sz w:val="17"/>
          <w:szCs w:val="17"/>
        </w:rPr>
        <w:t>Evidence: choosing “Personal” here returns to the Welcome screen rather than advancing.</w:t>
      </w:r>
    </w:p>
    <w:p w:rsidR="00233CE3" w:rsidRDefault="00AD42BA">
      <w:pPr>
        <w:pBdr>
          <w:top w:val="single" w:sz="4" w:space="6" w:color="D9DEE4"/>
          <w:bottom w:val="single" w:sz="4" w:space="6" w:color="D9DEE4"/>
        </w:pBdr>
        <w:spacing w:before="140" w:after="40"/>
        <w:jc w:val="center"/>
      </w:pPr>
      <w:r>
        <w:rPr>
          <w:noProof/>
        </w:rPr>
        <w:drawing>
          <wp:inline distT="0" distB="0" distL="0" distR="0">
            <wp:extent cx="5577840" cy="26104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77840" cy="2610488"/>
                    </a:xfrm>
                    <a:prstGeom prst="rect">
                      <a:avLst/>
                    </a:prstGeom>
                  </pic:spPr>
                </pic:pic>
              </a:graphicData>
            </a:graphic>
          </wp:inline>
        </w:drawing>
      </w:r>
    </w:p>
    <w:p w:rsidR="00233CE3" w:rsidRDefault="00AD42BA">
      <w:pPr>
        <w:spacing w:after="220"/>
        <w:jc w:val="center"/>
      </w:pPr>
      <w:r>
        <w:rPr>
          <w:b/>
          <w:bCs/>
          <w:color w:val="1F6F73"/>
          <w:sz w:val="17"/>
          <w:szCs w:val="17"/>
        </w:rPr>
        <w:t xml:space="preserve">Figure 16  </w:t>
      </w:r>
      <w:r>
        <w:rPr>
          <w:color w:val="6B7280"/>
          <w:sz w:val="17"/>
          <w:szCs w:val="17"/>
        </w:rPr>
        <w:t>Evidence: selecting “India” also returns, with no explanation shown.</w:t>
      </w:r>
    </w:p>
    <w:p w:rsidR="00233CE3" w:rsidRDefault="00233CE3">
      <w:pPr>
        <w:spacing w:after="120"/>
      </w:pPr>
    </w:p>
    <w:p w:rsidR="00233CE3" w:rsidRDefault="00AD42BA">
      <w:pPr>
        <w:pBdr>
          <w:top w:val="single" w:sz="4" w:space="8" w:color="D9DEE4"/>
        </w:pBdr>
        <w:spacing w:before="300"/>
      </w:pPr>
      <w:r>
        <w:rPr>
          <w:i/>
          <w:iCs/>
          <w:color w:val="6B7280"/>
          <w:sz w:val="16"/>
          <w:szCs w:val="16"/>
        </w:rPr>
        <w:t xml:space="preserve">Method reference: adapted from Nielsen Norman Group's Heuristic Evaluation Workbook, </w:t>
      </w:r>
      <w:r>
        <w:rPr>
          <w:i/>
          <w:iCs/>
          <w:color w:val="6B7280"/>
          <w:sz w:val="16"/>
          <w:szCs w:val="16"/>
        </w:rPr>
        <w:t>restructured from heuristic evaluation to a task-based cognitive walkthrough for fintech onboarding. This is an independent review; the author has no affiliation with Wise.</w:t>
      </w:r>
    </w:p>
    <w:sectPr w:rsidR="00233CE3">
      <w:headerReference w:type="default" r:id="rId24"/>
      <w:footerReference w:type="default" r:id="rId25"/>
      <w:pgSz w:w="12240" w:h="15840"/>
      <w:pgMar w:top="1000" w:right="1180" w:bottom="100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42BA" w:rsidRDefault="00AD42BA">
      <w:r>
        <w:separator/>
      </w:r>
    </w:p>
  </w:endnote>
  <w:endnote w:type="continuationSeparator" w:id="0">
    <w:p w:rsidR="00AD42BA" w:rsidRDefault="00AD4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3CE3" w:rsidRDefault="00AD42BA">
    <w:pPr>
      <w:pBdr>
        <w:top w:val="single" w:sz="4" w:space="4" w:color="D9DEE4"/>
      </w:pBdr>
      <w:tabs>
        <w:tab w:val="right" w:pos="9026"/>
      </w:tabs>
    </w:pPr>
    <w:r>
      <w:rPr>
        <w:color w:val="9AA3AF"/>
        <w:sz w:val="15"/>
        <w:szCs w:val="15"/>
      </w:rPr>
      <w:t xml:space="preserve">Shikhar Shukla  ·  Independent UX review </w:t>
    </w:r>
    <w:r w:rsidR="005B3E67">
      <w:rPr>
        <w:color w:val="9AA3AF"/>
        <w:sz w:val="15"/>
        <w:szCs w:val="15"/>
      </w:rPr>
      <w:t>-</w:t>
    </w:r>
    <w:r>
      <w:rPr>
        <w:color w:val="9AA3AF"/>
        <w:sz w:val="15"/>
        <w:szCs w:val="15"/>
      </w:rPr>
      <w:t xml:space="preserve"> not commissioned by Wise</w:t>
    </w:r>
    <w:r>
      <w:rPr>
        <w:color w:val="6B7280"/>
        <w:sz w:val="15"/>
        <w:szCs w:val="15"/>
      </w:rPr>
      <w:tab/>
      <w:t xml:space="preserve">Page </w:t>
    </w:r>
    <w:r>
      <w:rPr>
        <w:color w:val="6B7280"/>
        <w:sz w:val="15"/>
        <w:szCs w:val="15"/>
      </w:rPr>
      <w:fldChar w:fldCharType="begin"/>
    </w:r>
    <w:r>
      <w:rPr>
        <w:color w:val="6B7280"/>
        <w:sz w:val="15"/>
        <w:szCs w:val="15"/>
      </w:rPr>
      <w:instrText>PAGE</w:instrText>
    </w:r>
    <w:r w:rsidR="005B3E67">
      <w:rPr>
        <w:color w:val="6B7280"/>
        <w:sz w:val="15"/>
        <w:szCs w:val="15"/>
      </w:rPr>
      <w:fldChar w:fldCharType="separate"/>
    </w:r>
    <w:r w:rsidR="005B3E67">
      <w:rPr>
        <w:noProof/>
        <w:color w:val="6B7280"/>
        <w:sz w:val="15"/>
        <w:szCs w:val="15"/>
      </w:rPr>
      <w:t>2</w:t>
    </w:r>
    <w:r>
      <w:rPr>
        <w:color w:val="6B7280"/>
        <w:sz w:val="15"/>
        <w:szCs w:val="15"/>
      </w:rPr>
      <w:fldChar w:fldCharType="end"/>
    </w:r>
    <w:r>
      <w:rPr>
        <w:color w:val="6B7280"/>
        <w:sz w:val="15"/>
        <w:szCs w:val="15"/>
      </w:rPr>
      <w:t xml:space="preserve"> of </w:t>
    </w:r>
    <w:r>
      <w:rPr>
        <w:color w:val="6B7280"/>
        <w:sz w:val="15"/>
        <w:szCs w:val="15"/>
      </w:rPr>
      <w:fldChar w:fldCharType="begin"/>
    </w:r>
    <w:r>
      <w:rPr>
        <w:color w:val="6B7280"/>
        <w:sz w:val="15"/>
        <w:szCs w:val="15"/>
      </w:rPr>
      <w:instrText>NUMPAGES</w:instrText>
    </w:r>
    <w:r w:rsidR="005B3E67">
      <w:rPr>
        <w:color w:val="6B7280"/>
        <w:sz w:val="15"/>
        <w:szCs w:val="15"/>
      </w:rPr>
      <w:fldChar w:fldCharType="separate"/>
    </w:r>
    <w:r w:rsidR="005B3E67">
      <w:rPr>
        <w:noProof/>
        <w:color w:val="6B7280"/>
        <w:sz w:val="15"/>
        <w:szCs w:val="15"/>
      </w:rPr>
      <w:t>22</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42BA" w:rsidRDefault="00AD42BA">
      <w:r>
        <w:separator/>
      </w:r>
    </w:p>
  </w:footnote>
  <w:footnote w:type="continuationSeparator" w:id="0">
    <w:p w:rsidR="00AD42BA" w:rsidRDefault="00AD42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3CE3" w:rsidRDefault="00AD42BA">
    <w:pPr>
      <w:pBdr>
        <w:bottom w:val="single" w:sz="4" w:space="4" w:color="D9DEE4"/>
      </w:pBdr>
      <w:tabs>
        <w:tab w:val="right" w:pos="9026"/>
      </w:tabs>
    </w:pPr>
    <w:r>
      <w:rPr>
        <w:b/>
        <w:bCs/>
        <w:color w:val="6B7280"/>
        <w:sz w:val="15"/>
        <w:szCs w:val="15"/>
      </w:rPr>
      <w:t>WISE INDIA ONBOARDING REVIEW</w:t>
    </w:r>
    <w:r>
      <w:rPr>
        <w:color w:val="9AA3AF"/>
        <w:sz w:val="15"/>
        <w:szCs w:val="15"/>
      </w:rPr>
      <w:tab/>
      <w:t>Expert cognitive walkthrough · September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253A0"/>
    <w:multiLevelType w:val="hybridMultilevel"/>
    <w:tmpl w:val="DCA66612"/>
    <w:lvl w:ilvl="0" w:tplc="503EA992">
      <w:start w:val="1"/>
      <w:numFmt w:val="bullet"/>
      <w:lvlText w:val="•"/>
      <w:lvlJc w:val="left"/>
      <w:pPr>
        <w:ind w:left="360" w:hanging="200"/>
      </w:pPr>
      <w:rPr>
        <w:color w:val="1F6F73"/>
        <w:sz w:val="21"/>
        <w:szCs w:val="21"/>
      </w:rPr>
    </w:lvl>
    <w:lvl w:ilvl="1" w:tplc="E49260F0">
      <w:numFmt w:val="decimal"/>
      <w:lvlText w:val=""/>
      <w:lvlJc w:val="left"/>
    </w:lvl>
    <w:lvl w:ilvl="2" w:tplc="6068107A">
      <w:numFmt w:val="decimal"/>
      <w:lvlText w:val=""/>
      <w:lvlJc w:val="left"/>
    </w:lvl>
    <w:lvl w:ilvl="3" w:tplc="73B08228">
      <w:numFmt w:val="decimal"/>
      <w:lvlText w:val=""/>
      <w:lvlJc w:val="left"/>
    </w:lvl>
    <w:lvl w:ilvl="4" w:tplc="974E041E">
      <w:numFmt w:val="decimal"/>
      <w:lvlText w:val=""/>
      <w:lvlJc w:val="left"/>
    </w:lvl>
    <w:lvl w:ilvl="5" w:tplc="2F3C585A">
      <w:numFmt w:val="decimal"/>
      <w:lvlText w:val=""/>
      <w:lvlJc w:val="left"/>
    </w:lvl>
    <w:lvl w:ilvl="6" w:tplc="012C6578">
      <w:numFmt w:val="decimal"/>
      <w:lvlText w:val=""/>
      <w:lvlJc w:val="left"/>
    </w:lvl>
    <w:lvl w:ilvl="7" w:tplc="47FAAF44">
      <w:numFmt w:val="decimal"/>
      <w:lvlText w:val=""/>
      <w:lvlJc w:val="left"/>
    </w:lvl>
    <w:lvl w:ilvl="8" w:tplc="4554191E">
      <w:numFmt w:val="decimal"/>
      <w:lvlText w:val=""/>
      <w:lvlJc w:val="left"/>
    </w:lvl>
  </w:abstractNum>
  <w:abstractNum w:abstractNumId="1" w15:restartNumberingAfterBreak="0">
    <w:nsid w:val="643D49F9"/>
    <w:multiLevelType w:val="hybridMultilevel"/>
    <w:tmpl w:val="49AA9714"/>
    <w:lvl w:ilvl="0" w:tplc="6288822A">
      <w:start w:val="1"/>
      <w:numFmt w:val="bullet"/>
      <w:lvlText w:val="●"/>
      <w:lvlJc w:val="left"/>
      <w:pPr>
        <w:ind w:left="720" w:hanging="360"/>
      </w:pPr>
    </w:lvl>
    <w:lvl w:ilvl="1" w:tplc="EBBC3C10">
      <w:start w:val="1"/>
      <w:numFmt w:val="bullet"/>
      <w:lvlText w:val="○"/>
      <w:lvlJc w:val="left"/>
      <w:pPr>
        <w:ind w:left="1440" w:hanging="360"/>
      </w:pPr>
    </w:lvl>
    <w:lvl w:ilvl="2" w:tplc="83F267B4">
      <w:start w:val="1"/>
      <w:numFmt w:val="bullet"/>
      <w:lvlText w:val="■"/>
      <w:lvlJc w:val="left"/>
      <w:pPr>
        <w:ind w:left="2160" w:hanging="360"/>
      </w:pPr>
    </w:lvl>
    <w:lvl w:ilvl="3" w:tplc="FD904280">
      <w:start w:val="1"/>
      <w:numFmt w:val="bullet"/>
      <w:lvlText w:val="●"/>
      <w:lvlJc w:val="left"/>
      <w:pPr>
        <w:ind w:left="2880" w:hanging="360"/>
      </w:pPr>
    </w:lvl>
    <w:lvl w:ilvl="4" w:tplc="756A02BE">
      <w:start w:val="1"/>
      <w:numFmt w:val="bullet"/>
      <w:lvlText w:val="○"/>
      <w:lvlJc w:val="left"/>
      <w:pPr>
        <w:ind w:left="3600" w:hanging="360"/>
      </w:pPr>
    </w:lvl>
    <w:lvl w:ilvl="5" w:tplc="83525E34">
      <w:start w:val="1"/>
      <w:numFmt w:val="bullet"/>
      <w:lvlText w:val="■"/>
      <w:lvlJc w:val="left"/>
      <w:pPr>
        <w:ind w:left="4320" w:hanging="360"/>
      </w:pPr>
    </w:lvl>
    <w:lvl w:ilvl="6" w:tplc="4D10F7F2">
      <w:start w:val="1"/>
      <w:numFmt w:val="bullet"/>
      <w:lvlText w:val="●"/>
      <w:lvlJc w:val="left"/>
      <w:pPr>
        <w:ind w:left="5040" w:hanging="360"/>
      </w:pPr>
    </w:lvl>
    <w:lvl w:ilvl="7" w:tplc="8092CC92">
      <w:start w:val="1"/>
      <w:numFmt w:val="bullet"/>
      <w:lvlText w:val="●"/>
      <w:lvlJc w:val="left"/>
      <w:pPr>
        <w:ind w:left="5760" w:hanging="360"/>
      </w:pPr>
    </w:lvl>
    <w:lvl w:ilvl="8" w:tplc="A148CE0C">
      <w:start w:val="1"/>
      <w:numFmt w:val="bullet"/>
      <w:lvlText w:val="●"/>
      <w:lvlJc w:val="left"/>
      <w:pPr>
        <w:ind w:left="6480" w:hanging="360"/>
      </w:pPr>
    </w:lvl>
  </w:abstractNum>
  <w:abstractNum w:abstractNumId="2" w15:restartNumberingAfterBreak="0">
    <w:nsid w:val="6F295054"/>
    <w:multiLevelType w:val="hybridMultilevel"/>
    <w:tmpl w:val="E5E2B66E"/>
    <w:lvl w:ilvl="0" w:tplc="1BA00DB0">
      <w:start w:val="1"/>
      <w:numFmt w:val="bullet"/>
      <w:lvlText w:val="•"/>
      <w:lvlJc w:val="left"/>
      <w:pPr>
        <w:ind w:left="300" w:hanging="180"/>
      </w:pPr>
      <w:rPr>
        <w:color w:val="FFFFFF"/>
        <w:sz w:val="21"/>
        <w:szCs w:val="21"/>
      </w:rPr>
    </w:lvl>
    <w:lvl w:ilvl="1" w:tplc="7264CC64">
      <w:numFmt w:val="decimal"/>
      <w:lvlText w:val=""/>
      <w:lvlJc w:val="left"/>
    </w:lvl>
    <w:lvl w:ilvl="2" w:tplc="A70AB5D4">
      <w:numFmt w:val="decimal"/>
      <w:lvlText w:val=""/>
      <w:lvlJc w:val="left"/>
    </w:lvl>
    <w:lvl w:ilvl="3" w:tplc="05BEA998">
      <w:numFmt w:val="decimal"/>
      <w:lvlText w:val=""/>
      <w:lvlJc w:val="left"/>
    </w:lvl>
    <w:lvl w:ilvl="4" w:tplc="BA8C098A">
      <w:numFmt w:val="decimal"/>
      <w:lvlText w:val=""/>
      <w:lvlJc w:val="left"/>
    </w:lvl>
    <w:lvl w:ilvl="5" w:tplc="4BC05CF6">
      <w:numFmt w:val="decimal"/>
      <w:lvlText w:val=""/>
      <w:lvlJc w:val="left"/>
    </w:lvl>
    <w:lvl w:ilvl="6" w:tplc="E1228F6C">
      <w:numFmt w:val="decimal"/>
      <w:lvlText w:val=""/>
      <w:lvlJc w:val="left"/>
    </w:lvl>
    <w:lvl w:ilvl="7" w:tplc="867E042A">
      <w:numFmt w:val="decimal"/>
      <w:lvlText w:val=""/>
      <w:lvlJc w:val="left"/>
    </w:lvl>
    <w:lvl w:ilvl="8" w:tplc="0AF00086">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CE3"/>
    <w:rsid w:val="00233CE3"/>
    <w:rsid w:val="005B3E67"/>
    <w:rsid w:val="00AD42B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80031E-2A80-49B1-9BD3-36A4CE846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B2E33"/>
        <w:sz w:val="21"/>
        <w:szCs w:val="21"/>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80" w:after="150"/>
      <w:outlineLvl w:val="0"/>
    </w:pPr>
    <w:rPr>
      <w:rFonts w:ascii="Cambria" w:eastAsia="Cambria" w:hAnsi="Cambria" w:cs="Cambria"/>
      <w:b/>
      <w:bCs/>
      <w:color w:val="142A4C"/>
      <w:sz w:val="29"/>
      <w:szCs w:val="29"/>
    </w:rPr>
  </w:style>
  <w:style w:type="paragraph" w:styleId="Heading2">
    <w:name w:val="heading 2"/>
    <w:qFormat/>
    <w:pPr>
      <w:spacing w:before="250" w:after="100"/>
      <w:outlineLvl w:val="1"/>
    </w:pPr>
    <w:rPr>
      <w:rFonts w:ascii="Cambria" w:eastAsia="Cambria" w:hAnsi="Cambria" w:cs="Cambria"/>
      <w:b/>
      <w:bCs/>
      <w:color w:val="1F6F73"/>
      <w:sz w:val="22"/>
      <w:szCs w:val="22"/>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3E67"/>
    <w:pPr>
      <w:spacing w:after="100"/>
    </w:pPr>
    <w:rPr>
      <w:rFonts w:cs="Mangal"/>
      <w:szCs w:val="19"/>
    </w:rPr>
  </w:style>
  <w:style w:type="paragraph" w:styleId="TOC2">
    <w:name w:val="toc 2"/>
    <w:basedOn w:val="Normal"/>
    <w:next w:val="Normal"/>
    <w:autoRedefine/>
    <w:uiPriority w:val="39"/>
    <w:unhideWhenUsed/>
    <w:rsid w:val="005B3E67"/>
    <w:pPr>
      <w:spacing w:after="100"/>
      <w:ind w:left="210"/>
    </w:pPr>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4507</Words>
  <Characters>25696</Characters>
  <Application>Microsoft Office Word</Application>
  <DocSecurity>0</DocSecurity>
  <Lines>214</Lines>
  <Paragraphs>60</Paragraphs>
  <ScaleCrop>false</ScaleCrop>
  <Company/>
  <LinksUpToDate>false</LinksUpToDate>
  <CharactersWithSpaces>30143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Shukla</cp:lastModifiedBy>
  <cp:revision>2</cp:revision>
  <dcterms:created xsi:type="dcterms:W3CDTF">2026-09-17T08:13:00Z</dcterms:created>
  <dcterms:modified xsi:type="dcterms:W3CDTF">2026-09-17T08:41:00Z</dcterms:modified>
</cp:coreProperties>
</file>