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b/>
          <w:color w:val="1B365D"/>
          <w:sz w:val="36"/>
        </w:rPr>
        <w:t>DeepRoute: An Intelligent Machine Learning and Graph Optimization Framework for Dynamic Multi-Objective Route Planning under Real-World Transportation Uncertainty</w:t>
      </w:r>
    </w:p>
    <w:p>
      <w:pPr>
        <w:spacing w:after="360"/>
        <w:jc w:val="center"/>
      </w:pPr>
      <w:r>
        <w:rPr>
          <w:i/>
          <w:color w:val="444444"/>
          <w:sz w:val="22"/>
        </w:rPr>
        <w:t>Shikhar Veeramachineni</w:t>
        <w:br/>
        <w:t>Department of Computer Science and Engineering (Artificial Intelligence and Machine Learning)</w:t>
        <w:br/>
        <w:t>Vellore Institute of Technology</w:t>
      </w:r>
    </w:p>
    <w:p>
      <w:pPr>
        <w:keepNext/>
        <w:spacing w:before="360" w:after="120"/>
      </w:pPr>
      <w:r>
        <w:rPr>
          <w:rFonts w:ascii="Times New Roman" w:hAnsi="Times New Roman"/>
          <w:b/>
          <w:color w:val="1B365D"/>
          <w:sz w:val="28"/>
        </w:rPr>
        <w:t>Abstract</w:t>
      </w:r>
    </w:p>
    <w:p>
      <w:pPr>
        <w:spacing w:before="0" w:after="120" w:line="276" w:lineRule="auto"/>
        <w:jc w:val="both"/>
      </w:pPr>
      <w:r>
        <w:rPr>
          <w:rFonts w:ascii="Times New Roman" w:hAnsi="Times New Roman"/>
          <w:sz w:val="22"/>
        </w:rPr>
        <w:t>Modern urban navigation systems are increasingly bottlenecked by static graph-search paradigms that fail to account for stochastic transportation dynamics such as fluctuating congestion, severe weather events, road hazards, and temporal travel variations. To overcome these limitations, this paper presents DeepRoute, an enterprise-grade, intelligent route optimization framework that seamlessly integrates predictive machine learning, deep graph attention networks, context-aware feature engineering, multi-objective optimization, and stochastic risk modeling into a unified software architecture. Built upon OpenStreetMap (OSM) directed road network graphs, DeepRoute transforms raw geospatial, traffic, and meteorological inputs into a 27-dimensional feature vector encompassing temporal cyclical encodings, spatial infrastructure attributes, dynamic weather severity metrics, Indian calendar context (festivals, monsoons, market days), and historical congestion profiles. Empirical evaluation and rigorous execution of the implementation demonstrate that the core Extreme Gradient Boosting (XGBoost) predictive engine achieves outstanding predictive accuracy, attaining a Coefficient of Determination (R²) of 0.9416 (94.16% variance explained), a Mean Absolute Error (MAE) of 0.013201, a Root Mean Square Error (RMSE) of 0.016872, and a Mean Absolute Percentage Error (MAPE) of 1.2560%, while delivering ultra-low real-time inference latency of 1.67 milliseconds per route query. Furthermore, a 1000-run Monte Carlo simulation engine quantifies travel-time volatility through Conditional Value-at-Risk (CVaR95) bounds, while an asynchronous continuous learning feedback loop records actual driver travel times via a RESTful collection endpoint, tracking real-world prediction error margins at 12.50% to recursively update routing cost functions. By grounding dynamic travel-time prediction in established machine learning literature (Chen &amp; Guestrin, 2016; Vaswani et al., 2017; Veličković et al., 2018; Rockafellar &amp; Uryasev, 2000), DeepRoute establishes a state-of-the-art framework for next-generation Intelligent Transportation Systems (ITS).</w:t>
      </w:r>
    </w:p>
    <w:p>
      <w:pPr>
        <w:spacing w:before="0" w:after="120" w:line="276" w:lineRule="auto"/>
        <w:jc w:val="both"/>
      </w:pPr>
      <w:r>
        <w:rPr>
          <w:rFonts w:ascii="Times New Roman" w:hAnsi="Times New Roman"/>
          <w:sz w:val="22"/>
        </w:rPr>
        <w:t>The primary objectives of the DeepRoute research project are strictly formulated to design and deploy an end-to-end intelligent transportation framework capable of replacing static edge weighting with predictive machine learning travel-time estimation, constructing dynamic road network graphs from OpenStreetMap data enriched with 27 temporal, spatial, and contextual features, implementing a dual-engine prediction pipeline comprising XGBoost for tabular speed forecasting and a PyTorch Graph Attention Network with Transformer self-attention (Temporal-GAT) for spatial-temporal sequence modeling, executing multi-objective route optimization across 11 conflicting parameters using a Weighted Sum Model (WSM) paired with penalty-based alternative path generation and Monte Carlo CVaR risk evaluation, serving predictions via high-throughput FastAPI REST endpoints and an interactive Streamlit visualization dashboard, and validating system accuracy through empirical benchmark testing and a closed-loop travel data feedback mechanism.</w:t>
      </w:r>
    </w:p>
    <w:p>
      <w:pPr>
        <w:spacing w:after="280"/>
      </w:pPr>
      <w:r>
        <w:rPr>
          <w:b/>
          <w:color w:val="1B365D"/>
        </w:rPr>
        <w:t xml:space="preserve">Keywords: </w:t>
      </w:r>
      <w:r>
        <w:rPr>
          <w:i/>
        </w:rPr>
        <w:t>Intelligent Transportation Systems (ITS), Predictive Route Planning, Extreme Gradient Boosting (XGBoost), Graph Attention Networks (GAT), Multi-Objective Optimization, Conditional Value-at-Risk (CVaR), OpenStreetMap, FastAPI, Continuous Feedback Loop.</w:t>
      </w:r>
    </w:p>
    <w:p>
      <w:pPr>
        <w:keepNext/>
        <w:spacing w:before="360" w:after="120"/>
      </w:pPr>
      <w:r>
        <w:rPr>
          <w:rFonts w:ascii="Times New Roman" w:hAnsi="Times New Roman"/>
          <w:b/>
          <w:color w:val="1B365D"/>
          <w:sz w:val="28"/>
        </w:rPr>
        <w:t>I. Introduction</w:t>
      </w:r>
    </w:p>
    <w:p>
      <w:pPr>
        <w:spacing w:before="0" w:after="120" w:line="276" w:lineRule="auto"/>
        <w:jc w:val="both"/>
      </w:pPr>
      <w:r>
        <w:rPr>
          <w:rFonts w:ascii="Times New Roman" w:hAnsi="Times New Roman"/>
          <w:sz w:val="22"/>
        </w:rPr>
        <w:t>Transportation networks serve as the critical arterial infrastructure of modern metropolitan regions, directly dictating economic productivity, energy consumption, urban mobility efficiency, and environmental sustainability. With rapid urbanization, exponential growth in personal and commercial vehicle volume, and expanding logistics operations, urban road networks face unprecedented traffic congestion, travel delay unpredictability, and heightened accident vulnerabilities. Modern Intelligent Transportation Systems (ITS) leverage advancements in geospatial sensing, internet-of-things (IoT) telemetry, cloud computing, and artificial intelligence to mitigate these bottlenecks by transitioning navigation services from passive path-finding to proactive, predictive route management.</w:t>
      </w:r>
    </w:p>
    <w:p>
      <w:pPr>
        <w:spacing w:before="0" w:after="120" w:line="276" w:lineRule="auto"/>
        <w:jc w:val="both"/>
      </w:pPr>
      <w:r>
        <w:rPr>
          <w:rFonts w:ascii="Times New Roman" w:hAnsi="Times New Roman"/>
          <w:sz w:val="22"/>
        </w:rPr>
        <w:t>Traditional navigation platforms predominantly rely on classical graph-search algorithms, such as Dijkstra's algorithm and A* search, which compute optimal paths assuming static edge costs based on spatial distance or posted speed limits. In dynamic transportation environments, however, edge traversal durations fluctuate continuously due to peak-hour congestion build-up, sudden inclement weather, localized traffic incidents, construction obstacles, and special events. Consequently, deterministic shortest-path algorithms frequently route vehicles directly into emerging bottleneck zones, causing prolonged travel delays, excess fuel consumption, and elevated greenhouse gas emissions. Addressing these shortcomings requires an intelligent routing framework capable of learning complex nonlinear dependencies from heterogeneous transportation data and predicting future edge travel times prior to path selection.</w:t>
      </w:r>
    </w:p>
    <w:p>
      <w:pPr>
        <w:spacing w:before="0" w:after="120" w:line="276" w:lineRule="auto"/>
        <w:jc w:val="both"/>
      </w:pPr>
      <w:r>
        <w:rPr>
          <w:rFonts w:ascii="Times New Roman" w:hAnsi="Times New Roman"/>
          <w:sz w:val="22"/>
        </w:rPr>
        <w:t>The DeepRoute project addresses these fundamental research challenges by combining predictive machine learning, deep learning representation on road graphs, context-aware feature engineering, multi-objective graph optimization, and risk-aware uncertainty modeling into a scalable, enterprise-grade architecture. By replacing static road distance metrics with dynamic, data-driven travel cost multipliers derived from 27 engineered temporal, spatial, and contextual features, DeepRoute enables real-time navigation systems to evaluate routes based on travel duration, safety risk, environmental emissions, driving comfort, and travel reliability. Deployed as a modular microservices platform with FastAPI backend endpoints and a Streamlit interactive dashboard, DeepRoute bridges the gap between theoretical machine learning algorithms and practical, real-time intelligent mobility deployment.</w:t>
      </w:r>
    </w:p>
    <w:p>
      <w:pPr>
        <w:keepNext/>
        <w:spacing w:before="280" w:after="80"/>
      </w:pPr>
      <w:r>
        <w:rPr>
          <w:rFonts w:ascii="Times New Roman" w:hAnsi="Times New Roman"/>
          <w:b/>
          <w:color w:val="005691"/>
          <w:sz w:val="24"/>
        </w:rPr>
        <w:t>Research Objectives</w:t>
      </w:r>
    </w:p>
    <w:p>
      <w:pPr>
        <w:spacing w:before="0" w:after="120" w:line="276" w:lineRule="auto"/>
        <w:jc w:val="both"/>
      </w:pPr>
      <w:r>
        <w:rPr>
          <w:rFonts w:ascii="Times New Roman" w:hAnsi="Times New Roman"/>
          <w:sz w:val="22"/>
        </w:rPr>
        <w:t>The core research objectives of this investigation are strictly defined to advance the state-of-the-art in predictive route planning through a narrative, multi-stage engineering approach. Specifically, the project aims to formulate a scalable machine learning architecture capable of ingesting OpenStreetMap (OSM) road network geometries and enriching graph edges with real-time traffic telemetry, Open-Meteo weather metrics, and regional calendar events; construct a 27-dimensional feature engineering pipeline that encodes temporal cyclical patterns, spatial road hierarchy, and contextual risk factors; evaluate machine learning regressors including Extreme Gradient Boosting (XGBoost), LightGBM, Extra Trees, Random Forest, and HistGradientBoosting alongside a hybrid PyTorch Graph Attention Network with Transformer self-attention (Temporal-GAT) to achieve predictive accuracy exceeding 94% R² score; implement a multi-objective routing engine based on the Weighted Sum Model (WSM) and penalty-based alternative path generation to simultaneously optimize travel time, distance, risk, emissions, and reliability; integrate a 1000-run Monte Carlo simulation engine to bound travel-time uncertainty using Conditional Value-at-Risk (CVaR95); establish an asynchronous FastAPI REST server paired with an interactive Streamlit dashboard for real-time client interaction; and validate system performance through empirical execution of model benchmarks and continuous closed-loop feedback tracking via SQLite database storage.</w:t>
      </w:r>
    </w:p>
    <w:p>
      <w:pPr>
        <w:keepNext/>
        <w:spacing w:before="360" w:after="120"/>
      </w:pPr>
      <w:r>
        <w:rPr>
          <w:rFonts w:ascii="Times New Roman" w:hAnsi="Times New Roman"/>
          <w:b/>
          <w:color w:val="1B365D"/>
          <w:sz w:val="28"/>
        </w:rPr>
        <w:t>II. Literature Review &amp; Related Work</w:t>
      </w:r>
    </w:p>
    <w:p>
      <w:pPr>
        <w:spacing w:before="0" w:after="120" w:line="276" w:lineRule="auto"/>
        <w:jc w:val="both"/>
      </w:pPr>
      <w:r>
        <w:rPr>
          <w:rFonts w:ascii="Times New Roman" w:hAnsi="Times New Roman"/>
          <w:sz w:val="22"/>
        </w:rPr>
        <w:t>Intelligent route planning has evolved across distinct paradigms over the past several decades, transitioning from classical deterministic graph theory to heuristic search, statistical travel-time forecasting, deep spatial-temporal learning, and multi-objective stochastic optimization. Classical shortest-path algorithms, such as Dijkstra's algorithm and the Bellman-Ford algorithm, established the foundational mathematical framework for network traversal by computing minimized path costs over directed weighted graphs. Hart et al. introduced the A* search algorithm, incorporating heuristic estimation functions to drastically reduce node expansion iterations while preserving path optimality. However, as noted in transportation literature, these classical methods suffer from the critical limitation of assuming static edge weights, rendering them incapable of adapting to dynamic, real-time traffic variations.</w:t>
      </w:r>
    </w:p>
    <w:p>
      <w:pPr>
        <w:spacing w:before="0" w:after="120" w:line="276" w:lineRule="auto"/>
        <w:jc w:val="both"/>
      </w:pPr>
      <w:r>
        <w:rPr>
          <w:rFonts w:ascii="Times New Roman" w:hAnsi="Times New Roman"/>
          <w:sz w:val="22"/>
        </w:rPr>
        <w:t>To capture dynamic traffic behavior, machine learning techniques have been widely adopted for travel-time prediction. Chen and Guestrin (2016) demonstrated that Extreme Gradient Boosting (XGBoost) achieves state-of-the-art regression accuracy on structured tabular datasets by utilizing regularized gradient-boosted decision trees with cache-aware block structure and tree-pruning algorithms. In spatial-temporal network modeling, Vaswani et al. (2017) introduced the Transformer architecture based on multi-head self-attention mechanisms, enabling effective modeling of long-range temporal dependencies. Subsequently, Veličković et al. (2018) developed Graph Attention Networks (GATs), which assign self-attentive masked weights to spatial graph neighbors, allowing neural networks to learn localized spatial congestion propagation across road intersections without relying on rigid grid representations.</w:t>
      </w:r>
    </w:p>
    <w:p>
      <w:pPr>
        <w:spacing w:before="0" w:after="120" w:line="276" w:lineRule="auto"/>
        <w:jc w:val="both"/>
      </w:pPr>
      <w:r>
        <w:rPr>
          <w:rFonts w:ascii="Times New Roman" w:hAnsi="Times New Roman"/>
          <w:sz w:val="22"/>
        </w:rPr>
        <w:t>Real-world navigation requires balancing multiple competing objectives beyond simple travel duration. Yen (1971) introduced the K-shortest loopless paths algorithm, providing a foundational mechanism for generating candidate alternative routes in graph networks. In multi-criteria optimization, Weighted Sum Models (WSM) and Pareto optimization strategies have been applied to simultaneously minimize travel duration, energy consumption, and environmental emissions. Furthermore, to address environmental volatility and delay uncertainty, Rockafellar and Uryasev (2000) established the mathematical foundation of Conditional Value-at-Risk (CVaR), a risk-averse optimization metric that quantifies expected losses in tail-end distribution scenarios. Boeing (2017) developed OSMnx, enabling the programmatic retrieval and spatial modeling of complex urban road networks directly from OpenStreetMap data. DeepRoute synthesizes these disparate methodologies into an integrated, end-to-end predictive routing framework.</w:t>
      </w:r>
    </w:p>
    <w:p>
      <w:pPr>
        <w:keepNext/>
        <w:spacing w:before="360" w:after="120"/>
      </w:pPr>
      <w:r>
        <w:rPr>
          <w:rFonts w:ascii="Times New Roman" w:hAnsi="Times New Roman"/>
          <w:b/>
          <w:color w:val="1B365D"/>
          <w:sz w:val="28"/>
        </w:rPr>
        <w:t>III. Empirical Testing &amp; Experimental Accuracy Results</w:t>
      </w:r>
    </w:p>
    <w:p>
      <w:pPr>
        <w:spacing w:before="0" w:after="120" w:line="276" w:lineRule="auto"/>
        <w:jc w:val="both"/>
      </w:pPr>
      <w:r>
        <w:rPr>
          <w:rFonts w:ascii="Times New Roman" w:hAnsi="Times New Roman"/>
          <w:sz w:val="22"/>
        </w:rPr>
        <w:t>To rigorously assess the operational performance, predictive precision, and computational efficiency of DeepRoute, comprehensive empirical benchmark experiments were executed directly on the project repository implementation. The experimental dataset comprised 10,000 synthetic transportation samples generated by app.data_pipeline.synthetic_data, incorporating realistic Indian urban transportation conditions, monsoon weather disruptions, festival traffic surges, and road incident profiles. Supervised training and evaluation were performed across an 80/20 train-test split, evaluating candidate regression algorithms using Mean Absolute Error (MAE), Root Mean Square Error (RMSE), Coefficient of Determination (R²), Mean Absolute Percentage Error (MAPE), 5-fold cross-validation MAE, and real-time inference latency.</w:t>
      </w:r>
    </w:p>
    <w:p>
      <w:pPr>
        <w:keepNext/>
        <w:spacing w:before="280" w:after="80"/>
      </w:pPr>
      <w:r>
        <w:rPr>
          <w:rFonts w:ascii="Times New Roman" w:hAnsi="Times New Roman"/>
          <w:b/>
          <w:color w:val="005691"/>
          <w:sz w:val="24"/>
        </w:rPr>
        <w:t>Model Benchmark &amp; Performance Comparison</w:t>
      </w:r>
    </w:p>
    <w:p>
      <w:pPr>
        <w:spacing w:before="80" w:after="80"/>
      </w:pP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B365D"/>
            <w:tcMar>
              <w:top w:w="80" w:type="dxa"/>
              <w:bottom w:w="80" w:type="dxa"/>
              <w:left w:w="100" w:type="dxa"/>
              <w:right w:w="100" w:type="dxa"/>
            </w:tcMar>
          </w:tcPr>
          <w:p>
            <w:pPr>
              <w:jc w:val="center"/>
            </w:pPr>
            <w:r>
              <w:rPr>
                <w:rFonts w:ascii="Times New Roman" w:hAnsi="Times New Roman"/>
                <w:b/>
                <w:color w:val="FFFFFF"/>
                <w:sz w:val="19"/>
              </w:rPr>
              <w:t>Model Algorithm</w:t>
            </w:r>
          </w:p>
        </w:tc>
        <w:tc>
          <w:tcPr>
            <w:tcW w:type="dxa" w:w="1337"/>
            <w:shd w:fill="1B365D"/>
            <w:tcMar>
              <w:top w:w="80" w:type="dxa"/>
              <w:bottom w:w="80" w:type="dxa"/>
              <w:left w:w="100" w:type="dxa"/>
              <w:right w:w="100" w:type="dxa"/>
            </w:tcMar>
          </w:tcPr>
          <w:p>
            <w:pPr>
              <w:jc w:val="center"/>
            </w:pPr>
            <w:r>
              <w:rPr>
                <w:rFonts w:ascii="Times New Roman" w:hAnsi="Times New Roman"/>
                <w:b/>
                <w:color w:val="FFFFFF"/>
                <w:sz w:val="19"/>
              </w:rPr>
              <w:t>Test MAE</w:t>
            </w:r>
          </w:p>
        </w:tc>
        <w:tc>
          <w:tcPr>
            <w:tcW w:type="dxa" w:w="1337"/>
            <w:shd w:fill="1B365D"/>
            <w:tcMar>
              <w:top w:w="80" w:type="dxa"/>
              <w:bottom w:w="80" w:type="dxa"/>
              <w:left w:w="100" w:type="dxa"/>
              <w:right w:w="100" w:type="dxa"/>
            </w:tcMar>
          </w:tcPr>
          <w:p>
            <w:pPr>
              <w:jc w:val="center"/>
            </w:pPr>
            <w:r>
              <w:rPr>
                <w:rFonts w:ascii="Times New Roman" w:hAnsi="Times New Roman"/>
                <w:b/>
                <w:color w:val="FFFFFF"/>
                <w:sz w:val="19"/>
              </w:rPr>
              <w:t>Test RMSE</w:t>
            </w:r>
          </w:p>
        </w:tc>
        <w:tc>
          <w:tcPr>
            <w:tcW w:type="dxa" w:w="1337"/>
            <w:shd w:fill="1B365D"/>
            <w:tcMar>
              <w:top w:w="80" w:type="dxa"/>
              <w:bottom w:w="80" w:type="dxa"/>
              <w:left w:w="100" w:type="dxa"/>
              <w:right w:w="100" w:type="dxa"/>
            </w:tcMar>
          </w:tcPr>
          <w:p>
            <w:pPr>
              <w:jc w:val="center"/>
            </w:pPr>
            <w:r>
              <w:rPr>
                <w:rFonts w:ascii="Times New Roman" w:hAnsi="Times New Roman"/>
                <w:b/>
                <w:color w:val="FFFFFF"/>
                <w:sz w:val="19"/>
              </w:rPr>
              <w:t>R² Score</w:t>
            </w:r>
          </w:p>
        </w:tc>
        <w:tc>
          <w:tcPr>
            <w:tcW w:type="dxa" w:w="1337"/>
            <w:shd w:fill="1B365D"/>
            <w:tcMar>
              <w:top w:w="80" w:type="dxa"/>
              <w:bottom w:w="80" w:type="dxa"/>
              <w:left w:w="100" w:type="dxa"/>
              <w:right w:w="100" w:type="dxa"/>
            </w:tcMar>
          </w:tcPr>
          <w:p>
            <w:pPr>
              <w:jc w:val="center"/>
            </w:pPr>
            <w:r>
              <w:rPr>
                <w:rFonts w:ascii="Times New Roman" w:hAnsi="Times New Roman"/>
                <w:b/>
                <w:color w:val="FFFFFF"/>
                <w:sz w:val="19"/>
              </w:rPr>
              <w:t>MAPE (%)</w:t>
            </w:r>
          </w:p>
        </w:tc>
        <w:tc>
          <w:tcPr>
            <w:tcW w:type="dxa" w:w="1337"/>
            <w:shd w:fill="1B365D"/>
            <w:tcMar>
              <w:top w:w="80" w:type="dxa"/>
              <w:bottom w:w="80" w:type="dxa"/>
              <w:left w:w="100" w:type="dxa"/>
              <w:right w:w="100" w:type="dxa"/>
            </w:tcMar>
          </w:tcPr>
          <w:p>
            <w:pPr>
              <w:jc w:val="center"/>
            </w:pPr>
            <w:r>
              <w:rPr>
                <w:rFonts w:ascii="Times New Roman" w:hAnsi="Times New Roman"/>
                <w:b/>
                <w:color w:val="FFFFFF"/>
                <w:sz w:val="19"/>
              </w:rPr>
              <w:t>5-Fold CV MAE</w:t>
            </w:r>
          </w:p>
        </w:tc>
        <w:tc>
          <w:tcPr>
            <w:tcW w:type="dxa" w:w="1337"/>
            <w:shd w:fill="1B365D"/>
            <w:tcMar>
              <w:top w:w="80" w:type="dxa"/>
              <w:bottom w:w="80" w:type="dxa"/>
              <w:left w:w="100" w:type="dxa"/>
              <w:right w:w="100" w:type="dxa"/>
            </w:tcMar>
          </w:tcPr>
          <w:p>
            <w:pPr>
              <w:jc w:val="center"/>
            </w:pPr>
            <w:r>
              <w:rPr>
                <w:rFonts w:ascii="Times New Roman" w:hAnsi="Times New Roman"/>
                <w:b/>
                <w:color w:val="FFFFFF"/>
                <w:sz w:val="19"/>
              </w:rPr>
              <w:t>Latency / Speed</w:t>
            </w:r>
          </w:p>
        </w:tc>
      </w:tr>
      <w:tr>
        <w:tc>
          <w:tcPr>
            <w:tcW w:type="dxa" w:w="1337"/>
            <w:shd w:fill="FFFFFF"/>
            <w:tcMar>
              <w:top w:w="60" w:type="dxa"/>
              <w:bottom w:w="60" w:type="dxa"/>
              <w:left w:w="80" w:type="dxa"/>
              <w:right w:w="80" w:type="dxa"/>
            </w:tcMar>
          </w:tcPr>
          <w:p>
            <w:pPr>
              <w:jc w:val="left"/>
            </w:pPr>
            <w:r>
              <w:rPr>
                <w:rFonts w:ascii="Times New Roman" w:hAnsi="Times New Roman"/>
                <w:b/>
                <w:sz w:val="19"/>
              </w:rPr>
              <w:t>XGBoost (Production ML)</w:t>
            </w:r>
          </w:p>
        </w:tc>
        <w:tc>
          <w:tcPr>
            <w:tcW w:type="dxa" w:w="1337"/>
            <w:shd w:fill="FFFFFF"/>
            <w:tcMar>
              <w:top w:w="60" w:type="dxa"/>
              <w:bottom w:w="60" w:type="dxa"/>
              <w:left w:w="80" w:type="dxa"/>
              <w:right w:w="80" w:type="dxa"/>
            </w:tcMar>
          </w:tcPr>
          <w:p>
            <w:pPr>
              <w:jc w:val="right"/>
            </w:pPr>
            <w:r>
              <w:rPr>
                <w:rFonts w:ascii="Times New Roman" w:hAnsi="Times New Roman"/>
                <w:b/>
                <w:sz w:val="19"/>
              </w:rPr>
              <w:t>0.013201</w:t>
            </w:r>
          </w:p>
        </w:tc>
        <w:tc>
          <w:tcPr>
            <w:tcW w:type="dxa" w:w="1337"/>
            <w:shd w:fill="FFFFFF"/>
            <w:tcMar>
              <w:top w:w="60" w:type="dxa"/>
              <w:bottom w:w="60" w:type="dxa"/>
              <w:left w:w="80" w:type="dxa"/>
              <w:right w:w="80" w:type="dxa"/>
            </w:tcMar>
          </w:tcPr>
          <w:p>
            <w:pPr>
              <w:jc w:val="right"/>
            </w:pPr>
            <w:r>
              <w:rPr>
                <w:rFonts w:ascii="Times New Roman" w:hAnsi="Times New Roman"/>
                <w:b/>
                <w:sz w:val="19"/>
              </w:rPr>
              <w:t>0.016872</w:t>
            </w:r>
          </w:p>
        </w:tc>
        <w:tc>
          <w:tcPr>
            <w:tcW w:type="dxa" w:w="1337"/>
            <w:shd w:fill="FFFFFF"/>
            <w:tcMar>
              <w:top w:w="60" w:type="dxa"/>
              <w:bottom w:w="60" w:type="dxa"/>
              <w:left w:w="80" w:type="dxa"/>
              <w:right w:w="80" w:type="dxa"/>
            </w:tcMar>
          </w:tcPr>
          <w:p>
            <w:pPr>
              <w:jc w:val="right"/>
            </w:pPr>
            <w:r>
              <w:rPr>
                <w:rFonts w:ascii="Times New Roman" w:hAnsi="Times New Roman"/>
                <w:b/>
                <w:sz w:val="19"/>
              </w:rPr>
              <w:t>0.941577 (94.16%)</w:t>
            </w:r>
          </w:p>
        </w:tc>
        <w:tc>
          <w:tcPr>
            <w:tcW w:type="dxa" w:w="1337"/>
            <w:shd w:fill="FFFFFF"/>
            <w:tcMar>
              <w:top w:w="60" w:type="dxa"/>
              <w:bottom w:w="60" w:type="dxa"/>
              <w:left w:w="80" w:type="dxa"/>
              <w:right w:w="80" w:type="dxa"/>
            </w:tcMar>
          </w:tcPr>
          <w:p>
            <w:pPr>
              <w:jc w:val="right"/>
            </w:pPr>
            <w:r>
              <w:rPr>
                <w:rFonts w:ascii="Times New Roman" w:hAnsi="Times New Roman"/>
                <w:b/>
                <w:sz w:val="19"/>
              </w:rPr>
              <w:t>1.2560%</w:t>
            </w:r>
          </w:p>
        </w:tc>
        <w:tc>
          <w:tcPr>
            <w:tcW w:type="dxa" w:w="1337"/>
            <w:shd w:fill="FFFFFF"/>
            <w:tcMar>
              <w:top w:w="60" w:type="dxa"/>
              <w:bottom w:w="60" w:type="dxa"/>
              <w:left w:w="80" w:type="dxa"/>
              <w:right w:w="80" w:type="dxa"/>
            </w:tcMar>
          </w:tcPr>
          <w:p>
            <w:pPr>
              <w:jc w:val="right"/>
            </w:pPr>
            <w:r>
              <w:rPr>
                <w:rFonts w:ascii="Times New Roman" w:hAnsi="Times New Roman"/>
                <w:b/>
                <w:sz w:val="19"/>
              </w:rPr>
              <w:t>0.012973</w:t>
            </w:r>
          </w:p>
        </w:tc>
        <w:tc>
          <w:tcPr>
            <w:tcW w:type="dxa" w:w="1337"/>
            <w:shd w:fill="FFFFFF"/>
            <w:tcMar>
              <w:top w:w="60" w:type="dxa"/>
              <w:bottom w:w="60" w:type="dxa"/>
              <w:left w:w="80" w:type="dxa"/>
              <w:right w:w="80" w:type="dxa"/>
            </w:tcMar>
          </w:tcPr>
          <w:p>
            <w:pPr>
              <w:jc w:val="center"/>
            </w:pPr>
            <w:r>
              <w:rPr>
                <w:rFonts w:ascii="Times New Roman" w:hAnsi="Times New Roman"/>
                <w:b/>
                <w:sz w:val="19"/>
              </w:rPr>
              <w:t>1.67 ms (Fast)</w:t>
            </w:r>
          </w:p>
        </w:tc>
      </w:tr>
      <w:tr>
        <w:tc>
          <w:tcPr>
            <w:tcW w:type="dxa" w:w="1337"/>
            <w:shd w:fill="F0F4F8"/>
            <w:tcMar>
              <w:top w:w="60" w:type="dxa"/>
              <w:bottom w:w="60" w:type="dxa"/>
              <w:left w:w="80" w:type="dxa"/>
              <w:right w:w="80" w:type="dxa"/>
            </w:tcMar>
          </w:tcPr>
          <w:p>
            <w:pPr>
              <w:jc w:val="left"/>
            </w:pPr>
            <w:r>
              <w:rPr>
                <w:rFonts w:ascii="Times New Roman" w:hAnsi="Times New Roman"/>
                <w:sz w:val="19"/>
              </w:rPr>
              <w:t>Gradient Boosting (GBM)</w:t>
            </w:r>
          </w:p>
        </w:tc>
        <w:tc>
          <w:tcPr>
            <w:tcW w:type="dxa" w:w="1337"/>
            <w:shd w:fill="F0F4F8"/>
            <w:tcMar>
              <w:top w:w="60" w:type="dxa"/>
              <w:bottom w:w="60" w:type="dxa"/>
              <w:left w:w="80" w:type="dxa"/>
              <w:right w:w="80" w:type="dxa"/>
            </w:tcMar>
          </w:tcPr>
          <w:p>
            <w:pPr>
              <w:jc w:val="right"/>
            </w:pPr>
            <w:r>
              <w:rPr>
                <w:rFonts w:ascii="Times New Roman" w:hAnsi="Times New Roman"/>
                <w:sz w:val="19"/>
              </w:rPr>
              <w:t>0.013150</w:t>
            </w:r>
          </w:p>
        </w:tc>
        <w:tc>
          <w:tcPr>
            <w:tcW w:type="dxa" w:w="1337"/>
            <w:shd w:fill="F0F4F8"/>
            <w:tcMar>
              <w:top w:w="60" w:type="dxa"/>
              <w:bottom w:w="60" w:type="dxa"/>
              <w:left w:w="80" w:type="dxa"/>
              <w:right w:w="80" w:type="dxa"/>
            </w:tcMar>
          </w:tcPr>
          <w:p>
            <w:pPr>
              <w:jc w:val="right"/>
            </w:pPr>
            <w:r>
              <w:rPr>
                <w:rFonts w:ascii="Times New Roman" w:hAnsi="Times New Roman"/>
                <w:sz w:val="19"/>
              </w:rPr>
              <w:t>0.016869</w:t>
            </w:r>
          </w:p>
        </w:tc>
        <w:tc>
          <w:tcPr>
            <w:tcW w:type="dxa" w:w="1337"/>
            <w:shd w:fill="F0F4F8"/>
            <w:tcMar>
              <w:top w:w="60" w:type="dxa"/>
              <w:bottom w:w="60" w:type="dxa"/>
              <w:left w:w="80" w:type="dxa"/>
              <w:right w:w="80" w:type="dxa"/>
            </w:tcMar>
          </w:tcPr>
          <w:p>
            <w:pPr>
              <w:jc w:val="right"/>
            </w:pPr>
            <w:r>
              <w:rPr>
                <w:rFonts w:ascii="Times New Roman" w:hAnsi="Times New Roman"/>
                <w:sz w:val="19"/>
              </w:rPr>
              <w:t>0.941595 (94.16%)</w:t>
            </w:r>
          </w:p>
        </w:tc>
        <w:tc>
          <w:tcPr>
            <w:tcW w:type="dxa" w:w="1337"/>
            <w:shd w:fill="F0F4F8"/>
            <w:tcMar>
              <w:top w:w="60" w:type="dxa"/>
              <w:bottom w:w="60" w:type="dxa"/>
              <w:left w:w="80" w:type="dxa"/>
              <w:right w:w="80" w:type="dxa"/>
            </w:tcMar>
          </w:tcPr>
          <w:p>
            <w:pPr>
              <w:jc w:val="right"/>
            </w:pPr>
            <w:r>
              <w:rPr>
                <w:rFonts w:ascii="Times New Roman" w:hAnsi="Times New Roman"/>
                <w:sz w:val="19"/>
              </w:rPr>
              <w:t>1.2521%</w:t>
            </w:r>
          </w:p>
        </w:tc>
        <w:tc>
          <w:tcPr>
            <w:tcW w:type="dxa" w:w="1337"/>
            <w:shd w:fill="F0F4F8"/>
            <w:tcMar>
              <w:top w:w="60" w:type="dxa"/>
              <w:bottom w:w="60" w:type="dxa"/>
              <w:left w:w="80" w:type="dxa"/>
              <w:right w:w="80" w:type="dxa"/>
            </w:tcMar>
          </w:tcPr>
          <w:p>
            <w:pPr>
              <w:jc w:val="right"/>
            </w:pPr>
            <w:r>
              <w:rPr>
                <w:rFonts w:ascii="Times New Roman" w:hAnsi="Times New Roman"/>
                <w:sz w:val="19"/>
              </w:rPr>
              <w:t>0.013127</w:t>
            </w:r>
          </w:p>
        </w:tc>
        <w:tc>
          <w:tcPr>
            <w:tcW w:type="dxa" w:w="1337"/>
            <w:shd w:fill="F0F4F8"/>
            <w:tcMar>
              <w:top w:w="60" w:type="dxa"/>
              <w:bottom w:w="60" w:type="dxa"/>
              <w:left w:w="80" w:type="dxa"/>
              <w:right w:w="80" w:type="dxa"/>
            </w:tcMar>
          </w:tcPr>
          <w:p>
            <w:pPr>
              <w:jc w:val="center"/>
            </w:pPr>
            <w:r>
              <w:rPr>
                <w:rFonts w:ascii="Times New Roman" w:hAnsi="Times New Roman"/>
                <w:sz w:val="19"/>
              </w:rPr>
              <w:t>168.65 s (Train)</w:t>
            </w:r>
          </w:p>
        </w:tc>
      </w:tr>
      <w:tr>
        <w:tc>
          <w:tcPr>
            <w:tcW w:type="dxa" w:w="1337"/>
            <w:shd w:fill="FFFFFF"/>
            <w:tcMar>
              <w:top w:w="60" w:type="dxa"/>
              <w:bottom w:w="60" w:type="dxa"/>
              <w:left w:w="80" w:type="dxa"/>
              <w:right w:w="80" w:type="dxa"/>
            </w:tcMar>
          </w:tcPr>
          <w:p>
            <w:pPr>
              <w:jc w:val="left"/>
            </w:pPr>
            <w:r>
              <w:rPr>
                <w:rFonts w:ascii="Times New Roman" w:hAnsi="Times New Roman"/>
                <w:sz w:val="19"/>
              </w:rPr>
              <w:t>Ridge Linear Baseline</w:t>
            </w:r>
          </w:p>
        </w:tc>
        <w:tc>
          <w:tcPr>
            <w:tcW w:type="dxa" w:w="1337"/>
            <w:shd w:fill="FFFFFF"/>
            <w:tcMar>
              <w:top w:w="60" w:type="dxa"/>
              <w:bottom w:w="60" w:type="dxa"/>
              <w:left w:w="80" w:type="dxa"/>
              <w:right w:w="80" w:type="dxa"/>
            </w:tcMar>
          </w:tcPr>
          <w:p>
            <w:pPr>
              <w:jc w:val="right"/>
            </w:pPr>
            <w:r>
              <w:rPr>
                <w:rFonts w:ascii="Times New Roman" w:hAnsi="Times New Roman"/>
                <w:sz w:val="19"/>
              </w:rPr>
              <w:t>0.013167</w:t>
            </w:r>
          </w:p>
        </w:tc>
        <w:tc>
          <w:tcPr>
            <w:tcW w:type="dxa" w:w="1337"/>
            <w:shd w:fill="FFFFFF"/>
            <w:tcMar>
              <w:top w:w="60" w:type="dxa"/>
              <w:bottom w:w="60" w:type="dxa"/>
              <w:left w:w="80" w:type="dxa"/>
              <w:right w:w="80" w:type="dxa"/>
            </w:tcMar>
          </w:tcPr>
          <w:p>
            <w:pPr>
              <w:jc w:val="right"/>
            </w:pPr>
            <w:r>
              <w:rPr>
                <w:rFonts w:ascii="Times New Roman" w:hAnsi="Times New Roman"/>
                <w:sz w:val="19"/>
              </w:rPr>
              <w:t>0.016692</w:t>
            </w:r>
          </w:p>
        </w:tc>
        <w:tc>
          <w:tcPr>
            <w:tcW w:type="dxa" w:w="1337"/>
            <w:shd w:fill="FFFFFF"/>
            <w:tcMar>
              <w:top w:w="60" w:type="dxa"/>
              <w:bottom w:w="60" w:type="dxa"/>
              <w:left w:w="80" w:type="dxa"/>
              <w:right w:w="80" w:type="dxa"/>
            </w:tcMar>
          </w:tcPr>
          <w:p>
            <w:pPr>
              <w:jc w:val="right"/>
            </w:pPr>
            <w:r>
              <w:rPr>
                <w:rFonts w:ascii="Times New Roman" w:hAnsi="Times New Roman"/>
                <w:sz w:val="19"/>
              </w:rPr>
              <w:t>0.942814 (94.28%)</w:t>
            </w:r>
          </w:p>
        </w:tc>
        <w:tc>
          <w:tcPr>
            <w:tcW w:type="dxa" w:w="1337"/>
            <w:shd w:fill="FFFFFF"/>
            <w:tcMar>
              <w:top w:w="60" w:type="dxa"/>
              <w:bottom w:w="60" w:type="dxa"/>
              <w:left w:w="80" w:type="dxa"/>
              <w:right w:w="80" w:type="dxa"/>
            </w:tcMar>
          </w:tcPr>
          <w:p>
            <w:pPr>
              <w:jc w:val="right"/>
            </w:pPr>
            <w:r>
              <w:rPr>
                <w:rFonts w:ascii="Times New Roman" w:hAnsi="Times New Roman"/>
                <w:sz w:val="19"/>
              </w:rPr>
              <w:t>1.2573%</w:t>
            </w:r>
          </w:p>
        </w:tc>
        <w:tc>
          <w:tcPr>
            <w:tcW w:type="dxa" w:w="1337"/>
            <w:shd w:fill="FFFFFF"/>
            <w:tcMar>
              <w:top w:w="60" w:type="dxa"/>
              <w:bottom w:w="60" w:type="dxa"/>
              <w:left w:w="80" w:type="dxa"/>
              <w:right w:w="80" w:type="dxa"/>
            </w:tcMar>
          </w:tcPr>
          <w:p>
            <w:pPr>
              <w:jc w:val="right"/>
            </w:pPr>
            <w:r>
              <w:rPr>
                <w:rFonts w:ascii="Times New Roman" w:hAnsi="Times New Roman"/>
                <w:sz w:val="19"/>
              </w:rPr>
              <w:t>0.012971</w:t>
            </w:r>
          </w:p>
        </w:tc>
        <w:tc>
          <w:tcPr>
            <w:tcW w:type="dxa" w:w="1337"/>
            <w:shd w:fill="FFFFFF"/>
            <w:tcMar>
              <w:top w:w="60" w:type="dxa"/>
              <w:bottom w:w="60" w:type="dxa"/>
              <w:left w:w="80" w:type="dxa"/>
              <w:right w:w="80" w:type="dxa"/>
            </w:tcMar>
          </w:tcPr>
          <w:p>
            <w:pPr>
              <w:jc w:val="center"/>
            </w:pPr>
            <w:r>
              <w:rPr>
                <w:rFonts w:ascii="Times New Roman" w:hAnsi="Times New Roman"/>
                <w:sz w:val="19"/>
              </w:rPr>
              <w:t>0.08 s (Ultra-fast)</w:t>
            </w:r>
          </w:p>
        </w:tc>
      </w:tr>
      <w:tr>
        <w:tc>
          <w:tcPr>
            <w:tcW w:type="dxa" w:w="1337"/>
            <w:shd w:fill="F0F4F8"/>
            <w:tcMar>
              <w:top w:w="60" w:type="dxa"/>
              <w:bottom w:w="60" w:type="dxa"/>
              <w:left w:w="80" w:type="dxa"/>
              <w:right w:w="80" w:type="dxa"/>
            </w:tcMar>
          </w:tcPr>
          <w:p>
            <w:pPr>
              <w:jc w:val="left"/>
            </w:pPr>
            <w:r>
              <w:rPr>
                <w:rFonts w:ascii="Times New Roman" w:hAnsi="Times New Roman"/>
                <w:sz w:val="19"/>
              </w:rPr>
              <w:t>HistGradientBoosting</w:t>
            </w:r>
          </w:p>
        </w:tc>
        <w:tc>
          <w:tcPr>
            <w:tcW w:type="dxa" w:w="1337"/>
            <w:shd w:fill="F0F4F8"/>
            <w:tcMar>
              <w:top w:w="60" w:type="dxa"/>
              <w:bottom w:w="60" w:type="dxa"/>
              <w:left w:w="80" w:type="dxa"/>
              <w:right w:w="80" w:type="dxa"/>
            </w:tcMar>
          </w:tcPr>
          <w:p>
            <w:pPr>
              <w:jc w:val="right"/>
            </w:pPr>
            <w:r>
              <w:rPr>
                <w:rFonts w:ascii="Times New Roman" w:hAnsi="Times New Roman"/>
                <w:sz w:val="19"/>
              </w:rPr>
              <w:t>0.013315</w:t>
            </w:r>
          </w:p>
        </w:tc>
        <w:tc>
          <w:tcPr>
            <w:tcW w:type="dxa" w:w="1337"/>
            <w:shd w:fill="F0F4F8"/>
            <w:tcMar>
              <w:top w:w="60" w:type="dxa"/>
              <w:bottom w:w="60" w:type="dxa"/>
              <w:left w:w="80" w:type="dxa"/>
              <w:right w:w="80" w:type="dxa"/>
            </w:tcMar>
          </w:tcPr>
          <w:p>
            <w:pPr>
              <w:jc w:val="right"/>
            </w:pPr>
            <w:r>
              <w:rPr>
                <w:rFonts w:ascii="Times New Roman" w:hAnsi="Times New Roman"/>
                <w:sz w:val="19"/>
              </w:rPr>
              <w:t>0.017069</w:t>
            </w:r>
          </w:p>
        </w:tc>
        <w:tc>
          <w:tcPr>
            <w:tcW w:type="dxa" w:w="1337"/>
            <w:shd w:fill="F0F4F8"/>
            <w:tcMar>
              <w:top w:w="60" w:type="dxa"/>
              <w:bottom w:w="60" w:type="dxa"/>
              <w:left w:w="80" w:type="dxa"/>
              <w:right w:w="80" w:type="dxa"/>
            </w:tcMar>
          </w:tcPr>
          <w:p>
            <w:pPr>
              <w:jc w:val="right"/>
            </w:pPr>
            <w:r>
              <w:rPr>
                <w:rFonts w:ascii="Times New Roman" w:hAnsi="Times New Roman"/>
                <w:sz w:val="19"/>
              </w:rPr>
              <w:t>0.940202 (94.02%)</w:t>
            </w:r>
          </w:p>
        </w:tc>
        <w:tc>
          <w:tcPr>
            <w:tcW w:type="dxa" w:w="1337"/>
            <w:shd w:fill="F0F4F8"/>
            <w:tcMar>
              <w:top w:w="60" w:type="dxa"/>
              <w:bottom w:w="60" w:type="dxa"/>
              <w:left w:w="80" w:type="dxa"/>
              <w:right w:w="80" w:type="dxa"/>
            </w:tcMar>
          </w:tcPr>
          <w:p>
            <w:pPr>
              <w:jc w:val="right"/>
            </w:pPr>
            <w:r>
              <w:rPr>
                <w:rFonts w:ascii="Times New Roman" w:hAnsi="Times New Roman"/>
                <w:sz w:val="19"/>
              </w:rPr>
              <w:t>1.2665%</w:t>
            </w:r>
          </w:p>
        </w:tc>
        <w:tc>
          <w:tcPr>
            <w:tcW w:type="dxa" w:w="1337"/>
            <w:shd w:fill="F0F4F8"/>
            <w:tcMar>
              <w:top w:w="60" w:type="dxa"/>
              <w:bottom w:w="60" w:type="dxa"/>
              <w:left w:w="80" w:type="dxa"/>
              <w:right w:w="80" w:type="dxa"/>
            </w:tcMar>
          </w:tcPr>
          <w:p>
            <w:pPr>
              <w:jc w:val="right"/>
            </w:pPr>
            <w:r>
              <w:rPr>
                <w:rFonts w:ascii="Times New Roman" w:hAnsi="Times New Roman"/>
                <w:sz w:val="19"/>
              </w:rPr>
              <w:t>0.013266</w:t>
            </w:r>
          </w:p>
        </w:tc>
        <w:tc>
          <w:tcPr>
            <w:tcW w:type="dxa" w:w="1337"/>
            <w:shd w:fill="F0F4F8"/>
            <w:tcMar>
              <w:top w:w="60" w:type="dxa"/>
              <w:bottom w:w="60" w:type="dxa"/>
              <w:left w:w="80" w:type="dxa"/>
              <w:right w:w="80" w:type="dxa"/>
            </w:tcMar>
          </w:tcPr>
          <w:p>
            <w:pPr>
              <w:jc w:val="center"/>
            </w:pPr>
            <w:r>
              <w:rPr>
                <w:rFonts w:ascii="Times New Roman" w:hAnsi="Times New Roman"/>
                <w:sz w:val="19"/>
              </w:rPr>
              <w:t>66.52 s (Train)</w:t>
            </w:r>
          </w:p>
        </w:tc>
      </w:tr>
      <w:tr>
        <w:tc>
          <w:tcPr>
            <w:tcW w:type="dxa" w:w="1337"/>
            <w:shd w:fill="FFFFFF"/>
            <w:tcMar>
              <w:top w:w="60" w:type="dxa"/>
              <w:bottom w:w="60" w:type="dxa"/>
              <w:left w:w="80" w:type="dxa"/>
              <w:right w:w="80" w:type="dxa"/>
            </w:tcMar>
          </w:tcPr>
          <w:p>
            <w:pPr>
              <w:jc w:val="left"/>
            </w:pPr>
            <w:r>
              <w:rPr>
                <w:rFonts w:ascii="Times New Roman" w:hAnsi="Times New Roman"/>
                <w:sz w:val="19"/>
              </w:rPr>
              <w:t>Extra Trees Regressor</w:t>
            </w:r>
          </w:p>
        </w:tc>
        <w:tc>
          <w:tcPr>
            <w:tcW w:type="dxa" w:w="1337"/>
            <w:shd w:fill="FFFFFF"/>
            <w:tcMar>
              <w:top w:w="60" w:type="dxa"/>
              <w:bottom w:w="60" w:type="dxa"/>
              <w:left w:w="80" w:type="dxa"/>
              <w:right w:w="80" w:type="dxa"/>
            </w:tcMar>
          </w:tcPr>
          <w:p>
            <w:pPr>
              <w:jc w:val="right"/>
            </w:pPr>
            <w:r>
              <w:rPr>
                <w:rFonts w:ascii="Times New Roman" w:hAnsi="Times New Roman"/>
                <w:sz w:val="19"/>
              </w:rPr>
              <w:t>0.014050</w:t>
            </w:r>
          </w:p>
        </w:tc>
        <w:tc>
          <w:tcPr>
            <w:tcW w:type="dxa" w:w="1337"/>
            <w:shd w:fill="FFFFFF"/>
            <w:tcMar>
              <w:top w:w="60" w:type="dxa"/>
              <w:bottom w:w="60" w:type="dxa"/>
              <w:left w:w="80" w:type="dxa"/>
              <w:right w:w="80" w:type="dxa"/>
            </w:tcMar>
          </w:tcPr>
          <w:p>
            <w:pPr>
              <w:jc w:val="right"/>
            </w:pPr>
            <w:r>
              <w:rPr>
                <w:rFonts w:ascii="Times New Roman" w:hAnsi="Times New Roman"/>
                <w:sz w:val="19"/>
              </w:rPr>
              <w:t>0.017812</w:t>
            </w:r>
          </w:p>
        </w:tc>
        <w:tc>
          <w:tcPr>
            <w:tcW w:type="dxa" w:w="1337"/>
            <w:shd w:fill="FFFFFF"/>
            <w:tcMar>
              <w:top w:w="60" w:type="dxa"/>
              <w:bottom w:w="60" w:type="dxa"/>
              <w:left w:w="80" w:type="dxa"/>
              <w:right w:w="80" w:type="dxa"/>
            </w:tcMar>
          </w:tcPr>
          <w:p>
            <w:pPr>
              <w:jc w:val="right"/>
            </w:pPr>
            <w:r>
              <w:rPr>
                <w:rFonts w:ascii="Times New Roman" w:hAnsi="Times New Roman"/>
                <w:sz w:val="19"/>
              </w:rPr>
              <w:t>0.934885 (93.49%)</w:t>
            </w:r>
          </w:p>
        </w:tc>
        <w:tc>
          <w:tcPr>
            <w:tcW w:type="dxa" w:w="1337"/>
            <w:shd w:fill="FFFFFF"/>
            <w:tcMar>
              <w:top w:w="60" w:type="dxa"/>
              <w:bottom w:w="60" w:type="dxa"/>
              <w:left w:w="80" w:type="dxa"/>
              <w:right w:w="80" w:type="dxa"/>
            </w:tcMar>
          </w:tcPr>
          <w:p>
            <w:pPr>
              <w:jc w:val="right"/>
            </w:pPr>
            <w:r>
              <w:rPr>
                <w:rFonts w:ascii="Times New Roman" w:hAnsi="Times New Roman"/>
                <w:sz w:val="19"/>
              </w:rPr>
              <w:t>1.3373%</w:t>
            </w:r>
          </w:p>
        </w:tc>
        <w:tc>
          <w:tcPr>
            <w:tcW w:type="dxa" w:w="1337"/>
            <w:shd w:fill="FFFFFF"/>
            <w:tcMar>
              <w:top w:w="60" w:type="dxa"/>
              <w:bottom w:w="60" w:type="dxa"/>
              <w:left w:w="80" w:type="dxa"/>
              <w:right w:w="80" w:type="dxa"/>
            </w:tcMar>
          </w:tcPr>
          <w:p>
            <w:pPr>
              <w:jc w:val="right"/>
            </w:pPr>
            <w:r>
              <w:rPr>
                <w:rFonts w:ascii="Times New Roman" w:hAnsi="Times New Roman"/>
                <w:sz w:val="19"/>
              </w:rPr>
              <w:t>0.014034</w:t>
            </w:r>
          </w:p>
        </w:tc>
        <w:tc>
          <w:tcPr>
            <w:tcW w:type="dxa" w:w="1337"/>
            <w:shd w:fill="FFFFFF"/>
            <w:tcMar>
              <w:top w:w="60" w:type="dxa"/>
              <w:bottom w:w="60" w:type="dxa"/>
              <w:left w:w="80" w:type="dxa"/>
              <w:right w:w="80" w:type="dxa"/>
            </w:tcMar>
          </w:tcPr>
          <w:p>
            <w:pPr>
              <w:jc w:val="center"/>
            </w:pPr>
            <w:r>
              <w:rPr>
                <w:rFonts w:ascii="Times New Roman" w:hAnsi="Times New Roman"/>
                <w:sz w:val="19"/>
              </w:rPr>
              <w:t>26.38 s (Train)</w:t>
            </w:r>
          </w:p>
        </w:tc>
      </w:tr>
      <w:tr>
        <w:tc>
          <w:tcPr>
            <w:tcW w:type="dxa" w:w="1337"/>
            <w:shd w:fill="F0F4F8"/>
            <w:tcMar>
              <w:top w:w="60" w:type="dxa"/>
              <w:bottom w:w="60" w:type="dxa"/>
              <w:left w:w="80" w:type="dxa"/>
              <w:right w:w="80" w:type="dxa"/>
            </w:tcMar>
          </w:tcPr>
          <w:p>
            <w:pPr>
              <w:jc w:val="left"/>
            </w:pPr>
            <w:r>
              <w:rPr>
                <w:rFonts w:ascii="Times New Roman" w:hAnsi="Times New Roman"/>
                <w:sz w:val="19"/>
              </w:rPr>
              <w:t>Random Forest Regressor</w:t>
            </w:r>
          </w:p>
        </w:tc>
        <w:tc>
          <w:tcPr>
            <w:tcW w:type="dxa" w:w="1337"/>
            <w:shd w:fill="F0F4F8"/>
            <w:tcMar>
              <w:top w:w="60" w:type="dxa"/>
              <w:bottom w:w="60" w:type="dxa"/>
              <w:left w:w="80" w:type="dxa"/>
              <w:right w:w="80" w:type="dxa"/>
            </w:tcMar>
          </w:tcPr>
          <w:p>
            <w:pPr>
              <w:jc w:val="right"/>
            </w:pPr>
            <w:r>
              <w:rPr>
                <w:rFonts w:ascii="Times New Roman" w:hAnsi="Times New Roman"/>
                <w:sz w:val="19"/>
              </w:rPr>
              <w:t>0.014631</w:t>
            </w:r>
          </w:p>
        </w:tc>
        <w:tc>
          <w:tcPr>
            <w:tcW w:type="dxa" w:w="1337"/>
            <w:shd w:fill="F0F4F8"/>
            <w:tcMar>
              <w:top w:w="60" w:type="dxa"/>
              <w:bottom w:w="60" w:type="dxa"/>
              <w:left w:w="80" w:type="dxa"/>
              <w:right w:w="80" w:type="dxa"/>
            </w:tcMar>
          </w:tcPr>
          <w:p>
            <w:pPr>
              <w:jc w:val="right"/>
            </w:pPr>
            <w:r>
              <w:rPr>
                <w:rFonts w:ascii="Times New Roman" w:hAnsi="Times New Roman"/>
                <w:sz w:val="19"/>
              </w:rPr>
              <w:t>0.018670</w:t>
            </w:r>
          </w:p>
        </w:tc>
        <w:tc>
          <w:tcPr>
            <w:tcW w:type="dxa" w:w="1337"/>
            <w:shd w:fill="F0F4F8"/>
            <w:tcMar>
              <w:top w:w="60" w:type="dxa"/>
              <w:bottom w:w="60" w:type="dxa"/>
              <w:left w:w="80" w:type="dxa"/>
              <w:right w:w="80" w:type="dxa"/>
            </w:tcMar>
          </w:tcPr>
          <w:p>
            <w:pPr>
              <w:jc w:val="right"/>
            </w:pPr>
            <w:r>
              <w:rPr>
                <w:rFonts w:ascii="Times New Roman" w:hAnsi="Times New Roman"/>
                <w:sz w:val="19"/>
              </w:rPr>
              <w:t>0.928458 (92.85%)</w:t>
            </w:r>
          </w:p>
        </w:tc>
        <w:tc>
          <w:tcPr>
            <w:tcW w:type="dxa" w:w="1337"/>
            <w:shd w:fill="F0F4F8"/>
            <w:tcMar>
              <w:top w:w="60" w:type="dxa"/>
              <w:bottom w:w="60" w:type="dxa"/>
              <w:left w:w="80" w:type="dxa"/>
              <w:right w:w="80" w:type="dxa"/>
            </w:tcMar>
          </w:tcPr>
          <w:p>
            <w:pPr>
              <w:jc w:val="right"/>
            </w:pPr>
            <w:r>
              <w:rPr>
                <w:rFonts w:ascii="Times New Roman" w:hAnsi="Times New Roman"/>
                <w:sz w:val="19"/>
              </w:rPr>
              <w:t>1.3879%</w:t>
            </w:r>
          </w:p>
        </w:tc>
        <w:tc>
          <w:tcPr>
            <w:tcW w:type="dxa" w:w="1337"/>
            <w:shd w:fill="F0F4F8"/>
            <w:tcMar>
              <w:top w:w="60" w:type="dxa"/>
              <w:bottom w:w="60" w:type="dxa"/>
              <w:left w:w="80" w:type="dxa"/>
              <w:right w:w="80" w:type="dxa"/>
            </w:tcMar>
          </w:tcPr>
          <w:p>
            <w:pPr>
              <w:jc w:val="right"/>
            </w:pPr>
            <w:r>
              <w:rPr>
                <w:rFonts w:ascii="Times New Roman" w:hAnsi="Times New Roman"/>
                <w:sz w:val="19"/>
              </w:rPr>
              <w:t>0.014820</w:t>
            </w:r>
          </w:p>
        </w:tc>
        <w:tc>
          <w:tcPr>
            <w:tcW w:type="dxa" w:w="1337"/>
            <w:shd w:fill="F0F4F8"/>
            <w:tcMar>
              <w:top w:w="60" w:type="dxa"/>
              <w:bottom w:w="60" w:type="dxa"/>
              <w:left w:w="80" w:type="dxa"/>
              <w:right w:w="80" w:type="dxa"/>
            </w:tcMar>
          </w:tcPr>
          <w:p>
            <w:pPr>
              <w:jc w:val="center"/>
            </w:pPr>
            <w:r>
              <w:rPr>
                <w:rFonts w:ascii="Times New Roman" w:hAnsi="Times New Roman"/>
                <w:sz w:val="19"/>
              </w:rPr>
              <w:t>44.10 s (Train)</w:t>
            </w:r>
          </w:p>
        </w:tc>
      </w:tr>
      <w:tr>
        <w:tc>
          <w:tcPr>
            <w:tcW w:type="dxa" w:w="1337"/>
            <w:shd w:fill="FFFFFF"/>
            <w:tcMar>
              <w:top w:w="60" w:type="dxa"/>
              <w:bottom w:w="60" w:type="dxa"/>
              <w:left w:w="80" w:type="dxa"/>
              <w:right w:w="80" w:type="dxa"/>
            </w:tcMar>
          </w:tcPr>
          <w:p>
            <w:pPr>
              <w:jc w:val="left"/>
            </w:pPr>
            <w:r>
              <w:rPr>
                <w:rFonts w:ascii="Times New Roman" w:hAnsi="Times New Roman"/>
                <w:sz w:val="19"/>
              </w:rPr>
              <w:t>DeepRoute Temporal-GAT</w:t>
            </w:r>
          </w:p>
        </w:tc>
        <w:tc>
          <w:tcPr>
            <w:tcW w:type="dxa" w:w="1337"/>
            <w:shd w:fill="FFFFFF"/>
            <w:tcMar>
              <w:top w:w="60" w:type="dxa"/>
              <w:bottom w:w="60" w:type="dxa"/>
              <w:left w:w="80" w:type="dxa"/>
              <w:right w:w="80" w:type="dxa"/>
            </w:tcMar>
          </w:tcPr>
          <w:p>
            <w:pPr>
              <w:jc w:val="right"/>
            </w:pPr>
            <w:r>
              <w:rPr>
                <w:rFonts w:ascii="Times New Roman" w:hAnsi="Times New Roman"/>
                <w:sz w:val="19"/>
              </w:rPr>
              <w:t>0.081556</w:t>
            </w:r>
          </w:p>
        </w:tc>
        <w:tc>
          <w:tcPr>
            <w:tcW w:type="dxa" w:w="1337"/>
            <w:shd w:fill="FFFFFF"/>
            <w:tcMar>
              <w:top w:w="60" w:type="dxa"/>
              <w:bottom w:w="60" w:type="dxa"/>
              <w:left w:w="80" w:type="dxa"/>
              <w:right w:w="80" w:type="dxa"/>
            </w:tcMar>
          </w:tcPr>
          <w:p>
            <w:pPr>
              <w:jc w:val="right"/>
            </w:pPr>
            <w:r>
              <w:rPr>
                <w:rFonts w:ascii="Times New Roman" w:hAnsi="Times New Roman"/>
                <w:sz w:val="19"/>
              </w:rPr>
              <w:t>0.098210</w:t>
            </w:r>
          </w:p>
        </w:tc>
        <w:tc>
          <w:tcPr>
            <w:tcW w:type="dxa" w:w="1337"/>
            <w:shd w:fill="FFFFFF"/>
            <w:tcMar>
              <w:top w:w="60" w:type="dxa"/>
              <w:bottom w:w="60" w:type="dxa"/>
              <w:left w:w="80" w:type="dxa"/>
              <w:right w:w="80" w:type="dxa"/>
            </w:tcMar>
          </w:tcPr>
          <w:p>
            <w:pPr>
              <w:jc w:val="right"/>
            </w:pPr>
            <w:r>
              <w:rPr>
                <w:rFonts w:ascii="Times New Roman" w:hAnsi="Times New Roman"/>
                <w:sz w:val="19"/>
              </w:rPr>
              <w:t>0.864000 (86.40%)</w:t>
            </w:r>
          </w:p>
        </w:tc>
        <w:tc>
          <w:tcPr>
            <w:tcW w:type="dxa" w:w="1337"/>
            <w:shd w:fill="FFFFFF"/>
            <w:tcMar>
              <w:top w:w="60" w:type="dxa"/>
              <w:bottom w:w="60" w:type="dxa"/>
              <w:left w:w="80" w:type="dxa"/>
              <w:right w:w="80" w:type="dxa"/>
            </w:tcMar>
          </w:tcPr>
          <w:p>
            <w:pPr>
              <w:jc w:val="right"/>
            </w:pPr>
            <w:r>
              <w:rPr>
                <w:rFonts w:ascii="Times New Roman" w:hAnsi="Times New Roman"/>
                <w:sz w:val="19"/>
              </w:rPr>
              <w:t>7.6500%</w:t>
            </w:r>
          </w:p>
        </w:tc>
        <w:tc>
          <w:tcPr>
            <w:tcW w:type="dxa" w:w="1337"/>
            <w:shd w:fill="FFFFFF"/>
            <w:tcMar>
              <w:top w:w="60" w:type="dxa"/>
              <w:bottom w:w="60" w:type="dxa"/>
              <w:left w:w="80" w:type="dxa"/>
              <w:right w:w="80" w:type="dxa"/>
            </w:tcMar>
          </w:tcPr>
          <w:p>
            <w:pPr>
              <w:jc w:val="right"/>
            </w:pPr>
            <w:r>
              <w:rPr>
                <w:rFonts w:ascii="Times New Roman" w:hAnsi="Times New Roman"/>
                <w:sz w:val="19"/>
              </w:rPr>
              <w:t>0.083400</w:t>
            </w:r>
          </w:p>
        </w:tc>
        <w:tc>
          <w:tcPr>
            <w:tcW w:type="dxa" w:w="1337"/>
            <w:shd w:fill="FFFFFF"/>
            <w:tcMar>
              <w:top w:w="60" w:type="dxa"/>
              <w:bottom w:w="60" w:type="dxa"/>
              <w:left w:w="80" w:type="dxa"/>
              <w:right w:w="80" w:type="dxa"/>
            </w:tcMar>
          </w:tcPr>
          <w:p>
            <w:pPr>
              <w:jc w:val="center"/>
            </w:pPr>
            <w:r>
              <w:rPr>
                <w:rFonts w:ascii="Times New Roman" w:hAnsi="Times New Roman"/>
                <w:sz w:val="19"/>
              </w:rPr>
              <w:t>14.20 ms (Inference)</w:t>
            </w:r>
          </w:p>
        </w:tc>
      </w:tr>
    </w:tbl>
    <w:p>
      <w:pPr>
        <w:spacing w:after="120"/>
      </w:pPr>
    </w:p>
    <w:p>
      <w:pPr>
        <w:spacing w:before="0" w:after="120" w:line="276" w:lineRule="auto"/>
        <w:jc w:val="both"/>
      </w:pPr>
      <w:r>
        <w:rPr>
          <w:rFonts w:ascii="Times New Roman" w:hAnsi="Times New Roman"/>
          <w:sz w:val="22"/>
        </w:rPr>
        <w:t>The empirical benchmark results demonstrate that XGBoost serves as an exceptionally robust production prediction model for tabular travel-time forecasting, achieving an R² score of 0.941577 (94.16% variance explained) with an MAE of 0.013201 and an ultra-fast average inference latency of 1.67 ms per feature vector query. While linear Ridge regression and sklearn Gradient Boosting demonstrated comparable accuracy, XGBoost offers superior generalization under missing feature values and non-linear feature interactions. The hybrid PyTorch DeepRoute Temporal-GAT deep learning model achieved 86.40% next-node prediction accuracy across graph edges, providing a specialized spatial neural network alternative for structural graph representation.</w:t>
      </w:r>
    </w:p>
    <w:p>
      <w:pPr>
        <w:spacing w:before="0" w:after="120" w:line="276" w:lineRule="auto"/>
        <w:jc w:val="both"/>
      </w:pPr>
      <w:r>
        <w:rPr>
          <w:rFonts w:ascii="Times New Roman" w:hAnsi="Times New Roman"/>
          <w:sz w:val="22"/>
        </w:rPr>
        <w:t>To test system execution under continuous learning conditions, test_feedback_loop.py was executed to evaluate the asynchronous data collection endpoint (/api/travel_data/collect). During simulated trip execution, a user trip spanning 570 km was initialized with an XGBoost travel-time prediction of 10.0 hours (36,000 seconds). Upon trip completion, the client device submitted an actual driven time of 11.25 hours (40,500 seconds), reflecting unanticipated heavy traffic congestion. The feedback handler successfully recorded the travel record into the SQLite database (data/deeproute.db) and triggered background accuracy model tracking. The feedback tracking system computed an average prediction error margin of 12.50% across recorded trips, storing calibration parameters to recursively refine future edge weight computations.</w:t>
      </w:r>
    </w:p>
    <w:p>
      <w:pPr>
        <w:keepNext/>
        <w:spacing w:before="360" w:after="120"/>
      </w:pPr>
      <w:r>
        <w:rPr>
          <w:rFonts w:ascii="Times New Roman" w:hAnsi="Times New Roman"/>
          <w:b/>
          <w:color w:val="1B365D"/>
          <w:sz w:val="28"/>
        </w:rPr>
        <w:t>IV. DeepRoute System Architecture &amp; Implementation Alignment</w:t>
      </w:r>
    </w:p>
    <w:p>
      <w:pPr>
        <w:spacing w:before="0" w:after="120" w:line="276" w:lineRule="auto"/>
        <w:jc w:val="both"/>
      </w:pPr>
      <w:r>
        <w:rPr>
          <w:rFonts w:ascii="Times New Roman" w:hAnsi="Times New Roman"/>
          <w:sz w:val="22"/>
        </w:rPr>
        <w:t>The DeepRoute framework is architected as an integrated, 9-module end-to-end intelligent routing system. The complete architectural blueprint, as depicted in the system architecture diagram (WhatsApp Image 2026-07-03 at 21.25.03.jpeg), aligns perfectly with the modular Python implementation residing within the project repository. Below is a rigorous, module-by-module breakdown mapping every visual component in the architecture diagram directly to its corresponding Python module in the repository:</w:t>
      </w:r>
    </w:p>
    <w:p>
      <w:pPr>
        <w:keepNext/>
        <w:spacing w:before="280" w:after="80"/>
      </w:pPr>
      <w:r>
        <w:rPr>
          <w:rFonts w:ascii="Times New Roman" w:hAnsi="Times New Roman"/>
          <w:b/>
          <w:color w:val="005691"/>
          <w:sz w:val="24"/>
        </w:rPr>
        <w:t>Module 1: External Data Sources</w:t>
      </w:r>
    </w:p>
    <w:p>
      <w:pPr>
        <w:spacing w:before="0" w:after="120" w:line="276" w:lineRule="auto"/>
        <w:jc w:val="both"/>
      </w:pPr>
      <w:r>
        <w:rPr>
          <w:rFonts w:ascii="Times New Roman" w:hAnsi="Times New Roman"/>
          <w:sz w:val="22"/>
        </w:rPr>
        <w:t>The External Data Sources layer ingests raw geospatial, meteorological, traffic, and user parameters required for predictive routing. Map and Road Network data is retrieved from OpenStreetMap (OSM) via the OSMnx library and parsed into directed graphs (app/data_pipeline/osm_loader.py). Live Traffic Data is gathered from external live traffic feeds and parsed by app/data_pipeline/traffic_loader.py. Weather Data (temperature, precipitation, wind speed, visibility) is fetched dynamically from the Open-Meteo REST API using app/data_pipeline/weather_loader.py. Historical Data (speeds, congestion profiles, travel records) and User &amp; Context Data (vehicle type, departure time, risk tolerance) are structured via app/schemas.py. Finally, Synthetic Data generation and augmentation are handled by app/data_pipeline/synthetic_data.py to bootstrap dataset creation with 28 realistic transportation variables.</w:t>
      </w:r>
    </w:p>
    <w:p>
      <w:pPr>
        <w:keepNext/>
        <w:spacing w:before="280" w:after="80"/>
      </w:pPr>
      <w:r>
        <w:rPr>
          <w:rFonts w:ascii="Times New Roman" w:hAnsi="Times New Roman"/>
          <w:b/>
          <w:color w:val="005691"/>
          <w:sz w:val="24"/>
        </w:rPr>
        <w:t>Module 2: Data Pipeline</w:t>
      </w:r>
    </w:p>
    <w:p>
      <w:pPr>
        <w:spacing w:before="0" w:after="120" w:line="276" w:lineRule="auto"/>
        <w:jc w:val="both"/>
      </w:pPr>
      <w:r>
        <w:rPr>
          <w:rFonts w:ascii="Times New Roman" w:hAnsi="Times New Roman"/>
          <w:sz w:val="22"/>
        </w:rPr>
        <w:t>The Data Pipeline layer orchestrates data ingestion, sanitization, and streaming update workers. The OSM Loader (app/data_pipeline/osm_loader.py) cleans road network topologies and extracts spatial geometry. The Traffic Loader (app/data_pipeline/traffic_loader.py) collects and parses link-level congestion metrics. The Weather Loader (app/data_pipeline/weather_loader.py) converts raw meteorological signals into normalized weather severity indices. Real-time background data ingestion is driven by the Traffic Collector and Live Traffic Loader modules (app/data_pipeline/traffic_collector.py), ensuring that edge weights reflect active traffic conditions.</w:t>
      </w:r>
    </w:p>
    <w:p>
      <w:pPr>
        <w:keepNext/>
        <w:spacing w:before="280" w:after="80"/>
      </w:pPr>
      <w:r>
        <w:rPr>
          <w:rFonts w:ascii="Times New Roman" w:hAnsi="Times New Roman"/>
          <w:b/>
          <w:color w:val="005691"/>
          <w:sz w:val="24"/>
        </w:rPr>
        <w:t>Module 3: Feature Engineering</w:t>
      </w:r>
    </w:p>
    <w:p>
      <w:pPr>
        <w:spacing w:before="0" w:after="120" w:line="276" w:lineRule="auto"/>
        <w:jc w:val="both"/>
      </w:pPr>
      <w:r>
        <w:rPr>
          <w:rFonts w:ascii="Times New Roman" w:hAnsi="Times New Roman"/>
          <w:sz w:val="22"/>
        </w:rPr>
        <w:t>The Feature Engineering layer converts raw heterogeneous inputs into a unified 27-dimensional feature vector. Temporal Features (app/features/temporal_features.py) encode hour of day and day of week using cyclical sine/cosine transformations alongside peak-hour and weekend flags. Spatial Features (app/features/spatial_features.py) extract road length, speed limits, lane count, elevation changes, and road hierarchy. Context Features (app/features/context_features.py) calculate traffic density, precipitation, road closures, accident proximity, and road risk scores. Regional Indian Calendar features incorporate festival severity, monsoon season indicators, market days, and school hours. Historical Profiles (app/features/historical_features.py) provide historical speed and congestion profiles. The Feature Builder (app/features/feature_builder.py) concatenates these components into the CombinedFeatureVector schema.</w:t>
      </w:r>
    </w:p>
    <w:p>
      <w:pPr>
        <w:keepNext/>
        <w:spacing w:before="280" w:after="80"/>
      </w:pPr>
      <w:r>
        <w:rPr>
          <w:rFonts w:ascii="Times New Roman" w:hAnsi="Times New Roman"/>
          <w:b/>
          <w:color w:val="005691"/>
          <w:sz w:val="24"/>
        </w:rPr>
        <w:t>Module 4: Prediction Engine</w:t>
      </w:r>
    </w:p>
    <w:p>
      <w:pPr>
        <w:spacing w:before="0" w:after="120" w:line="276" w:lineRule="auto"/>
        <w:jc w:val="both"/>
      </w:pPr>
      <w:r>
        <w:rPr>
          <w:rFonts w:ascii="Times New Roman" w:hAnsi="Times New Roman"/>
          <w:sz w:val="22"/>
        </w:rPr>
        <w:t>The Prediction Engine executes dual-model predictive inference to estimate dynamic edge travel multipliers. The Inference Engine (app/models/inference.py) intercepts incoming feature vectors and dispatches them to the selected prediction model. For tabular feature forecasting, the engine invokes the XGBoost Model (app/models/ml_models/train_xgb.py), configured with 700 decision trees. For complex spatial-temporal graph dependencies, the engine deploys the DeepRoute PyTorch Model (app/models/ml_models/deep_route_model.py, app/models/ml_models/train_deep_route.py), which combines a 2-layer Temporal Transformer with multi-head self-attention and a 2-layer Graph Attention Network (GAT) to model localized congestion propagation across road intersections.</w:t>
      </w:r>
    </w:p>
    <w:p>
      <w:pPr>
        <w:keepNext/>
        <w:spacing w:before="280" w:after="80"/>
      </w:pPr>
      <w:r>
        <w:rPr>
          <w:rFonts w:ascii="Times New Roman" w:hAnsi="Times New Roman"/>
          <w:b/>
          <w:color w:val="005691"/>
          <w:sz w:val="24"/>
        </w:rPr>
        <w:t>Module 5: Routing &amp; Optimization Engine</w:t>
      </w:r>
    </w:p>
    <w:p>
      <w:pPr>
        <w:spacing w:before="0" w:after="120" w:line="276" w:lineRule="auto"/>
        <w:jc w:val="both"/>
      </w:pPr>
      <w:r>
        <w:rPr>
          <w:rFonts w:ascii="Times New Roman" w:hAnsi="Times New Roman"/>
          <w:sz w:val="22"/>
        </w:rPr>
        <w:t>The Routing &amp; Optimization Engine translates travel predictions into optimal spatial navigation paths. Road Network Graph Construction is performed using NetworkX and OSRM distance matrices (app/routing/graph_builder.py). The Edge Weight Builder (app/routing/edge_weight_builder.py) computes dynamic edge costs by combining predicted travel factor, distance, congestion, risk, and weather penalties. The Multi-Objective Optimizer (app/routing/multi_objective_optimizer.py) evaluates candidate paths across 11 parameters using a Weighted Sum Model (WSM). The Monte Carlo Simulation engine (app/routing/monte_carlo_simulation.py) executes 1000 stochastic sampling iterations to compute Value-at-Risk (VaR) and Conditional Value-at-Risk (CVaR95) bounds. Finally, the Alternative Route Generator (app/routing/alternative_route_generator.py) applies penalty-based rerouting to yield Top-K diverse candidate routes.</w:t>
      </w:r>
    </w:p>
    <w:p>
      <w:pPr>
        <w:keepNext/>
        <w:spacing w:before="280" w:after="80"/>
      </w:pPr>
      <w:r>
        <w:rPr>
          <w:rFonts w:ascii="Times New Roman" w:hAnsi="Times New Roman"/>
          <w:b/>
          <w:color w:val="005691"/>
          <w:sz w:val="24"/>
        </w:rPr>
        <w:t>Module 6: Decision &amp; Recommendation Layer</w:t>
      </w:r>
    </w:p>
    <w:p>
      <w:pPr>
        <w:spacing w:before="0" w:after="120" w:line="276" w:lineRule="auto"/>
        <w:jc w:val="both"/>
      </w:pPr>
      <w:r>
        <w:rPr>
          <w:rFonts w:ascii="Times New Roman" w:hAnsi="Times New Roman"/>
          <w:sz w:val="22"/>
        </w:rPr>
        <w:t>The Decision &amp; Recommendation Layer synthesizes raw routing outputs into actionable user insights. Core calculation services (app/services/route_service.py, app/services/risk_service.py) compute Estimated Time of Arrival (ETA), Risk Assessment scores (accident, weather, congestion risks), Route Reliability scores, Fuel &amp; CO2 Emissions, and Prediction Confidence scores. The AI Recommendation Engine (app/agents/recommendation_agent.py) utilizes Pydantic AI agent logic to generate natural-language route explanations, departure recommendations, and risk warnings tailored to user preferences.</w:t>
      </w:r>
    </w:p>
    <w:p>
      <w:pPr>
        <w:keepNext/>
        <w:spacing w:before="280" w:after="80"/>
      </w:pPr>
      <w:r>
        <w:rPr>
          <w:rFonts w:ascii="Times New Roman" w:hAnsi="Times New Roman"/>
          <w:b/>
          <w:color w:val="005691"/>
          <w:sz w:val="24"/>
        </w:rPr>
        <w:t>Module 7: API Layer (FastAPI)</w:t>
      </w:r>
    </w:p>
    <w:p>
      <w:pPr>
        <w:spacing w:before="0" w:after="120" w:line="276" w:lineRule="auto"/>
        <w:jc w:val="both"/>
      </w:pPr>
      <w:r>
        <w:rPr>
          <w:rFonts w:ascii="Times New Roman" w:hAnsi="Times New Roman"/>
          <w:sz w:val="22"/>
        </w:rPr>
        <w:t>The API Layer provides an enterprise RESTful interface built with FastAPI (main.py, app/api/endpoints/). Key exposed endpoints include: POST /api/route (generates optimal route and alternatives), POST /api/forecast (predicts future travel time windows), POST /api/risk (assesses route safety risks), POST /api/recommend (delivers AI-generated route recommendations), POST /api/travel_data/collect (collects actual user trip feedback for continuous learning), GET /api/health (system health monitoring), POST /api/alternatives (explicit alternative route generation), and GET /api/models (lists registered prediction models from data/models/registry.json).</w:t>
      </w:r>
    </w:p>
    <w:p>
      <w:pPr>
        <w:keepNext/>
        <w:spacing w:before="280" w:after="80"/>
      </w:pPr>
      <w:r>
        <w:rPr>
          <w:rFonts w:ascii="Times New Roman" w:hAnsi="Times New Roman"/>
          <w:b/>
          <w:color w:val="005691"/>
          <w:sz w:val="24"/>
        </w:rPr>
        <w:t>Module 8: Frontend / Clients</w:t>
      </w:r>
    </w:p>
    <w:p>
      <w:pPr>
        <w:spacing w:before="0" w:after="120" w:line="276" w:lineRule="auto"/>
        <w:jc w:val="both"/>
      </w:pPr>
      <w:r>
        <w:rPr>
          <w:rFonts w:ascii="Times New Roman" w:hAnsi="Times New Roman"/>
          <w:sz w:val="22"/>
        </w:rPr>
        <w:t>The Frontend layer provides interactive visual interfaces for end users and mobility operators. An interactive Streamlit Dashboard (streamlit_app.py, dashboard/app.py) features Leaflet map routing, alternative route visualization, risk heatmaps, and travel time forecast charts. Web and mobile client applications consume the FastAPI REST service asynchronously to render navigation guidance.</w:t>
      </w:r>
    </w:p>
    <w:p>
      <w:pPr>
        <w:keepNext/>
        <w:spacing w:before="280" w:after="80"/>
      </w:pPr>
      <w:r>
        <w:rPr>
          <w:rFonts w:ascii="Times New Roman" w:hAnsi="Times New Roman"/>
          <w:b/>
          <w:color w:val="005691"/>
          <w:sz w:val="24"/>
        </w:rPr>
        <w:t>Module 9: Storage &amp; Model Management</w:t>
      </w:r>
    </w:p>
    <w:p>
      <w:pPr>
        <w:spacing w:before="0" w:after="120" w:line="276" w:lineRule="auto"/>
        <w:jc w:val="both"/>
      </w:pPr>
      <w:r>
        <w:rPr>
          <w:rFonts w:ascii="Times New Roman" w:hAnsi="Times New Roman"/>
          <w:sz w:val="22"/>
        </w:rPr>
        <w:t>The Storage &amp; Model Management layer governs data persistence, model versioning, and continuous system monitoring. Data Storage consists of SQLite database storage (data/deeproute.db, app/storage/database.py) and raw dataset storage (data/training_data.csv). The Model Registry (data/models/registry.json, app/models/model_registry.py) tracks trained model versions and metrics. Model Artifacts (data/models/xgboost.pkl, data/models/deep_route_model.pth) store serialized weights and encoders. Logs &amp; Monitoring tracks API telemetry, while the User Feedback DB records real-world travel feedback to recursively retrain models.</w:t>
      </w:r>
    </w:p>
    <w:p>
      <w:pPr>
        <w:keepNext/>
        <w:spacing w:before="360" w:after="120"/>
      </w:pPr>
      <w:r>
        <w:rPr>
          <w:rFonts w:ascii="Times New Roman" w:hAnsi="Times New Roman"/>
          <w:b/>
          <w:color w:val="1B365D"/>
          <w:sz w:val="28"/>
        </w:rPr>
        <w:t>References</w:t>
      </w:r>
    </w:p>
    <w:p>
      <w:pPr>
        <w:spacing w:before="40" w:after="80"/>
        <w:ind w:left="576" w:hanging="576"/>
      </w:pPr>
      <w:r>
        <w:rPr>
          <w:rFonts w:ascii="Times New Roman" w:hAnsi="Times New Roman"/>
          <w:sz w:val="20"/>
        </w:rPr>
        <w:t>[1] T. Chen and C. Guestrin, "XGBoost: A scalable tree boosting system," in Proc. ACM SIGKDD Int. Conf. Knowl. Discovery Data Mining (KDD), 2016, pp. 785–794.</w:t>
      </w:r>
    </w:p>
    <w:p>
      <w:pPr>
        <w:spacing w:before="40" w:after="80"/>
        <w:ind w:left="576" w:hanging="576"/>
      </w:pPr>
      <w:r>
        <w:rPr>
          <w:rFonts w:ascii="Times New Roman" w:hAnsi="Times New Roman"/>
          <w:sz w:val="20"/>
        </w:rPr>
        <w:t>[2] A. Vaswani, N. Shazeer, N. Parmar, J. Uszkoreit, L. Jones, A. N. Gomez, L. Kaiser, and I. Polosukhin, "Attention is all you need," in Adv. Neural Inf. Process. Syst. (NeurIPS), 2017, pp. 5998–6008.</w:t>
      </w:r>
    </w:p>
    <w:p>
      <w:pPr>
        <w:spacing w:before="40" w:after="80"/>
        <w:ind w:left="576" w:hanging="576"/>
      </w:pPr>
      <w:r>
        <w:rPr>
          <w:rFonts w:ascii="Times New Roman" w:hAnsi="Times New Roman"/>
          <w:sz w:val="20"/>
        </w:rPr>
        <w:t>[3] P. Veličković, G. Cucurull, A. Casanova, A. Romero, P. Liò, and Y. Bengio, "Graph attention networks," in Int. Conf. Learn. Represent. (ICLR), 2018.</w:t>
      </w:r>
    </w:p>
    <w:p>
      <w:pPr>
        <w:spacing w:before="40" w:after="80"/>
        <w:ind w:left="576" w:hanging="576"/>
      </w:pPr>
      <w:r>
        <w:rPr>
          <w:rFonts w:ascii="Times New Roman" w:hAnsi="Times New Roman"/>
          <w:sz w:val="20"/>
        </w:rPr>
        <w:t>[4] R. T. Rockafellar and S. Uryasev, "Optimization of conditional value-at-risk," Journal of Risk, vol. 2, pp. 21–42, 2000.</w:t>
      </w:r>
    </w:p>
    <w:p>
      <w:pPr>
        <w:spacing w:before="40" w:after="80"/>
        <w:ind w:left="576" w:hanging="576"/>
      </w:pPr>
      <w:r>
        <w:rPr>
          <w:rFonts w:ascii="Times New Roman" w:hAnsi="Times New Roman"/>
          <w:sz w:val="20"/>
        </w:rPr>
        <w:t>[5] J. Y. Yen, "Finding the K shortest loopless paths in a network," Management Science, vol. 17, no. 11, pp. 712–716, 1971.</w:t>
      </w:r>
    </w:p>
    <w:p>
      <w:pPr>
        <w:spacing w:before="40" w:after="80"/>
        <w:ind w:left="576" w:hanging="576"/>
      </w:pPr>
      <w:r>
        <w:rPr>
          <w:rFonts w:ascii="Times New Roman" w:hAnsi="Times New Roman"/>
          <w:sz w:val="20"/>
        </w:rPr>
        <w:t>[6] G. Boeing, "OSMnx: New methods for acquiring, constructing, analyzing, and visualizing complex street networks," Computers, Environment and Urban Systems, vol. 65, pp. 126–139,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