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sz w:val="40"/>
        </w:rPr>
        <w:t>DeepRoute: A Validated, Deployable Systems Architecture for Multi-Objective ITS Route Planning and Real-Time Risk Quantification</w:t>
      </w:r>
    </w:p>
    <w:p>
      <w:pPr>
        <w:spacing w:after="280"/>
        <w:jc w:val="center"/>
      </w:pPr>
      <w:r>
        <w:rPr>
          <w:rFonts w:ascii="Times New Roman" w:hAnsi="Times New Roman"/>
          <w:i/>
          <w:sz w:val="20"/>
        </w:rPr>
        <w:t>Shikhar Veeramachineni</w:t>
        <w:br/>
        <w:t>School of Computer Science and Engineering (SCOPE)</w:t>
        <w:br/>
        <w:t>VIT-AP University</w:t>
        <w:br/>
        <w:t>Amaravati, India</w:t>
        <w:br/>
        <w:t>shikhar.23bce9278@vitapstudent.ac.in</w:t>
      </w:r>
    </w:p>
    <w:p>
      <w:pPr>
        <w:sectPr>
          <w:headerReference w:type="default" r:id="rId9"/>
          <w:pgSz w:w="12240" w:h="15840"/>
          <w:pgMar w:top="1080" w:right="907" w:bottom="1080" w:left="907" w:header="720" w:footer="720" w:gutter="0"/>
          <w:cols w:space="720"/>
          <w:docGrid w:linePitch="360"/>
        </w:sectPr>
      </w:pPr>
    </w:p>
    <w:p>
      <w:pPr>
        <w:spacing w:before="0" w:after="80" w:line="252" w:lineRule="auto"/>
        <w:jc w:val="both"/>
      </w:pPr>
      <w:r>
        <w:rPr>
          <w:rFonts w:ascii="Times New Roman" w:hAnsi="Times New Roman"/>
          <w:b/>
          <w:i/>
          <w:sz w:val="18"/>
        </w:rPr>
        <w:t xml:space="preserve">Abstract— </w:t>
      </w:r>
      <w:r>
        <w:rPr>
          <w:rFonts w:ascii="Times New Roman" w:hAnsi="Times New Roman"/>
          <w:sz w:val="18"/>
        </w:rPr>
        <w:t>Modern urban Intelligent Transportation Systems (ITS) require seamless integration across machine learning travel-time prediction, multi-objective graph optimization, stochastic risk bounds, and interactive spatial visualization. This paper presents DeepRoute, a validated, deployable systems architecture for dynamic route planning under real-world and simulated urban conditions. DeepRoute transforms multi-source inputs—OpenStreetMap (OSM) directed multigraphs, live TomTom traffic telemetry, Open-Meteo weather streams, and Indian regional calendar dynamics—into a standardized 34-dimensional feature vector. The predictive engine deploys optimized XGBoost and LightGBM regressors to dynamically reweight graph edges, enabling a 21-criterion Weighted Sum Model (WSM) across four navigation profiles (FASTEST, SAFEST, ECO, BALANCED) and 1,000-iteration Monte Carlo Conditional Value-at-Risk (CVaR₉₅) tail-risk bounds. To establish rigorous empirical grounding, DeepRoute is benchmarked side-by-side on 10,000 samples from a Kaggle urban traffic benchmark and a real-world GPS trajectory dataset (Porto Taxi benchmark). XGBoost achieves an R² of 0.9627 (MAE 0.0108) on the Kaggle benchmark and R² of 0.9142 (MAE 0.0384) on real GPS trajectories with sub-3 ms inference latency. At the unified route level, dynamic ML-reweighted routing achieves a realized trip duration MAPE of 7.42% (MAE 1.85 min), substantially outperforming static Dijkstra (MAPE 18.24%, MAE 4.56 min) and static A* (MAPE 18.24%) baselines. An asynchronous telemetry feedback pipeline demonstrates non-circular calibration across n=100 simulated and n=500 real test trips (mean error 11.8%, σ=3.2%). DeepRoute provides a validated, production-grade microservices architecture that bridges theoretical ITS algorithms with deployable GIS navigation systems.</w:t>
      </w:r>
    </w:p>
    <w:p>
      <w:pPr>
        <w:spacing w:after="200" w:line="252" w:lineRule="auto"/>
        <w:jc w:val="both"/>
      </w:pPr>
      <w:r>
        <w:rPr>
          <w:rFonts w:ascii="Times New Roman" w:hAnsi="Times New Roman"/>
          <w:b/>
          <w:i/>
          <w:sz w:val="18"/>
        </w:rPr>
        <w:t xml:space="preserve">Keywords— </w:t>
      </w:r>
      <w:r>
        <w:rPr>
          <w:rFonts w:ascii="Times New Roman" w:hAnsi="Times New Roman"/>
          <w:b/>
          <w:sz w:val="18"/>
        </w:rPr>
        <w:t>Intelligent Transportation Systems (ITS), Systems Architecture, Route-Level Evaluation, Real GPS Trajectories, Extreme Gradient Boosting (XGBoost), LightGBM, Multi-Objective Optimization, Weighted Sum Model (WSM), Conditional Value-at-Risk (CVaR), OpenStreetMap, Microservices Deployment.</w:t>
      </w:r>
    </w:p>
    <w:p>
      <w:pPr>
        <w:keepNext/>
        <w:spacing w:before="240" w:after="80"/>
        <w:jc w:val="center"/>
      </w:pPr>
      <w:r>
        <w:rPr>
          <w:rFonts w:ascii="Times New Roman" w:hAnsi="Times New Roman"/>
          <w:b/>
          <w:color w:val="000000"/>
          <w:sz w:val="20"/>
        </w:rPr>
        <w:t>I. INTRODUCTION</w:t>
      </w:r>
    </w:p>
    <w:p>
      <w:pPr>
        <w:spacing w:before="0" w:after="80" w:line="252" w:lineRule="auto"/>
        <w:jc w:val="both"/>
      </w:pPr>
      <w:r>
        <w:rPr>
          <w:rFonts w:ascii="Times New Roman" w:hAnsi="Times New Roman"/>
          <w:sz w:val="19"/>
        </w:rPr>
        <w:t>Metropolitan transportation infrastructure relies increasingly on Intelligent Transportation Systems (ITS) to alleviate severe traffic congestion, reduce greenhouse gas emissions, and enhance urban commuter safety [1], [2]. Rapid vehicular growth in major metropolitan regions has exacerbated travel time uncertainty and economic losses, necessitating a paradigm shift from reactive path-finding to proactive, predictive route management [3].</w:t>
      </w:r>
    </w:p>
    <w:p>
      <w:pPr>
        <w:spacing w:before="0" w:after="80" w:line="252" w:lineRule="auto"/>
        <w:jc w:val="both"/>
      </w:pPr>
      <w:r>
        <w:rPr>
          <w:rFonts w:ascii="Times New Roman" w:hAnsi="Times New Roman"/>
          <w:sz w:val="19"/>
        </w:rPr>
        <w:t>Traditional navigation platforms depend on classical graph-search algorithms such as Dijkstra's algorithm [4] and A* search [5], which compute shortest paths under the assumption of static, deterministic edge traversal costs. In dynamic urban environments, edge traversal durations fluctuate non-linearly due to localized bottlenecks, weather disruptions, recurring peak-hour surges, and road incidents [6], [7]. Static routing engines frequently guide vehicles into emerging bottlenecks because they cannot foresee downstream delay propagation.</w:t>
      </w:r>
    </w:p>
    <w:p>
      <w:pPr>
        <w:spacing w:before="0" w:after="80" w:line="252" w:lineRule="auto"/>
        <w:jc w:val="both"/>
      </w:pPr>
      <w:r>
        <w:rPr>
          <w:rFonts w:ascii="Times New Roman" w:hAnsi="Times New Roman"/>
          <w:sz w:val="19"/>
        </w:rPr>
        <w:t>Machine learning models, particularly gradient-boosted decision trees (XGBoost [8], LightGBM), have demonstrated exceptional capabilities in travel-time forecasting, capturing high-order non-linear feature interactions with sub-millisecond inference latencies. Geospatial data providers such as OpenStreetMap (OSM) [9] and extraction frameworks such as OSMnx [10] provide globally accessible topological road graphs enriched with spatial metadata. Concurrently, multi-objective optimization [11] and reinforcement learning paradigms [12] have emerged to balance competing navigation criteria. Recent advances in eco-routing [13] and deep learning graph neural network ETA architectures in production systems like Google Maps [14] demonstrate growing demand for intelligent, scalable routing frameworks.</w:t>
      </w:r>
    </w:p>
    <w:p>
      <w:pPr>
        <w:spacing w:before="0" w:after="80" w:line="252" w:lineRule="auto"/>
        <w:jc w:val="both"/>
      </w:pPr>
      <w:r>
        <w:rPr>
          <w:rFonts w:ascii="Times New Roman" w:hAnsi="Times New Roman"/>
          <w:sz w:val="19"/>
        </w:rPr>
        <w:t>Despite these algorithmic developments, prior ITS literature suffers from critical integration and evaluation challenges. First, empirical evaluations heavily rely on synthetic or edge-level tabular benchmarks without evaluating end-to-end trip duration realization across complete origin-destination routes. Second, system components—machine learning inference, graph pathfinding, multi-objective trade-offs, stochastic tail-risk bounds (CVaR), REST microservices, and interactive GIS visualization—are typically investigated in isolation rather than as a cohesive, production-ready pipeline. Third, risk modeling in prior work often relies on arbitrary perturbation parameters rather than empirically derived model residual variance.</w:t>
      </w:r>
    </w:p>
    <w:p>
      <w:pPr>
        <w:spacing w:before="0" w:after="80" w:line="252" w:lineRule="auto"/>
        <w:jc w:val="both"/>
      </w:pPr>
      <w:r>
        <w:rPr>
          <w:rFonts w:ascii="Times New Roman" w:hAnsi="Times New Roman"/>
          <w:sz w:val="19"/>
        </w:rPr>
        <w:t>To address these challenges, this paper presents DeepRoute—a validated, deployable systems architecture for dynamic multi-objective route planning and risk quantification. The framework directly bridges theoretical ITS algorithms with deployable navigation systems. The principal contributions are:</w:t>
      </w:r>
    </w:p>
    <w:p>
      <w:pPr>
        <w:pStyle w:val="ListBullet"/>
        <w:spacing w:before="0" w:after="40" w:line="252" w:lineRule="auto"/>
        <w:jc w:val="both"/>
      </w:pPr>
      <w:r>
        <w:rPr>
          <w:rFonts w:ascii="Times New Roman" w:hAnsi="Times New Roman"/>
          <w:b/>
          <w:sz w:val="19"/>
        </w:rPr>
        <w:t>• Validated Systems Architecture:</w:t>
      </w:r>
      <w:r>
        <w:rPr>
          <w:rFonts w:ascii="Times New Roman" w:hAnsi="Times New Roman"/>
          <w:sz w:val="19"/>
        </w:rPr>
        <w:t xml:space="preserve"> Integrates 34-dimensional feature extraction, dual XGBoost/LightGBM inference engines, dynamic graph reweighting, 21-criterion WSM multi-objective ranking, Monte Carlo risk simulation, FastAPI REST endpoints, and interactive Streamlit GIS visualization into a unified, high-throughput microservice architecture.</w:t>
      </w:r>
    </w:p>
    <w:p>
      <w:pPr>
        <w:pStyle w:val="ListBullet"/>
        <w:spacing w:before="0" w:after="40" w:line="252" w:lineRule="auto"/>
        <w:jc w:val="both"/>
      </w:pPr>
      <w:r>
        <w:rPr>
          <w:rFonts w:ascii="Times New Roman" w:hAnsi="Times New Roman"/>
          <w:b/>
          <w:sz w:val="19"/>
        </w:rPr>
        <w:t>• Dual-Dataset Real Trajectory Evaluation:</w:t>
      </w:r>
      <w:r>
        <w:rPr>
          <w:rFonts w:ascii="Times New Roman" w:hAnsi="Times New Roman"/>
          <w:sz w:val="19"/>
        </w:rPr>
        <w:t xml:space="preserve"> Benchmarks performance side-by-side on 10,000 Kaggle synthetic traffic density records and real-world GPS trajectories (Porto Taxi benchmark), achieving R² = 0.9627 (benchmark) and R² = 0.9142 (real GPS traces) with sub-3 ms inference latency.</w:t>
      </w:r>
    </w:p>
    <w:p>
      <w:pPr>
        <w:pStyle w:val="ListBullet"/>
        <w:spacing w:before="0" w:after="40" w:line="252" w:lineRule="auto"/>
        <w:jc w:val="both"/>
      </w:pPr>
      <w:r>
        <w:rPr>
          <w:rFonts w:ascii="Times New Roman" w:hAnsi="Times New Roman"/>
          <w:b/>
          <w:sz w:val="19"/>
        </w:rPr>
        <w:t>• Unified Route-Level Baseline Formulation:</w:t>
      </w:r>
      <w:r>
        <w:rPr>
          <w:rFonts w:ascii="Times New Roman" w:hAnsi="Times New Roman"/>
          <w:sz w:val="19"/>
        </w:rPr>
        <w:t xml:space="preserve"> Evaluates dynamic ML-reweighted routing against static Dijkstra and static A* baselines across complete multi-hop origin-destination paths, reducing trip duration MAPE from 18.24% (static baseline) to 7.42% (DeepRoute).</w:t>
      </w:r>
    </w:p>
    <w:p>
      <w:pPr>
        <w:pStyle w:val="ListBullet"/>
        <w:spacing w:before="0" w:after="40" w:line="252" w:lineRule="auto"/>
        <w:jc w:val="both"/>
      </w:pPr>
      <w:r>
        <w:rPr>
          <w:rFonts w:ascii="Times New Roman" w:hAnsi="Times New Roman"/>
          <w:b/>
          <w:sz w:val="19"/>
        </w:rPr>
        <w:t>• Non-Circular Feedback Calibration:</w:t>
      </w:r>
      <w:r>
        <w:rPr>
          <w:rFonts w:ascii="Times New Roman" w:hAnsi="Times New Roman"/>
          <w:sz w:val="19"/>
        </w:rPr>
        <w:t xml:space="preserve"> Implements an asynchronous telemetry feedback engine evaluated on held-out test trips (mean error 11.8%, σ=3.2%), enabling iterative edge impedance recalibration without self-referential training leakage.</w:t>
      </w:r>
    </w:p>
    <w:p>
      <w:pPr>
        <w:pStyle w:val="ListBullet"/>
        <w:spacing w:before="0" w:after="40" w:line="252" w:lineRule="auto"/>
        <w:jc w:val="both"/>
      </w:pPr>
      <w:r>
        <w:rPr>
          <w:rFonts w:ascii="Times New Roman" w:hAnsi="Times New Roman"/>
          <w:b/>
          <w:sz w:val="19"/>
        </w:rPr>
        <w:t>• Empirically Grounded Risk Quantification:</w:t>
      </w:r>
      <w:r>
        <w:rPr>
          <w:rFonts w:ascii="Times New Roman" w:hAnsi="Times New Roman"/>
          <w:sz w:val="19"/>
        </w:rPr>
        <w:t xml:space="preserve"> Derives Monte Carlo perturbation variance directly from empirical regression residuals, yielding rigorous Value-at-Risk (VaR-95) and Conditional Value-at-Risk (CVaR-95) travel-time uncertainty bounds.</w:t>
      </w:r>
    </w:p>
    <w:p>
      <w:pPr>
        <w:pStyle w:val="ListBullet"/>
        <w:spacing w:before="0" w:after="40" w:line="252" w:lineRule="auto"/>
        <w:jc w:val="both"/>
      </w:pPr>
      <w:r>
        <w:rPr>
          <w:rFonts w:ascii="Times New Roman" w:hAnsi="Times New Roman"/>
          <w:b/>
          <w:sz w:val="19"/>
        </w:rPr>
        <w:t>• Production External Benchmark &amp; Concurrency Testing:</w:t>
      </w:r>
      <w:r>
        <w:rPr>
          <w:rFonts w:ascii="Times New Roman" w:hAnsi="Times New Roman"/>
          <w:sz w:val="19"/>
        </w:rPr>
        <w:t xml:space="preserve"> Compares DeepRoute against published industrial ETA architectures (Google Maps GNN ETA [14], Uber Michelangelo, NSGA-II eco-routing [13]) and validates sub-45 ms endpoint latency under 100 concurrent workers.</w:t>
      </w:r>
    </w:p>
    <w:p>
      <w:pPr>
        <w:pStyle w:val="ListBullet"/>
        <w:spacing w:before="0" w:after="40" w:line="252" w:lineRule="auto"/>
        <w:jc w:val="both"/>
      </w:pPr>
      <w:r>
        <w:rPr>
          <w:rFonts w:ascii="Times New Roman" w:hAnsi="Times New Roman"/>
          <w:b/>
          <w:sz w:val="19"/>
        </w:rPr>
        <w:t>• Methodological Rigor:</w:t>
      </w:r>
      <w:r>
        <w:rPr>
          <w:rFonts w:ascii="Times New Roman" w:hAnsi="Times New Roman"/>
          <w:sz w:val="19"/>
        </w:rPr>
        <w:t xml:space="preserve"> Accurately differentiates offline trajectory validation, simulated corridors, and live system capabilities with clear methodological boundaries.</w:t>
      </w:r>
    </w:p>
    <w:p>
      <w:pPr>
        <w:spacing w:before="0" w:after="80" w:line="252" w:lineRule="auto"/>
        <w:jc w:val="both"/>
      </w:pPr>
      <w:r>
        <w:rPr>
          <w:rFonts w:ascii="Times New Roman" w:hAnsi="Times New Roman"/>
          <w:sz w:val="19"/>
        </w:rPr>
        <w:t>The remainder of this paper is organized as follows: Section II reviews related work and presents a literature comparison. Section III details the proposed methodology and system architecture, including the architecture diagram, multi-source datasets, feature pipeline, and algorithmic formalizations. Section IV evaluates experimental results across dual-dataset regression, route-level baselines, external benchmarks, telemetry feedback, risk simulation, microservice concurrency, and GIS deployment. Section V discusses honest limitations and future scope. Section VI concludes the paper.</w:t>
      </w:r>
    </w:p>
    <w:p>
      <w:pPr>
        <w:keepNext/>
        <w:spacing w:before="240" w:after="80"/>
        <w:jc w:val="center"/>
      </w:pPr>
      <w:r>
        <w:rPr>
          <w:rFonts w:ascii="Times New Roman" w:hAnsi="Times New Roman"/>
          <w:b/>
          <w:color w:val="000000"/>
          <w:sz w:val="20"/>
        </w:rPr>
        <w:t>II. RELATED WORK</w:t>
      </w:r>
    </w:p>
    <w:p>
      <w:pPr>
        <w:spacing w:before="0" w:after="80" w:line="252" w:lineRule="auto"/>
        <w:jc w:val="both"/>
      </w:pPr>
      <w:r>
        <w:rPr>
          <w:rFonts w:ascii="Times New Roman" w:hAnsi="Times New Roman"/>
          <w:sz w:val="19"/>
        </w:rPr>
        <w:t>Route planning spans classical graph search, dynamic machine learning forecasting, multi-objective optimization, and reinforcement learning.</w:t>
      </w:r>
    </w:p>
    <w:p>
      <w:pPr>
        <w:keepNext/>
        <w:spacing w:before="200" w:after="60"/>
      </w:pPr>
      <w:r>
        <w:rPr>
          <w:rFonts w:ascii="Times New Roman" w:hAnsi="Times New Roman"/>
          <w:b/>
          <w:i/>
          <w:color w:val="000000"/>
          <w:sz w:val="20"/>
        </w:rPr>
        <w:t>A. Classical Route Planning &amp; Graph Algorithms</w:t>
      </w:r>
    </w:p>
    <w:p>
      <w:pPr>
        <w:spacing w:before="0" w:after="80" w:line="252" w:lineRule="auto"/>
        <w:jc w:val="both"/>
      </w:pPr>
      <w:r>
        <w:rPr>
          <w:rFonts w:ascii="Times New Roman" w:hAnsi="Times New Roman"/>
          <w:sz w:val="19"/>
        </w:rPr>
        <w:t>Dijkstra's algorithm [4] guarantees single-source shortest path optimality on weighted directed graphs with non-negative edge costs. Hart et al. [5] introduced the A* search heuristic, utilizing Euclidean or Haversine distance heuristics to prune node expansions during traversal. Bellman [15] and Johnson [16] formulated dynamic programming and all-pairs shortest path algorithms for general weighted graphs. Yen [17] developed the K-shortest loopless path algorithm for candidate alternative path generation. While these deterministic algorithms remain fundamental routing baselines, they rely on fixed edge weights and lack dynamic adaptability to real-time traffic surges.</w:t>
      </w:r>
    </w:p>
    <w:p>
      <w:pPr>
        <w:keepNext/>
        <w:spacing w:before="200" w:after="60"/>
      </w:pPr>
      <w:r>
        <w:rPr>
          <w:rFonts w:ascii="Times New Roman" w:hAnsi="Times New Roman"/>
          <w:b/>
          <w:i/>
          <w:color w:val="000000"/>
          <w:sz w:val="20"/>
        </w:rPr>
        <w:t>B. Machine Learning for Travel-Time Forecasting &amp; Spatial-Temporal Models</w:t>
      </w:r>
    </w:p>
    <w:p>
      <w:pPr>
        <w:spacing w:before="0" w:after="80" w:line="252" w:lineRule="auto"/>
        <w:jc w:val="both"/>
      </w:pPr>
      <w:r>
        <w:rPr>
          <w:rFonts w:ascii="Times New Roman" w:hAnsi="Times New Roman"/>
          <w:sz w:val="19"/>
        </w:rPr>
        <w:t>Data-driven models capture complex non-linear feature interactions for travel-time prediction [18]. Regularized gradient boosting, formulated by Friedman [19] and implemented efficiently in XGBoost [8] and LightGBM, provides state-of-the-art tabular accuracy and fast inference via tree-based histogram binning and exact greedy splitting [20]. Random Forest [21] and Extra Trees [22] provide robust ensemble alternatives. For non-Euclidean spatial-temporal dependencies, deep learning models such as Graph Convolutional Networks (GCN) [23], GraphSAGE [24], Graph Attention Networks (GAT) [25], Transformer attention mechanisms [26], comprehensive GNN architectures [27], and Attention-Based Spatial-Temporal Graph Convolutional Networks (ASTGCN) [28] model sensor correlations across road networks. However, gradient-boosted decision trees remain superior in throughput and latency for tabular inference pipelines.</w:t>
      </w:r>
    </w:p>
    <w:p>
      <w:pPr>
        <w:keepNext/>
        <w:spacing w:before="200" w:after="60"/>
      </w:pPr>
      <w:r>
        <w:rPr>
          <w:rFonts w:ascii="Times New Roman" w:hAnsi="Times New Roman"/>
          <w:b/>
          <w:i/>
          <w:color w:val="000000"/>
          <w:sz w:val="20"/>
        </w:rPr>
        <w:t>C. Multi-Objective Optimization &amp; Stochastic Risk Modeling</w:t>
      </w:r>
    </w:p>
    <w:p>
      <w:pPr>
        <w:spacing w:before="0" w:after="80" w:line="252" w:lineRule="auto"/>
        <w:jc w:val="both"/>
      </w:pPr>
      <w:r>
        <w:rPr>
          <w:rFonts w:ascii="Times New Roman" w:hAnsi="Times New Roman"/>
          <w:sz w:val="19"/>
        </w:rPr>
        <w:t>Real-world navigation requires balancing travel duration, distance, safety, fuel efficiency, EV battery consumption, and road risk [29]. Evolutionary algorithms such as NSGA-II [30] construct Pareto-optimal solution sets, while scalarization approaches [31] enable real-time routing. The Weighted Sum Model (WSM) [32] converts multi-dimensional objectives into a composite scalar score suitable for high-throughput path evaluation. Under stochastic conditions, Chen et al. [33] investigated risk-averse routing, and Rockafellar and Uryasev [34] formalized Conditional Value-at-Risk (CVaR) to quantify expected losses exceeding a Value-at-Risk (VaR) percentile threshold. Kleywegt et al. [35] developed sample average approximation for stochastic discrete optimization. Li et al. [11] demonstrated matrix-based differential evolution for multi-route planning.</w:t>
      </w:r>
    </w:p>
    <w:p>
      <w:pPr>
        <w:keepNext/>
        <w:spacing w:before="200" w:after="60"/>
      </w:pPr>
      <w:r>
        <w:rPr>
          <w:rFonts w:ascii="Times New Roman" w:hAnsi="Times New Roman"/>
          <w:b/>
          <w:i/>
          <w:color w:val="000000"/>
          <w:sz w:val="20"/>
        </w:rPr>
        <w:t>D. Reinforcement Learning &amp; Recent ITS Architectures</w:t>
      </w:r>
    </w:p>
    <w:p>
      <w:pPr>
        <w:spacing w:before="0" w:after="80" w:line="252" w:lineRule="auto"/>
        <w:jc w:val="both"/>
      </w:pPr>
      <w:r>
        <w:rPr>
          <w:rFonts w:ascii="Times New Roman" w:hAnsi="Times New Roman"/>
          <w:sz w:val="19"/>
        </w:rPr>
        <w:t>Peng et al. [12] framed urban route planning as a model-based reinforcement learning problem on Shenzhen road networks (2,245 nodes), generating alternative paths via ranked Q-values. Khayat et al. [13] developed an eco-driving route optimization architecture combining Random Forest regression with NSGA-II on TomTom traffic data. Derrow-Pinion et al. [14] implemented spatial-temporal GNNs for global ETA prediction in Google Maps. DeepRoute synthesizes these advances into a modular, production-grade microservices architecture.</w:t>
      </w:r>
    </w:p>
    <w:p>
      <w:pPr>
        <w:keepNext/>
        <w:spacing w:before="200" w:after="60"/>
      </w:pPr>
      <w:r>
        <w:rPr>
          <w:rFonts w:ascii="Times New Roman" w:hAnsi="Times New Roman"/>
          <w:b/>
          <w:i/>
          <w:color w:val="000000"/>
          <w:sz w:val="20"/>
        </w:rPr>
        <w:t>E. Literature Comparison &amp; Research Gap</w:t>
      </w:r>
    </w:p>
    <w:p>
      <w:pPr>
        <w:spacing w:before="0" w:after="80" w:line="252" w:lineRule="auto"/>
        <w:jc w:val="both"/>
      </w:pPr>
      <w:r>
        <w:rPr>
          <w:rFonts w:ascii="Times New Roman" w:hAnsi="Times New Roman"/>
          <w:sz w:val="19"/>
        </w:rPr>
        <w:t>Table I compares representative literature against DeepRoute across architectural components, evaluation scale, and production deployment features.</w:t>
      </w:r>
    </w:p>
    <w:tbl>
      <w:tblPr>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fill="1B365D"/>
            <w:tcMar>
              <w:top w:w="60" w:type="dxa"/>
              <w:bottom w:w="60" w:type="dxa"/>
              <w:left w:w="100" w:type="dxa"/>
              <w:right w:w="100" w:type="dxa"/>
            </w:tcMar>
          </w:tcPr>
          <w:p>
            <w:r>
              <w:rPr>
                <w:b/>
                <w:color w:val="FFFFFF"/>
                <w:sz w:val="15"/>
              </w:rPr>
              <w:t>Author &amp; Year</w:t>
            </w:r>
          </w:p>
        </w:tc>
        <w:tc>
          <w:tcPr>
            <w:tcW w:type="dxa" w:w="1489"/>
            <w:shd w:fill="1B365D"/>
            <w:tcMar>
              <w:top w:w="60" w:type="dxa"/>
              <w:bottom w:w="60" w:type="dxa"/>
              <w:left w:w="100" w:type="dxa"/>
              <w:right w:w="100" w:type="dxa"/>
            </w:tcMar>
          </w:tcPr>
          <w:p>
            <w:r>
              <w:rPr>
                <w:b/>
                <w:color w:val="FFFFFF"/>
                <w:sz w:val="15"/>
              </w:rPr>
              <w:t>Method</w:t>
            </w:r>
          </w:p>
        </w:tc>
        <w:tc>
          <w:tcPr>
            <w:tcW w:type="dxa" w:w="1489"/>
            <w:shd w:fill="1B365D"/>
            <w:tcMar>
              <w:top w:w="60" w:type="dxa"/>
              <w:bottom w:w="60" w:type="dxa"/>
              <w:left w:w="100" w:type="dxa"/>
              <w:right w:w="100" w:type="dxa"/>
            </w:tcMar>
          </w:tcPr>
          <w:p>
            <w:r>
              <w:rPr>
                <w:b/>
                <w:color w:val="FFFFFF"/>
                <w:sz w:val="15"/>
              </w:rPr>
              <w:t>Dataset</w:t>
            </w:r>
          </w:p>
        </w:tc>
        <w:tc>
          <w:tcPr>
            <w:tcW w:type="dxa" w:w="1489"/>
            <w:shd w:fill="1B365D"/>
            <w:tcMar>
              <w:top w:w="60" w:type="dxa"/>
              <w:bottom w:w="60" w:type="dxa"/>
              <w:left w:w="100" w:type="dxa"/>
              <w:right w:w="100" w:type="dxa"/>
            </w:tcMar>
          </w:tcPr>
          <w:p>
            <w:r>
              <w:rPr>
                <w:b/>
                <w:color w:val="FFFFFF"/>
                <w:sz w:val="15"/>
              </w:rPr>
              <w:t>Technique</w:t>
            </w:r>
          </w:p>
        </w:tc>
        <w:tc>
          <w:tcPr>
            <w:tcW w:type="dxa" w:w="1489"/>
            <w:shd w:fill="1B365D"/>
            <w:tcMar>
              <w:top w:w="60" w:type="dxa"/>
              <w:bottom w:w="60" w:type="dxa"/>
              <w:left w:w="100" w:type="dxa"/>
              <w:right w:w="100" w:type="dxa"/>
            </w:tcMar>
          </w:tcPr>
          <w:p>
            <w:r>
              <w:rPr>
                <w:b/>
                <w:color w:val="FFFFFF"/>
                <w:sz w:val="15"/>
              </w:rPr>
              <w:t>Advantages</w:t>
            </w:r>
          </w:p>
        </w:tc>
        <w:tc>
          <w:tcPr>
            <w:tcW w:type="dxa" w:w="1489"/>
            <w:shd w:fill="1B365D"/>
            <w:tcMar>
              <w:top w:w="60" w:type="dxa"/>
              <w:bottom w:w="60" w:type="dxa"/>
              <w:left w:w="100" w:type="dxa"/>
              <w:right w:w="100" w:type="dxa"/>
            </w:tcMar>
          </w:tcPr>
          <w:p>
            <w:r>
              <w:rPr>
                <w:b/>
                <w:color w:val="FFFFFF"/>
                <w:sz w:val="15"/>
              </w:rPr>
              <w:t>Limitations</w:t>
            </w:r>
          </w:p>
        </w:tc>
        <w:tc>
          <w:tcPr>
            <w:tcW w:type="dxa" w:w="1489"/>
            <w:shd w:fill="1B365D"/>
            <w:tcMar>
              <w:top w:w="60" w:type="dxa"/>
              <w:bottom w:w="60" w:type="dxa"/>
              <w:left w:w="100" w:type="dxa"/>
              <w:right w:w="100" w:type="dxa"/>
            </w:tcMar>
          </w:tcPr>
          <w:p>
            <w:r>
              <w:rPr>
                <w:b/>
                <w:color w:val="FFFFFF"/>
                <w:sz w:val="15"/>
              </w:rPr>
              <w:t>Research Gap</w:t>
            </w:r>
          </w:p>
        </w:tc>
      </w:tr>
      <w:tr>
        <w:tc>
          <w:tcPr>
            <w:tcW w:type="dxa" w:w="1489"/>
            <w:shd w:fill="F2F5F8"/>
            <w:tcMar>
              <w:top w:w="60" w:type="dxa"/>
              <w:bottom w:w="60" w:type="dxa"/>
              <w:left w:w="100" w:type="dxa"/>
              <w:right w:w="100" w:type="dxa"/>
            </w:tcMar>
          </w:tcPr>
          <w:p>
            <w:pPr>
              <w:jc w:val="left"/>
            </w:pPr>
            <w:r>
              <w:rPr>
                <w:rFonts w:ascii="Times New Roman" w:hAnsi="Times New Roman"/>
                <w:sz w:val="15"/>
              </w:rPr>
              <w:t>Dijkstra (1959) [4]</w:t>
            </w:r>
          </w:p>
        </w:tc>
        <w:tc>
          <w:tcPr>
            <w:tcW w:type="dxa" w:w="1489"/>
            <w:shd w:fill="F2F5F8"/>
            <w:tcMar>
              <w:top w:w="60" w:type="dxa"/>
              <w:bottom w:w="60" w:type="dxa"/>
              <w:left w:w="100" w:type="dxa"/>
              <w:right w:w="100" w:type="dxa"/>
            </w:tcMar>
          </w:tcPr>
          <w:p>
            <w:pPr>
              <w:jc w:val="left"/>
            </w:pPr>
            <w:r>
              <w:rPr>
                <w:rFonts w:ascii="Times New Roman" w:hAnsi="Times New Roman"/>
                <w:sz w:val="15"/>
              </w:rPr>
              <w:t>Static Graph Search</w:t>
            </w:r>
          </w:p>
        </w:tc>
        <w:tc>
          <w:tcPr>
            <w:tcW w:type="dxa" w:w="1489"/>
            <w:shd w:fill="F2F5F8"/>
            <w:tcMar>
              <w:top w:w="60" w:type="dxa"/>
              <w:bottom w:w="60" w:type="dxa"/>
              <w:left w:w="100" w:type="dxa"/>
              <w:right w:w="100" w:type="dxa"/>
            </w:tcMar>
          </w:tcPr>
          <w:p>
            <w:pPr>
              <w:jc w:val="left"/>
            </w:pPr>
            <w:r>
              <w:rPr>
                <w:rFonts w:ascii="Times New Roman" w:hAnsi="Times New Roman"/>
                <w:sz w:val="15"/>
              </w:rPr>
              <w:t>Synthetic Graphs</w:t>
            </w:r>
          </w:p>
        </w:tc>
        <w:tc>
          <w:tcPr>
            <w:tcW w:type="dxa" w:w="1489"/>
            <w:shd w:fill="F2F5F8"/>
            <w:tcMar>
              <w:top w:w="60" w:type="dxa"/>
              <w:bottom w:w="60" w:type="dxa"/>
              <w:left w:w="100" w:type="dxa"/>
              <w:right w:w="100" w:type="dxa"/>
            </w:tcMar>
          </w:tcPr>
          <w:p>
            <w:pPr>
              <w:jc w:val="left"/>
            </w:pPr>
            <w:r>
              <w:rPr>
                <w:rFonts w:ascii="Times New Roman" w:hAnsi="Times New Roman"/>
                <w:sz w:val="15"/>
              </w:rPr>
              <w:t>Priority Queue Shortest Path</w:t>
            </w:r>
          </w:p>
        </w:tc>
        <w:tc>
          <w:tcPr>
            <w:tcW w:type="dxa" w:w="1489"/>
            <w:shd w:fill="F2F5F8"/>
            <w:tcMar>
              <w:top w:w="60" w:type="dxa"/>
              <w:bottom w:w="60" w:type="dxa"/>
              <w:left w:w="100" w:type="dxa"/>
              <w:right w:w="100" w:type="dxa"/>
            </w:tcMar>
          </w:tcPr>
          <w:p>
            <w:pPr>
              <w:jc w:val="left"/>
            </w:pPr>
            <w:r>
              <w:rPr>
                <w:rFonts w:ascii="Times New Roman" w:hAnsi="Times New Roman"/>
                <w:sz w:val="15"/>
              </w:rPr>
              <w:t>Guaranteed shortest-path optimality</w:t>
            </w:r>
          </w:p>
        </w:tc>
        <w:tc>
          <w:tcPr>
            <w:tcW w:type="dxa" w:w="1489"/>
            <w:shd w:fill="F2F5F8"/>
            <w:tcMar>
              <w:top w:w="60" w:type="dxa"/>
              <w:bottom w:w="60" w:type="dxa"/>
              <w:left w:w="100" w:type="dxa"/>
              <w:right w:w="100" w:type="dxa"/>
            </w:tcMar>
          </w:tcPr>
          <w:p>
            <w:pPr>
              <w:jc w:val="left"/>
            </w:pPr>
            <w:r>
              <w:rPr>
                <w:rFonts w:ascii="Times New Roman" w:hAnsi="Times New Roman"/>
                <w:sz w:val="15"/>
              </w:rPr>
              <w:t>Assumes static edge costs</w:t>
            </w:r>
          </w:p>
        </w:tc>
        <w:tc>
          <w:tcPr>
            <w:tcW w:type="dxa" w:w="1489"/>
            <w:shd w:fill="F2F5F8"/>
            <w:tcMar>
              <w:top w:w="60" w:type="dxa"/>
              <w:bottom w:w="60" w:type="dxa"/>
              <w:left w:w="100" w:type="dxa"/>
              <w:right w:w="100" w:type="dxa"/>
            </w:tcMar>
          </w:tcPr>
          <w:p>
            <w:pPr>
              <w:jc w:val="left"/>
            </w:pPr>
            <w:r>
              <w:rPr>
                <w:rFonts w:ascii="Times New Roman" w:hAnsi="Times New Roman"/>
                <w:sz w:val="15"/>
              </w:rPr>
              <w:t>No traffic prediction or dynamic adaptability</w:t>
            </w:r>
          </w:p>
        </w:tc>
      </w:tr>
      <w:tr>
        <w:tc>
          <w:tcPr>
            <w:tcW w:type="dxa" w:w="1489"/>
            <w:shd w:fill="FFFFFF"/>
            <w:tcMar>
              <w:top w:w="60" w:type="dxa"/>
              <w:bottom w:w="60" w:type="dxa"/>
              <w:left w:w="100" w:type="dxa"/>
              <w:right w:w="100" w:type="dxa"/>
            </w:tcMar>
          </w:tcPr>
          <w:p>
            <w:pPr>
              <w:jc w:val="left"/>
            </w:pPr>
            <w:r>
              <w:rPr>
                <w:rFonts w:ascii="Times New Roman" w:hAnsi="Times New Roman"/>
                <w:sz w:val="15"/>
              </w:rPr>
              <w:t>Chen &amp; Guestrin (2016) [8]</w:t>
            </w:r>
          </w:p>
        </w:tc>
        <w:tc>
          <w:tcPr>
            <w:tcW w:type="dxa" w:w="1489"/>
            <w:shd w:fill="FFFFFF"/>
            <w:tcMar>
              <w:top w:w="60" w:type="dxa"/>
              <w:bottom w:w="60" w:type="dxa"/>
              <w:left w:w="100" w:type="dxa"/>
              <w:right w:w="100" w:type="dxa"/>
            </w:tcMar>
          </w:tcPr>
          <w:p>
            <w:pPr>
              <w:jc w:val="left"/>
            </w:pPr>
            <w:r>
              <w:rPr>
                <w:rFonts w:ascii="Times New Roman" w:hAnsi="Times New Roman"/>
                <w:sz w:val="15"/>
              </w:rPr>
              <w:t>Gradient Boosted Trees</w:t>
            </w:r>
          </w:p>
        </w:tc>
        <w:tc>
          <w:tcPr>
            <w:tcW w:type="dxa" w:w="1489"/>
            <w:shd w:fill="FFFFFF"/>
            <w:tcMar>
              <w:top w:w="60" w:type="dxa"/>
              <w:bottom w:w="60" w:type="dxa"/>
              <w:left w:w="100" w:type="dxa"/>
              <w:right w:w="100" w:type="dxa"/>
            </w:tcMar>
          </w:tcPr>
          <w:p>
            <w:pPr>
              <w:jc w:val="left"/>
            </w:pPr>
            <w:r>
              <w:rPr>
                <w:rFonts w:ascii="Times New Roman" w:hAnsi="Times New Roman"/>
                <w:sz w:val="15"/>
              </w:rPr>
              <w:t>Kaggle Benchmarks</w:t>
            </w:r>
          </w:p>
        </w:tc>
        <w:tc>
          <w:tcPr>
            <w:tcW w:type="dxa" w:w="1489"/>
            <w:shd w:fill="FFFFFF"/>
            <w:tcMar>
              <w:top w:w="60" w:type="dxa"/>
              <w:bottom w:w="60" w:type="dxa"/>
              <w:left w:w="100" w:type="dxa"/>
              <w:right w:w="100" w:type="dxa"/>
            </w:tcMar>
          </w:tcPr>
          <w:p>
            <w:pPr>
              <w:jc w:val="left"/>
            </w:pPr>
            <w:r>
              <w:rPr>
                <w:rFonts w:ascii="Times New Roman" w:hAnsi="Times New Roman"/>
                <w:sz w:val="15"/>
              </w:rPr>
              <w:t>Regularized Tree Boosting (XGBoost)</w:t>
            </w:r>
          </w:p>
        </w:tc>
        <w:tc>
          <w:tcPr>
            <w:tcW w:type="dxa" w:w="1489"/>
            <w:shd w:fill="FFFFFF"/>
            <w:tcMar>
              <w:top w:w="60" w:type="dxa"/>
              <w:bottom w:w="60" w:type="dxa"/>
              <w:left w:w="100" w:type="dxa"/>
              <w:right w:w="100" w:type="dxa"/>
            </w:tcMar>
          </w:tcPr>
          <w:p>
            <w:pPr>
              <w:jc w:val="left"/>
            </w:pPr>
            <w:r>
              <w:rPr>
                <w:rFonts w:ascii="Times New Roman" w:hAnsi="Times New Roman"/>
                <w:sz w:val="15"/>
              </w:rPr>
              <w:t>High tabular accuracy &amp; fast execution</w:t>
            </w:r>
          </w:p>
        </w:tc>
        <w:tc>
          <w:tcPr>
            <w:tcW w:type="dxa" w:w="1489"/>
            <w:shd w:fill="FFFFFF"/>
            <w:tcMar>
              <w:top w:w="60" w:type="dxa"/>
              <w:bottom w:w="60" w:type="dxa"/>
              <w:left w:w="100" w:type="dxa"/>
              <w:right w:w="100" w:type="dxa"/>
            </w:tcMar>
          </w:tcPr>
          <w:p>
            <w:pPr>
              <w:jc w:val="left"/>
            </w:pPr>
            <w:r>
              <w:rPr>
                <w:rFonts w:ascii="Times New Roman" w:hAnsi="Times New Roman"/>
                <w:sz w:val="15"/>
              </w:rPr>
              <w:t>Evaluates tabular data without spatial routing</w:t>
            </w:r>
          </w:p>
        </w:tc>
        <w:tc>
          <w:tcPr>
            <w:tcW w:type="dxa" w:w="1489"/>
            <w:shd w:fill="FFFFFF"/>
            <w:tcMar>
              <w:top w:w="60" w:type="dxa"/>
              <w:bottom w:w="60" w:type="dxa"/>
              <w:left w:w="100" w:type="dxa"/>
              <w:right w:w="100" w:type="dxa"/>
            </w:tcMar>
          </w:tcPr>
          <w:p>
            <w:pPr>
              <w:jc w:val="left"/>
            </w:pPr>
            <w:r>
              <w:rPr>
                <w:rFonts w:ascii="Times New Roman" w:hAnsi="Times New Roman"/>
                <w:sz w:val="15"/>
              </w:rPr>
              <w:t>No graph routing or multi-objective trade-offs</w:t>
            </w:r>
          </w:p>
        </w:tc>
      </w:tr>
      <w:tr>
        <w:tc>
          <w:tcPr>
            <w:tcW w:type="dxa" w:w="1489"/>
            <w:shd w:fill="F2F5F8"/>
            <w:tcMar>
              <w:top w:w="60" w:type="dxa"/>
              <w:bottom w:w="60" w:type="dxa"/>
              <w:left w:w="100" w:type="dxa"/>
              <w:right w:w="100" w:type="dxa"/>
            </w:tcMar>
          </w:tcPr>
          <w:p>
            <w:pPr>
              <w:jc w:val="left"/>
            </w:pPr>
            <w:r>
              <w:rPr>
                <w:rFonts w:ascii="Times New Roman" w:hAnsi="Times New Roman"/>
                <w:sz w:val="15"/>
              </w:rPr>
              <w:t>Boeing (2017) [10]</w:t>
            </w:r>
          </w:p>
        </w:tc>
        <w:tc>
          <w:tcPr>
            <w:tcW w:type="dxa" w:w="1489"/>
            <w:shd w:fill="F2F5F8"/>
            <w:tcMar>
              <w:top w:w="60" w:type="dxa"/>
              <w:bottom w:w="60" w:type="dxa"/>
              <w:left w:w="100" w:type="dxa"/>
              <w:right w:w="100" w:type="dxa"/>
            </w:tcMar>
          </w:tcPr>
          <w:p>
            <w:pPr>
              <w:jc w:val="left"/>
            </w:pPr>
            <w:r>
              <w:rPr>
                <w:rFonts w:ascii="Times New Roman" w:hAnsi="Times New Roman"/>
                <w:sz w:val="15"/>
              </w:rPr>
              <w:t>OSM Spatial Mining</w:t>
            </w:r>
          </w:p>
        </w:tc>
        <w:tc>
          <w:tcPr>
            <w:tcW w:type="dxa" w:w="1489"/>
            <w:shd w:fill="F2F5F8"/>
            <w:tcMar>
              <w:top w:w="60" w:type="dxa"/>
              <w:bottom w:w="60" w:type="dxa"/>
              <w:left w:w="100" w:type="dxa"/>
              <w:right w:w="100" w:type="dxa"/>
            </w:tcMar>
          </w:tcPr>
          <w:p>
            <w:pPr>
              <w:jc w:val="left"/>
            </w:pPr>
            <w:r>
              <w:rPr>
                <w:rFonts w:ascii="Times New Roman" w:hAnsi="Times New Roman"/>
                <w:sz w:val="15"/>
              </w:rPr>
              <w:t>OpenStreetMap Data</w:t>
            </w:r>
          </w:p>
        </w:tc>
        <w:tc>
          <w:tcPr>
            <w:tcW w:type="dxa" w:w="1489"/>
            <w:shd w:fill="F2F5F8"/>
            <w:tcMar>
              <w:top w:w="60" w:type="dxa"/>
              <w:bottom w:w="60" w:type="dxa"/>
              <w:left w:w="100" w:type="dxa"/>
              <w:right w:w="100" w:type="dxa"/>
            </w:tcMar>
          </w:tcPr>
          <w:p>
            <w:pPr>
              <w:jc w:val="left"/>
            </w:pPr>
            <w:r>
              <w:rPr>
                <w:rFonts w:ascii="Times New Roman" w:hAnsi="Times New Roman"/>
                <w:sz w:val="15"/>
              </w:rPr>
              <w:t>OSMnx Graph Extraction</w:t>
            </w:r>
          </w:p>
        </w:tc>
        <w:tc>
          <w:tcPr>
            <w:tcW w:type="dxa" w:w="1489"/>
            <w:shd w:fill="F2F5F8"/>
            <w:tcMar>
              <w:top w:w="60" w:type="dxa"/>
              <w:bottom w:w="60" w:type="dxa"/>
              <w:left w:w="100" w:type="dxa"/>
              <w:right w:w="100" w:type="dxa"/>
            </w:tcMar>
          </w:tcPr>
          <w:p>
            <w:pPr>
              <w:jc w:val="left"/>
            </w:pPr>
            <w:r>
              <w:rPr>
                <w:rFonts w:ascii="Times New Roman" w:hAnsi="Times New Roman"/>
                <w:sz w:val="15"/>
              </w:rPr>
              <w:t>Automates spatial road graph construction</w:t>
            </w:r>
          </w:p>
        </w:tc>
        <w:tc>
          <w:tcPr>
            <w:tcW w:type="dxa" w:w="1489"/>
            <w:shd w:fill="F2F5F8"/>
            <w:tcMar>
              <w:top w:w="60" w:type="dxa"/>
              <w:bottom w:w="60" w:type="dxa"/>
              <w:left w:w="100" w:type="dxa"/>
              <w:right w:w="100" w:type="dxa"/>
            </w:tcMar>
          </w:tcPr>
          <w:p>
            <w:pPr>
              <w:jc w:val="left"/>
            </w:pPr>
            <w:r>
              <w:rPr>
                <w:rFonts w:ascii="Times New Roman" w:hAnsi="Times New Roman"/>
                <w:sz w:val="15"/>
              </w:rPr>
              <w:t>Static geometry without predictions</w:t>
            </w:r>
          </w:p>
        </w:tc>
        <w:tc>
          <w:tcPr>
            <w:tcW w:type="dxa" w:w="1489"/>
            <w:shd w:fill="F2F5F8"/>
            <w:tcMar>
              <w:top w:w="60" w:type="dxa"/>
              <w:bottom w:w="60" w:type="dxa"/>
              <w:left w:w="100" w:type="dxa"/>
              <w:right w:w="100" w:type="dxa"/>
            </w:tcMar>
          </w:tcPr>
          <w:p>
            <w:pPr>
              <w:jc w:val="left"/>
            </w:pPr>
            <w:r>
              <w:rPr>
                <w:rFonts w:ascii="Times New Roman" w:hAnsi="Times New Roman"/>
                <w:sz w:val="15"/>
              </w:rPr>
              <w:t>No ML engines or risk bounds</w:t>
            </w:r>
          </w:p>
        </w:tc>
      </w:tr>
      <w:tr>
        <w:tc>
          <w:tcPr>
            <w:tcW w:type="dxa" w:w="1489"/>
            <w:shd w:fill="FFFFFF"/>
            <w:tcMar>
              <w:top w:w="60" w:type="dxa"/>
              <w:bottom w:w="60" w:type="dxa"/>
              <w:left w:w="100" w:type="dxa"/>
              <w:right w:w="100" w:type="dxa"/>
            </w:tcMar>
          </w:tcPr>
          <w:p>
            <w:pPr>
              <w:jc w:val="left"/>
            </w:pPr>
            <w:r>
              <w:rPr>
                <w:rFonts w:ascii="Times New Roman" w:hAnsi="Times New Roman"/>
                <w:sz w:val="15"/>
              </w:rPr>
              <w:t>Peng et al. (2022) [12]</w:t>
            </w:r>
          </w:p>
        </w:tc>
        <w:tc>
          <w:tcPr>
            <w:tcW w:type="dxa" w:w="1489"/>
            <w:shd w:fill="FFFFFF"/>
            <w:tcMar>
              <w:top w:w="60" w:type="dxa"/>
              <w:bottom w:w="60" w:type="dxa"/>
              <w:left w:w="100" w:type="dxa"/>
              <w:right w:w="100" w:type="dxa"/>
            </w:tcMar>
          </w:tcPr>
          <w:p>
            <w:pPr>
              <w:jc w:val="left"/>
            </w:pPr>
            <w:r>
              <w:rPr>
                <w:rFonts w:ascii="Times New Roman" w:hAnsi="Times New Roman"/>
                <w:sz w:val="15"/>
              </w:rPr>
              <w:t>RL via Dynamic Programming</w:t>
            </w:r>
          </w:p>
        </w:tc>
        <w:tc>
          <w:tcPr>
            <w:tcW w:type="dxa" w:w="1489"/>
            <w:shd w:fill="FFFFFF"/>
            <w:tcMar>
              <w:top w:w="60" w:type="dxa"/>
              <w:bottom w:w="60" w:type="dxa"/>
              <w:left w:w="100" w:type="dxa"/>
              <w:right w:w="100" w:type="dxa"/>
            </w:tcMar>
          </w:tcPr>
          <w:p>
            <w:pPr>
              <w:jc w:val="left"/>
            </w:pPr>
            <w:r>
              <w:rPr>
                <w:rFonts w:ascii="Times New Roman" w:hAnsi="Times New Roman"/>
                <w:sz w:val="15"/>
              </w:rPr>
              <w:t>Shenzhen Road Network (2,245 nodes)</w:t>
            </w:r>
          </w:p>
        </w:tc>
        <w:tc>
          <w:tcPr>
            <w:tcW w:type="dxa" w:w="1489"/>
            <w:shd w:fill="FFFFFF"/>
            <w:tcMar>
              <w:top w:w="60" w:type="dxa"/>
              <w:bottom w:w="60" w:type="dxa"/>
              <w:left w:w="100" w:type="dxa"/>
              <w:right w:w="100" w:type="dxa"/>
            </w:tcMar>
          </w:tcPr>
          <w:p>
            <w:pPr>
              <w:jc w:val="left"/>
            </w:pPr>
            <w:r>
              <w:rPr>
                <w:rFonts w:ascii="Times New Roman" w:hAnsi="Times New Roman"/>
                <w:sz w:val="15"/>
              </w:rPr>
              <w:t>Model-Based RL + DCI Reward Shaping</w:t>
            </w:r>
          </w:p>
        </w:tc>
        <w:tc>
          <w:tcPr>
            <w:tcW w:type="dxa" w:w="1489"/>
            <w:shd w:fill="FFFFFF"/>
            <w:tcMar>
              <w:top w:w="60" w:type="dxa"/>
              <w:bottom w:w="60" w:type="dxa"/>
              <w:left w:w="100" w:type="dxa"/>
              <w:right w:w="100" w:type="dxa"/>
            </w:tcMar>
          </w:tcPr>
          <w:p>
            <w:pPr>
              <w:jc w:val="left"/>
            </w:pPr>
            <w:r>
              <w:rPr>
                <w:rFonts w:ascii="Times New Roman" w:hAnsi="Times New Roman"/>
                <w:sz w:val="15"/>
              </w:rPr>
              <w:t>Multi-route generation on real network</w:t>
            </w:r>
          </w:p>
        </w:tc>
        <w:tc>
          <w:tcPr>
            <w:tcW w:type="dxa" w:w="1489"/>
            <w:shd w:fill="FFFFFF"/>
            <w:tcMar>
              <w:top w:w="60" w:type="dxa"/>
              <w:bottom w:w="60" w:type="dxa"/>
              <w:left w:w="100" w:type="dxa"/>
              <w:right w:w="100" w:type="dxa"/>
            </w:tcMar>
          </w:tcPr>
          <w:p>
            <w:pPr>
              <w:jc w:val="left"/>
            </w:pPr>
            <w:r>
              <w:rPr>
                <w:rFonts w:ascii="Times New Roman" w:hAnsi="Times New Roman"/>
                <w:sz w:val="15"/>
              </w:rPr>
              <w:t>Deterministic policy; no weather/contextual features</w:t>
            </w:r>
          </w:p>
        </w:tc>
        <w:tc>
          <w:tcPr>
            <w:tcW w:type="dxa" w:w="1489"/>
            <w:shd w:fill="FFFFFF"/>
            <w:tcMar>
              <w:top w:w="60" w:type="dxa"/>
              <w:bottom w:w="60" w:type="dxa"/>
              <w:left w:w="100" w:type="dxa"/>
              <w:right w:w="100" w:type="dxa"/>
            </w:tcMar>
          </w:tcPr>
          <w:p>
            <w:pPr>
              <w:jc w:val="left"/>
            </w:pPr>
            <w:r>
              <w:rPr>
                <w:rFonts w:ascii="Times New Roman" w:hAnsi="Times New Roman"/>
                <w:sz w:val="15"/>
              </w:rPr>
              <w:t>No ML prediction or stochastic risk</w:t>
            </w:r>
          </w:p>
        </w:tc>
      </w:tr>
      <w:tr>
        <w:tc>
          <w:tcPr>
            <w:tcW w:type="dxa" w:w="1489"/>
            <w:shd w:fill="F2F5F8"/>
            <w:tcMar>
              <w:top w:w="60" w:type="dxa"/>
              <w:bottom w:w="60" w:type="dxa"/>
              <w:left w:w="100" w:type="dxa"/>
              <w:right w:w="100" w:type="dxa"/>
            </w:tcMar>
          </w:tcPr>
          <w:p>
            <w:pPr>
              <w:jc w:val="left"/>
            </w:pPr>
            <w:r>
              <w:rPr>
                <w:rFonts w:ascii="Times New Roman" w:hAnsi="Times New Roman"/>
                <w:sz w:val="15"/>
              </w:rPr>
              <w:t>Li et al. (2024) [11]</w:t>
            </w:r>
          </w:p>
        </w:tc>
        <w:tc>
          <w:tcPr>
            <w:tcW w:type="dxa" w:w="1489"/>
            <w:shd w:fill="F2F5F8"/>
            <w:tcMar>
              <w:top w:w="60" w:type="dxa"/>
              <w:bottom w:w="60" w:type="dxa"/>
              <w:left w:w="100" w:type="dxa"/>
              <w:right w:w="100" w:type="dxa"/>
            </w:tcMar>
          </w:tcPr>
          <w:p>
            <w:pPr>
              <w:jc w:val="left"/>
            </w:pPr>
            <w:r>
              <w:rPr>
                <w:rFonts w:ascii="Times New Roman" w:hAnsi="Times New Roman"/>
                <w:sz w:val="15"/>
              </w:rPr>
              <w:t>Matrix-Based DE</w:t>
            </w:r>
          </w:p>
        </w:tc>
        <w:tc>
          <w:tcPr>
            <w:tcW w:type="dxa" w:w="1489"/>
            <w:shd w:fill="F2F5F8"/>
            <w:tcMar>
              <w:top w:w="60" w:type="dxa"/>
              <w:bottom w:w="60" w:type="dxa"/>
              <w:left w:w="100" w:type="dxa"/>
              <w:right w:w="100" w:type="dxa"/>
            </w:tcMar>
          </w:tcPr>
          <w:p>
            <w:pPr>
              <w:jc w:val="left"/>
            </w:pPr>
            <w:r>
              <w:rPr>
                <w:rFonts w:ascii="Times New Roman" w:hAnsi="Times New Roman"/>
                <w:sz w:val="15"/>
              </w:rPr>
              <w:t>South Korea Tourism (20 spots)</w:t>
            </w:r>
          </w:p>
        </w:tc>
        <w:tc>
          <w:tcPr>
            <w:tcW w:type="dxa" w:w="1489"/>
            <w:shd w:fill="F2F5F8"/>
            <w:tcMar>
              <w:top w:w="60" w:type="dxa"/>
              <w:bottom w:w="60" w:type="dxa"/>
              <w:left w:w="100" w:type="dxa"/>
              <w:right w:w="100" w:type="dxa"/>
            </w:tcMar>
          </w:tcPr>
          <w:p>
            <w:pPr>
              <w:jc w:val="left"/>
            </w:pPr>
            <w:r>
              <w:rPr>
                <w:rFonts w:ascii="Times New Roman" w:hAnsi="Times New Roman"/>
                <w:sz w:val="15"/>
              </w:rPr>
              <w:t>Vectorized Differential Evolution + WSM</w:t>
            </w:r>
          </w:p>
        </w:tc>
        <w:tc>
          <w:tcPr>
            <w:tcW w:type="dxa" w:w="1489"/>
            <w:shd w:fill="F2F5F8"/>
            <w:tcMar>
              <w:top w:w="60" w:type="dxa"/>
              <w:bottom w:w="60" w:type="dxa"/>
              <w:left w:w="100" w:type="dxa"/>
              <w:right w:w="100" w:type="dxa"/>
            </w:tcMar>
          </w:tcPr>
          <w:p>
            <w:pPr>
              <w:jc w:val="left"/>
            </w:pPr>
            <w:r>
              <w:rPr>
                <w:rFonts w:ascii="Times New Roman" w:hAnsi="Times New Roman"/>
                <w:sz w:val="15"/>
              </w:rPr>
              <w:t>60× speedup; weight sensitivity analysis</w:t>
            </w:r>
          </w:p>
        </w:tc>
        <w:tc>
          <w:tcPr>
            <w:tcW w:type="dxa" w:w="1489"/>
            <w:shd w:fill="F2F5F8"/>
            <w:tcMar>
              <w:top w:w="60" w:type="dxa"/>
              <w:bottom w:w="60" w:type="dxa"/>
              <w:left w:w="100" w:type="dxa"/>
              <w:right w:w="100" w:type="dxa"/>
            </w:tcMar>
          </w:tcPr>
          <w:p>
            <w:pPr>
              <w:jc w:val="left"/>
            </w:pPr>
            <w:r>
              <w:rPr>
                <w:rFonts w:ascii="Times New Roman" w:hAnsi="Times New Roman"/>
                <w:sz w:val="15"/>
              </w:rPr>
              <w:t>Tour optimization, not real-time navigation</w:t>
            </w:r>
          </w:p>
        </w:tc>
        <w:tc>
          <w:tcPr>
            <w:tcW w:type="dxa" w:w="1489"/>
            <w:shd w:fill="F2F5F8"/>
            <w:tcMar>
              <w:top w:w="60" w:type="dxa"/>
              <w:bottom w:w="60" w:type="dxa"/>
              <w:left w:w="100" w:type="dxa"/>
              <w:right w:w="100" w:type="dxa"/>
            </w:tcMar>
          </w:tcPr>
          <w:p>
            <w:pPr>
              <w:jc w:val="left"/>
            </w:pPr>
            <w:r>
              <w:rPr>
                <w:rFonts w:ascii="Times New Roman" w:hAnsi="Times New Roman"/>
                <w:sz w:val="15"/>
              </w:rPr>
              <w:t>No traffic prediction or continuous feedback</w:t>
            </w:r>
          </w:p>
        </w:tc>
      </w:tr>
      <w:tr>
        <w:tc>
          <w:tcPr>
            <w:tcW w:type="dxa" w:w="1489"/>
            <w:shd w:fill="FFFFFF"/>
            <w:tcMar>
              <w:top w:w="60" w:type="dxa"/>
              <w:bottom w:w="60" w:type="dxa"/>
              <w:left w:w="100" w:type="dxa"/>
              <w:right w:w="100" w:type="dxa"/>
            </w:tcMar>
          </w:tcPr>
          <w:p>
            <w:pPr>
              <w:jc w:val="left"/>
            </w:pPr>
            <w:r>
              <w:rPr>
                <w:rFonts w:ascii="Times New Roman" w:hAnsi="Times New Roman"/>
                <w:sz w:val="15"/>
              </w:rPr>
              <w:t>Khayat et al. (2025) [13]</w:t>
            </w:r>
          </w:p>
        </w:tc>
        <w:tc>
          <w:tcPr>
            <w:tcW w:type="dxa" w:w="1489"/>
            <w:shd w:fill="FFFFFF"/>
            <w:tcMar>
              <w:top w:w="60" w:type="dxa"/>
              <w:bottom w:w="60" w:type="dxa"/>
              <w:left w:w="100" w:type="dxa"/>
              <w:right w:w="100" w:type="dxa"/>
            </w:tcMar>
          </w:tcPr>
          <w:p>
            <w:pPr>
              <w:jc w:val="left"/>
            </w:pPr>
            <w:r>
              <w:rPr>
                <w:rFonts w:ascii="Times New Roman" w:hAnsi="Times New Roman"/>
                <w:sz w:val="15"/>
              </w:rPr>
              <w:t>NSGA-II Eco-Routing</w:t>
            </w:r>
          </w:p>
        </w:tc>
        <w:tc>
          <w:tcPr>
            <w:tcW w:type="dxa" w:w="1489"/>
            <w:shd w:fill="FFFFFF"/>
            <w:tcMar>
              <w:top w:w="60" w:type="dxa"/>
              <w:bottom w:w="60" w:type="dxa"/>
              <w:left w:w="100" w:type="dxa"/>
              <w:right w:w="100" w:type="dxa"/>
            </w:tcMar>
          </w:tcPr>
          <w:p>
            <w:pPr>
              <w:jc w:val="left"/>
            </w:pPr>
            <w:r>
              <w:rPr>
                <w:rFonts w:ascii="Times New Roman" w:hAnsi="Times New Roman"/>
                <w:sz w:val="15"/>
              </w:rPr>
              <w:t>TomTom API + NYC OpenData</w:t>
            </w:r>
          </w:p>
        </w:tc>
        <w:tc>
          <w:tcPr>
            <w:tcW w:type="dxa" w:w="1489"/>
            <w:shd w:fill="FFFFFF"/>
            <w:tcMar>
              <w:top w:w="60" w:type="dxa"/>
              <w:bottom w:w="60" w:type="dxa"/>
              <w:left w:w="100" w:type="dxa"/>
              <w:right w:w="100" w:type="dxa"/>
            </w:tcMar>
          </w:tcPr>
          <w:p>
            <w:pPr>
              <w:jc w:val="left"/>
            </w:pPr>
            <w:r>
              <w:rPr>
                <w:rFonts w:ascii="Times New Roman" w:hAnsi="Times New Roman"/>
                <w:sz w:val="15"/>
              </w:rPr>
              <w:t>Random Forest + NSGA-II Pareto</w:t>
            </w:r>
          </w:p>
        </w:tc>
        <w:tc>
          <w:tcPr>
            <w:tcW w:type="dxa" w:w="1489"/>
            <w:shd w:fill="FFFFFF"/>
            <w:tcMar>
              <w:top w:w="60" w:type="dxa"/>
              <w:bottom w:w="60" w:type="dxa"/>
              <w:left w:w="100" w:type="dxa"/>
              <w:right w:w="100" w:type="dxa"/>
            </w:tcMar>
          </w:tcPr>
          <w:p>
            <w:pPr>
              <w:jc w:val="left"/>
            </w:pPr>
            <w:r>
              <w:rPr>
                <w:rFonts w:ascii="Times New Roman" w:hAnsi="Times New Roman"/>
                <w:sz w:val="15"/>
              </w:rPr>
              <w:t>Systems integration with real traffic data</w:t>
            </w:r>
          </w:p>
        </w:tc>
        <w:tc>
          <w:tcPr>
            <w:tcW w:type="dxa" w:w="1489"/>
            <w:shd w:fill="FFFFFF"/>
            <w:tcMar>
              <w:top w:w="60" w:type="dxa"/>
              <w:bottom w:w="60" w:type="dxa"/>
              <w:left w:w="100" w:type="dxa"/>
              <w:right w:w="100" w:type="dxa"/>
            </w:tcMar>
          </w:tcPr>
          <w:p>
            <w:pPr>
              <w:jc w:val="left"/>
            </w:pPr>
            <w:r>
              <w:rPr>
                <w:rFonts w:ascii="Times New Roman" w:hAnsi="Times New Roman"/>
                <w:sz w:val="15"/>
              </w:rPr>
              <w:t>Limited to 2-objective (time, energy); R²=0.735</w:t>
            </w:r>
          </w:p>
        </w:tc>
        <w:tc>
          <w:tcPr>
            <w:tcW w:type="dxa" w:w="1489"/>
            <w:shd w:fill="FFFFFF"/>
            <w:tcMar>
              <w:top w:w="60" w:type="dxa"/>
              <w:bottom w:w="60" w:type="dxa"/>
              <w:left w:w="100" w:type="dxa"/>
              <w:right w:w="100" w:type="dxa"/>
            </w:tcMar>
          </w:tcPr>
          <w:p>
            <w:pPr>
              <w:jc w:val="left"/>
            </w:pPr>
            <w:r>
              <w:rPr>
                <w:rFonts w:ascii="Times New Roman" w:hAnsi="Times New Roman"/>
                <w:sz w:val="15"/>
              </w:rPr>
              <w:t>No multi-dimensional WSM or CVaR risk bounds</w:t>
            </w:r>
          </w:p>
        </w:tc>
      </w:tr>
      <w:tr>
        <w:tc>
          <w:tcPr>
            <w:tcW w:type="dxa" w:w="1489"/>
            <w:shd w:fill="F2F5F8"/>
            <w:tcMar>
              <w:top w:w="60" w:type="dxa"/>
              <w:bottom w:w="60" w:type="dxa"/>
              <w:left w:w="100" w:type="dxa"/>
              <w:right w:w="100" w:type="dxa"/>
            </w:tcMar>
          </w:tcPr>
          <w:p>
            <w:pPr>
              <w:jc w:val="left"/>
            </w:pPr>
            <w:r>
              <w:rPr>
                <w:rFonts w:ascii="Times New Roman" w:hAnsi="Times New Roman"/>
                <w:sz w:val="15"/>
              </w:rPr>
              <w:t>DeepRoute (This Work)</w:t>
            </w:r>
          </w:p>
        </w:tc>
        <w:tc>
          <w:tcPr>
            <w:tcW w:type="dxa" w:w="1489"/>
            <w:shd w:fill="F2F5F8"/>
            <w:tcMar>
              <w:top w:w="60" w:type="dxa"/>
              <w:bottom w:w="60" w:type="dxa"/>
              <w:left w:w="100" w:type="dxa"/>
              <w:right w:w="100" w:type="dxa"/>
            </w:tcMar>
          </w:tcPr>
          <w:p>
            <w:pPr>
              <w:jc w:val="left"/>
            </w:pPr>
            <w:r>
              <w:rPr>
                <w:rFonts w:ascii="Times New Roman" w:hAnsi="Times New Roman"/>
                <w:sz w:val="15"/>
              </w:rPr>
              <w:t>ML + Multi-Obj Graph Opt.</w:t>
            </w:r>
          </w:p>
        </w:tc>
        <w:tc>
          <w:tcPr>
            <w:tcW w:type="dxa" w:w="1489"/>
            <w:shd w:fill="F2F5F8"/>
            <w:tcMar>
              <w:top w:w="60" w:type="dxa"/>
              <w:bottom w:w="60" w:type="dxa"/>
              <w:left w:w="100" w:type="dxa"/>
              <w:right w:w="100" w:type="dxa"/>
            </w:tcMar>
          </w:tcPr>
          <w:p>
            <w:pPr>
              <w:jc w:val="left"/>
            </w:pPr>
            <w:r>
              <w:rPr>
                <w:rFonts w:ascii="Times New Roman" w:hAnsi="Times New Roman"/>
                <w:sz w:val="15"/>
              </w:rPr>
              <w:t>Kaggle Benchmark + Porto Real GPS</w:t>
            </w:r>
          </w:p>
        </w:tc>
        <w:tc>
          <w:tcPr>
            <w:tcW w:type="dxa" w:w="1489"/>
            <w:shd w:fill="F2F5F8"/>
            <w:tcMar>
              <w:top w:w="60" w:type="dxa"/>
              <w:bottom w:w="60" w:type="dxa"/>
              <w:left w:w="100" w:type="dxa"/>
              <w:right w:w="100" w:type="dxa"/>
            </w:tcMar>
          </w:tcPr>
          <w:p>
            <w:pPr>
              <w:jc w:val="left"/>
            </w:pPr>
            <w:r>
              <w:rPr>
                <w:rFonts w:ascii="Times New Roman" w:hAnsi="Times New Roman"/>
                <w:sz w:val="15"/>
              </w:rPr>
              <w:t>XGBoost + WSM (21 criteria) + Monte Carlo CVaR</w:t>
            </w:r>
          </w:p>
        </w:tc>
        <w:tc>
          <w:tcPr>
            <w:tcW w:type="dxa" w:w="1489"/>
            <w:shd w:fill="F2F5F8"/>
            <w:tcMar>
              <w:top w:w="60" w:type="dxa"/>
              <w:bottom w:w="60" w:type="dxa"/>
              <w:left w:w="100" w:type="dxa"/>
              <w:right w:w="100" w:type="dxa"/>
            </w:tcMar>
          </w:tcPr>
          <w:p>
            <w:pPr>
              <w:jc w:val="left"/>
            </w:pPr>
            <w:r>
              <w:rPr>
                <w:rFonts w:ascii="Times New Roman" w:hAnsi="Times New Roman"/>
                <w:sz w:val="15"/>
              </w:rPr>
              <w:t>Dual-dataset validated; R²=0.9627; CVaR₉₅ risk; GIS UI</w:t>
            </w:r>
          </w:p>
        </w:tc>
        <w:tc>
          <w:tcPr>
            <w:tcW w:type="dxa" w:w="1489"/>
            <w:shd w:fill="F2F5F8"/>
            <w:tcMar>
              <w:top w:w="60" w:type="dxa"/>
              <w:bottom w:w="60" w:type="dxa"/>
              <w:left w:w="100" w:type="dxa"/>
              <w:right w:w="100" w:type="dxa"/>
            </w:tcMar>
          </w:tcPr>
          <w:p>
            <w:pPr>
              <w:jc w:val="left"/>
            </w:pPr>
            <w:r>
              <w:rPr>
                <w:rFonts w:ascii="Times New Roman" w:hAnsi="Times New Roman"/>
                <w:sz w:val="15"/>
              </w:rPr>
              <w:t>Offline trajectory + simulated corridor validation</w:t>
            </w:r>
          </w:p>
        </w:tc>
        <w:tc>
          <w:tcPr>
            <w:tcW w:type="dxa" w:w="1489"/>
            <w:shd w:fill="F2F5F8"/>
            <w:tcMar>
              <w:top w:w="60" w:type="dxa"/>
              <w:bottom w:w="60" w:type="dxa"/>
              <w:left w:w="100" w:type="dxa"/>
              <w:right w:w="100" w:type="dxa"/>
            </w:tcMar>
          </w:tcPr>
          <w:p>
            <w:pPr>
              <w:jc w:val="left"/>
            </w:pPr>
            <w:r>
              <w:rPr>
                <w:rFonts w:ascii="Times New Roman" w:hAnsi="Times New Roman"/>
                <w:sz w:val="15"/>
              </w:rPr>
              <w:t>Integrated, deployable ITS architecture</w:t>
            </w:r>
          </w:p>
        </w:tc>
      </w:tr>
    </w:tbl>
    <w:p>
      <w:pPr>
        <w:spacing w:before="0" w:after="80" w:line="252" w:lineRule="auto"/>
        <w:jc w:val="both"/>
      </w:pPr>
      <w:r>
        <w:rPr>
          <w:rFonts w:ascii="Times New Roman" w:hAnsi="Times New Roman"/>
          <w:sz w:val="19"/>
        </w:rPr>
      </w:r>
    </w:p>
    <w:p>
      <w:pPr>
        <w:keepNext/>
        <w:spacing w:before="240" w:after="80"/>
        <w:jc w:val="center"/>
      </w:pPr>
      <w:r>
        <w:rPr>
          <w:rFonts w:ascii="Times New Roman" w:hAnsi="Times New Roman"/>
          <w:b/>
          <w:color w:val="000000"/>
          <w:sz w:val="20"/>
        </w:rPr>
        <w:t>III. METHODOLOGY AND PROPOSED SYSTEM ARCHITECTURE</w:t>
      </w:r>
    </w:p>
    <w:p>
      <w:pPr>
        <w:spacing w:before="0" w:after="80" w:line="252" w:lineRule="auto"/>
        <w:jc w:val="both"/>
      </w:pPr>
      <w:r>
        <w:rPr>
          <w:rFonts w:ascii="Times New Roman" w:hAnsi="Times New Roman"/>
          <w:sz w:val="19"/>
        </w:rPr>
        <w:t>This section presents the end-to-end system architecture of DeepRoute as implemented in the codebase repository, followed by an explanation of the multi-source evaluation datasets, OpenStreetMap graph construction, 34-dimensional feature engineering pipeline, dynamic pathfinding and multi-objective optimization algorithms, multi-segment traffic polyline rendering, Monte Carlo risk quantification, and deployment hardware configuration.</w:t>
      </w:r>
    </w:p>
    <w:p>
      <w:pPr>
        <w:keepNext/>
        <w:spacing w:before="200" w:after="60"/>
      </w:pPr>
      <w:r>
        <w:rPr>
          <w:rFonts w:ascii="Times New Roman" w:hAnsi="Times New Roman"/>
          <w:b/>
          <w:i/>
          <w:color w:val="000000"/>
          <w:sz w:val="20"/>
        </w:rPr>
        <w:t>A. Proposed DeepRoute System Architecture</w:t>
      </w:r>
    </w:p>
    <w:p>
      <w:pPr>
        <w:spacing w:before="0" w:after="80" w:line="252" w:lineRule="auto"/>
        <w:jc w:val="both"/>
      </w:pPr>
      <w:r>
        <w:rPr>
          <w:rFonts w:ascii="Times New Roman" w:hAnsi="Times New Roman"/>
          <w:sz w:val="19"/>
        </w:rPr>
        <w:t>The architecture of DeepRoute is engineered as a modular, high-throughput microservices pipeline structured into seven interconnected core subsystems, as illustrated in Fig. 1:</w:t>
      </w:r>
    </w:p>
    <w:p>
      <w:pPr>
        <w:spacing w:before="160" w:after="40"/>
        <w:jc w:val="center"/>
      </w:pPr>
      <w:r>
        <w:drawing>
          <wp:inline xmlns:a="http://schemas.openxmlformats.org/drawingml/2006/main" xmlns:pic="http://schemas.openxmlformats.org/drawingml/2006/picture">
            <wp:extent cx="2926080" cy="1931273"/>
            <wp:docPr id="1" name="Picture 1"/>
            <wp:cNvGraphicFramePr>
              <a:graphicFrameLocks noChangeAspect="1"/>
            </wp:cNvGraphicFramePr>
            <a:graphic>
              <a:graphicData uri="http://schemas.openxmlformats.org/drawingml/2006/picture">
                <pic:pic>
                  <pic:nvPicPr>
                    <pic:cNvPr id="0" name="fig1_deeproute_architecture.png"/>
                    <pic:cNvPicPr/>
                  </pic:nvPicPr>
                  <pic:blipFill>
                    <a:blip r:embed="rId10"/>
                    <a:stretch>
                      <a:fillRect/>
                    </a:stretch>
                  </pic:blipFill>
                  <pic:spPr>
                    <a:xfrm>
                      <a:off x="0" y="0"/>
                      <a:ext cx="2926080" cy="1931273"/>
                    </a:xfrm>
                    <a:prstGeom prst="rect"/>
                  </pic:spPr>
                </pic:pic>
              </a:graphicData>
            </a:graphic>
          </wp:inline>
        </w:drawing>
      </w:r>
    </w:p>
    <w:p>
      <w:pPr>
        <w:spacing w:before="40" w:after="120" w:line="240" w:lineRule="auto"/>
        <w:jc w:val="center"/>
      </w:pPr>
      <w:r>
        <w:rPr>
          <w:rFonts w:ascii="Times New Roman" w:hAnsi="Times New Roman"/>
          <w:b/>
          <w:sz w:val="17"/>
        </w:rPr>
        <w:t xml:space="preserve">Fig. 1. </w:t>
      </w:r>
      <w:r>
        <w:rPr>
          <w:rFonts w:ascii="Times New Roman" w:hAnsi="Times New Roman"/>
          <w:sz w:val="17"/>
        </w:rPr>
        <w:t>End-to-End System Architecture and Data Flow of the DeepRoute ITS Framework.</w:t>
      </w:r>
    </w:p>
    <w:p>
      <w:pPr>
        <w:spacing w:before="0" w:after="120" w:line="252" w:lineRule="auto"/>
        <w:jc w:val="both"/>
      </w:pPr>
      <w:r>
        <w:rPr>
          <w:rFonts w:ascii="Times New Roman" w:hAnsi="Times New Roman"/>
          <w:sz w:val="19"/>
        </w:rPr>
        <w:t>Figure 1 illustrates the modular seven-layer system architecture of DeepRoute implemented in the repository: (1) Multi-Source Ingestion Layer, (2) 34-Dimensional Feature Pipeline Service, (3) Dual-Model ML Inference Engine, (4) Dynamic Graph Reweighting &amp; Multi-Objective WSM Optimizer, (5) Monte Carlo Stochastic Risk Assessor, (6) FastAPI REST Microservices &amp; Interactive Streamlit GIS Visualization Frontend, and (7) Asynchronous Closed-Loop Feedback Collection Engine.</w:t>
      </w:r>
    </w:p>
    <w:p>
      <w:pPr>
        <w:pStyle w:val="ListBullet"/>
        <w:spacing w:before="0" w:after="40" w:line="252" w:lineRule="auto"/>
        <w:jc w:val="both"/>
      </w:pPr>
      <w:r>
        <w:rPr>
          <w:rFonts w:ascii="Times New Roman" w:hAnsi="Times New Roman"/>
          <w:b/>
          <w:sz w:val="19"/>
        </w:rPr>
        <w:t xml:space="preserve">1. Multi-Source Ingestion Service (app/data_pipeline): </w:t>
      </w:r>
      <w:r>
        <w:rPr>
          <w:rFonts w:ascii="Times New Roman" w:hAnsi="Times New Roman"/>
          <w:sz w:val="19"/>
        </w:rPr>
        <w:t xml:space="preserve"> Ingests spatial road geometries from OpenStreetMap via OSMnx [10], live speed and incident telemetry via TomTom Traffic APIs, atmospheric feeds from Open-Meteo, and regional contextual calendar indicators.</w:t>
      </w:r>
    </w:p>
    <w:p>
      <w:pPr>
        <w:pStyle w:val="ListBullet"/>
        <w:spacing w:before="0" w:after="40" w:line="252" w:lineRule="auto"/>
        <w:jc w:val="both"/>
      </w:pPr>
      <w:r>
        <w:rPr>
          <w:rFonts w:ascii="Times New Roman" w:hAnsi="Times New Roman"/>
          <w:b/>
          <w:sz w:val="19"/>
        </w:rPr>
        <w:t xml:space="preserve">2. Feature Pipeline Service (app/features): </w:t>
      </w:r>
      <w:r>
        <w:rPr>
          <w:rFonts w:ascii="Times New Roman" w:hAnsi="Times New Roman"/>
          <w:sz w:val="19"/>
        </w:rPr>
        <w:t xml:space="preserve"> Ingests heterogeneous parameters and constructs a standardized 34-dimensional feature vector combining temporal cyclical encodings, spatial road hierarchy metrics, dynamic environmental severity indices, and historical speed profiles.</w:t>
      </w:r>
    </w:p>
    <w:p>
      <w:pPr>
        <w:pStyle w:val="ListBullet"/>
        <w:spacing w:before="0" w:after="40" w:line="252" w:lineRule="auto"/>
        <w:jc w:val="both"/>
      </w:pPr>
      <w:r>
        <w:rPr>
          <w:rFonts w:ascii="Times New Roman" w:hAnsi="Times New Roman"/>
          <w:b/>
          <w:sz w:val="19"/>
        </w:rPr>
        <w:t xml:space="preserve">3. Dual ML Inference Engine (app/models): </w:t>
      </w:r>
      <w:r>
        <w:rPr>
          <w:rFonts w:ascii="Times New Roman" w:hAnsi="Times New Roman"/>
          <w:sz w:val="19"/>
        </w:rPr>
        <w:t xml:space="preserve"> Houses hyperparameter-optimized XGBoost and LightGBM regressors to predict dynamic edge travel-time multipliers (f_ij) with sub-3 ms latency.</w:t>
      </w:r>
    </w:p>
    <w:p>
      <w:pPr>
        <w:pStyle w:val="ListBullet"/>
        <w:spacing w:before="0" w:after="40" w:line="252" w:lineRule="auto"/>
        <w:jc w:val="both"/>
      </w:pPr>
      <w:r>
        <w:rPr>
          <w:rFonts w:ascii="Times New Roman" w:hAnsi="Times New Roman"/>
          <w:b/>
          <w:sz w:val="19"/>
        </w:rPr>
        <w:t xml:space="preserve">4. Dynamic Graph Reweighting &amp; WSM Optimizer (app/routing): </w:t>
      </w:r>
      <w:r>
        <w:rPr>
          <w:rFonts w:ascii="Times New Roman" w:hAnsi="Times New Roman"/>
          <w:sz w:val="19"/>
        </w:rPr>
        <w:t xml:space="preserve"> Builds NetworkX directed multigraphs G=(V,E) and reweights edge traversal impedances dynamically: W(e) = L(e)·f_ij + P_incident + P_hazard. A penalty-based diverse path search generates candidate routes evaluated across 21 criteria via a Weighted Sum Model (WSM) across FASTEST, SAFEST, ECO, and BALANCED profiles.</w:t>
      </w:r>
    </w:p>
    <w:p>
      <w:pPr>
        <w:pStyle w:val="ListBullet"/>
        <w:spacing w:before="0" w:after="40" w:line="252" w:lineRule="auto"/>
        <w:jc w:val="both"/>
      </w:pPr>
      <w:r>
        <w:rPr>
          <w:rFonts w:ascii="Times New Roman" w:hAnsi="Times New Roman"/>
          <w:b/>
          <w:sz w:val="19"/>
        </w:rPr>
        <w:t xml:space="preserve">5. Monte Carlo Stochastic Risk Assessor (app/risk): </w:t>
      </w:r>
      <w:r>
        <w:rPr>
          <w:rFonts w:ascii="Times New Roman" w:hAnsi="Times New Roman"/>
          <w:sz w:val="19"/>
        </w:rPr>
        <w:t xml:space="preserve"> Performs 1,000 Monte Carlo perturbation iterations per candidate route using empirically derived regression residual variances to compute Value-at-Risk (VaR-95) and Conditional Value-at-Risk (CVaR-95) tail-risk bounds.</w:t>
      </w:r>
    </w:p>
    <w:p>
      <w:pPr>
        <w:pStyle w:val="ListBullet"/>
        <w:spacing w:before="0" w:after="40" w:line="252" w:lineRule="auto"/>
        <w:jc w:val="both"/>
      </w:pPr>
      <w:r>
        <w:rPr>
          <w:rFonts w:ascii="Times New Roman" w:hAnsi="Times New Roman"/>
          <w:b/>
          <w:sz w:val="19"/>
        </w:rPr>
        <w:t xml:space="preserve">6. Microservices REST API &amp; GIS Visualization Frontend (app/api &amp; streamlit_app.py): </w:t>
      </w:r>
      <w:r>
        <w:rPr>
          <w:rFonts w:ascii="Times New Roman" w:hAnsi="Times New Roman"/>
          <w:sz w:val="19"/>
        </w:rPr>
        <w:t xml:space="preserve"> Exposes RESTful endpoints (/api/route, /api/forecast, /api/risk, /api/recommend, /api/travel_data/collect) via FastAPI and renders interactive Leaflet maps with Google Maps-style traffic coloring (#4285F4 free-flow, #FBBC04 moderate, #EA4335 heavy) on CartoDB Positron basemaps via Streamlit.</w:t>
      </w:r>
    </w:p>
    <w:p>
      <w:pPr>
        <w:pStyle w:val="ListBullet"/>
        <w:spacing w:before="0" w:after="40" w:line="252" w:lineRule="auto"/>
        <w:jc w:val="both"/>
      </w:pPr>
      <w:r>
        <w:rPr>
          <w:rFonts w:ascii="Times New Roman" w:hAnsi="Times New Roman"/>
          <w:b/>
          <w:sz w:val="19"/>
        </w:rPr>
        <w:t xml:space="preserve">7. Asynchronous Closed-Loop Feedback Collector (storage/database.py): </w:t>
      </w:r>
      <w:r>
        <w:rPr>
          <w:rFonts w:ascii="Times New Roman" w:hAnsi="Times New Roman"/>
          <w:sz w:val="19"/>
        </w:rPr>
        <w:t xml:space="preserve"> Asynchronously records realized trip durations and driver telemetry into SQLite storage (storage/database.py), tracking model error margins for non-circular iterative edge recalibration.</w:t>
      </w:r>
    </w:p>
    <w:p>
      <w:pPr>
        <w:keepNext/>
        <w:spacing w:before="200" w:after="60"/>
      </w:pPr>
      <w:r>
        <w:rPr>
          <w:rFonts w:ascii="Times New Roman" w:hAnsi="Times New Roman"/>
          <w:b/>
          <w:i/>
          <w:color w:val="000000"/>
          <w:sz w:val="20"/>
        </w:rPr>
        <w:t>B. Multi-Source Evaluation Datasets</w:t>
      </w:r>
    </w:p>
    <w:p>
      <w:pPr>
        <w:spacing w:before="0" w:after="80" w:line="252" w:lineRule="auto"/>
        <w:jc w:val="both"/>
      </w:pPr>
      <w:r>
        <w:rPr>
          <w:rFonts w:ascii="Times New Roman" w:hAnsi="Times New Roman"/>
          <w:sz w:val="19"/>
        </w:rPr>
        <w:t>To provide rigorous, transparent validation, DeepRoute is evaluated across multiple complementary data sources representing both tabular edge distributions and real-world trajectory networks:</w:t>
      </w:r>
    </w:p>
    <w:p>
      <w:pPr>
        <w:pStyle w:val="ListBullet"/>
        <w:spacing w:before="0" w:after="40" w:line="252" w:lineRule="auto"/>
        <w:jc w:val="both"/>
      </w:pPr>
      <w:r>
        <w:rPr>
          <w:rFonts w:ascii="Times New Roman" w:hAnsi="Times New Roman"/>
          <w:b/>
          <w:sz w:val="19"/>
        </w:rPr>
        <w:t xml:space="preserve">1. Kaggle Urban Traffic Benchmark Dataset: </w:t>
      </w:r>
      <w:r>
        <w:rPr>
          <w:rFonts w:ascii="Times New Roman" w:hAnsi="Times New Roman"/>
          <w:sz w:val="19"/>
        </w:rPr>
        <w:t xml:space="preserve"> Consists of 10,000 tabular road corridor records capturing traffic density, vehicle speeds, and congestion across simulated urban corridors. This dataset was enriched with regional Indian metropolitan contextual features—monsoon precipitation severity, festival congestion surges, peak-hour temporal encodings, and localized road hazard indicators. Features span continuous and categorical distributions modeling speed limits (20–120 km/h), road lengths (50–5,000 m), lane counts (1–6), and weather severity indices (0.0–1.0).</w:t>
      </w:r>
    </w:p>
    <w:p>
      <w:pPr>
        <w:pStyle w:val="ListBullet"/>
        <w:spacing w:before="0" w:after="40" w:line="252" w:lineRule="auto"/>
        <w:jc w:val="both"/>
      </w:pPr>
      <w:r>
        <w:rPr>
          <w:rFonts w:ascii="Times New Roman" w:hAnsi="Times New Roman"/>
          <w:b/>
          <w:sz w:val="19"/>
        </w:rPr>
        <w:t xml:space="preserve">2. Real GPS Trajectory Dataset (Porto Taxi Benchmark): </w:t>
      </w:r>
      <w:r>
        <w:rPr>
          <w:rFonts w:ascii="Times New Roman" w:hAnsi="Times New Roman"/>
          <w:sz w:val="19"/>
        </w:rPr>
        <w:t xml:space="preserve"> To validate real-world trajectory generalizability, DeepRoute is evaluated on 10,000 real GPS trajectories from the public Porto Taxi trajectory benchmark dataset. Each record contains GPS coordinate sequences, departure timestamps, and realized trip durations across an urban road network. Trajectories were map-matched to OSM road segments to extract ground-truth edge traversal speeds and trip durations.</w:t>
      </w:r>
    </w:p>
    <w:p>
      <w:pPr>
        <w:pStyle w:val="ListBullet"/>
        <w:spacing w:before="0" w:after="40" w:line="252" w:lineRule="auto"/>
        <w:jc w:val="both"/>
      </w:pPr>
      <w:r>
        <w:rPr>
          <w:rFonts w:ascii="Times New Roman" w:hAnsi="Times New Roman"/>
          <w:b/>
          <w:sz w:val="19"/>
        </w:rPr>
        <w:t xml:space="preserve">3. OpenStreetMap (OSM) Spatial Road Graphs: </w:t>
      </w:r>
      <w:r>
        <w:rPr>
          <w:rFonts w:ascii="Times New Roman" w:hAnsi="Times New Roman"/>
          <w:sz w:val="19"/>
        </w:rPr>
        <w:t xml:space="preserve"> Road network topologies are extracted dynamically from OpenStreetMap using OSMnx [10], [36], capturing node coordinates, edge geometries, road hierarchy classifications, one-way constraints, and speed limits across target metropolitan corridors.</w:t>
      </w:r>
    </w:p>
    <w:p>
      <w:pPr>
        <w:pStyle w:val="ListBullet"/>
        <w:spacing w:before="0" w:after="40" w:line="252" w:lineRule="auto"/>
        <w:jc w:val="both"/>
      </w:pPr>
      <w:r>
        <w:rPr>
          <w:rFonts w:ascii="Times New Roman" w:hAnsi="Times New Roman"/>
          <w:b/>
          <w:sz w:val="19"/>
        </w:rPr>
        <w:t xml:space="preserve">4. Live Telemetry &amp; Weather Feeds: </w:t>
      </w:r>
      <w:r>
        <w:rPr>
          <w:rFonts w:ascii="Times New Roman" w:hAnsi="Times New Roman"/>
          <w:sz w:val="19"/>
        </w:rPr>
        <w:t xml:space="preserve"> Real-time corridor simulation integrates live speed feeds from the TomTom Traffic API and meteorological weather feeds from Open-Meteo.</w:t>
      </w:r>
    </w:p>
    <w:p>
      <w:pPr>
        <w:spacing w:before="0" w:after="80" w:line="252" w:lineRule="auto"/>
        <w:jc w:val="both"/>
      </w:pPr>
      <w:r>
        <w:rPr>
          <w:rFonts w:ascii="Times New Roman" w:hAnsi="Times New Roman"/>
          <w:sz w:val="19"/>
        </w:rPr>
        <w:t>Both tabular and trajectory datasets are partitioned using an 80/20 train-test split (8,000 training samples, 2,000 held-out test samples) with 5-fold cross-validation for hyperparameter tuning via Optuna Bayesian optimization.</w:t>
      </w:r>
    </w:p>
    <w:p>
      <w:pPr>
        <w:keepNext/>
        <w:spacing w:before="200" w:after="60"/>
      </w:pPr>
      <w:r>
        <w:rPr>
          <w:rFonts w:ascii="Times New Roman" w:hAnsi="Times New Roman"/>
          <w:b/>
          <w:i/>
          <w:color w:val="000000"/>
          <w:sz w:val="20"/>
        </w:rPr>
        <w:t>C. OpenStreetMap (OSM) Graph Topology Construction</w:t>
      </w:r>
    </w:p>
    <w:p>
      <w:pPr>
        <w:spacing w:before="0" w:after="80" w:line="252" w:lineRule="auto"/>
        <w:jc w:val="both"/>
      </w:pPr>
      <w:r>
        <w:rPr>
          <w:rFonts w:ascii="Times New Roman" w:hAnsi="Times New Roman"/>
          <w:sz w:val="19"/>
        </w:rPr>
        <w:t>Geospatial road graphs are constructed dynamically using OSMnx [10], [36]. Raw street networks are parsed into directed multigraphs G = (V, E), where nodes V represent road intersections and edges E represent directed street segments. Topology sanitization eliminates non-drivable paths, merges complex intersection clusters, and computes geodesic segment length (meters), posted speed limit (km/h), lane count, and highway classification.</w:t>
      </w:r>
    </w:p>
    <w:p>
      <w:pPr>
        <w:keepNext/>
        <w:spacing w:before="200" w:after="60"/>
      </w:pPr>
      <w:r>
        <w:rPr>
          <w:rFonts w:ascii="Times New Roman" w:hAnsi="Times New Roman"/>
          <w:b/>
          <w:i/>
          <w:color w:val="000000"/>
          <w:sz w:val="20"/>
        </w:rPr>
        <w:t>D. 34-Dimensional Feature Engineering Pipeline</w:t>
      </w:r>
    </w:p>
    <w:p>
      <w:pPr>
        <w:spacing w:before="0" w:after="80" w:line="252" w:lineRule="auto"/>
        <w:jc w:val="both"/>
      </w:pPr>
      <w:r>
        <w:rPr>
          <w:rFonts w:ascii="Times New Roman" w:hAnsi="Times New Roman"/>
          <w:sz w:val="19"/>
        </w:rPr>
        <w:t>DeepRoute transforms heterogeneous geospatial, meteorological, and temporal inputs into a standardized 34-dimensional feature vector, structured into three primary domains matching the feature engineering module:</w:t>
      </w:r>
    </w:p>
    <w:p>
      <w:pPr>
        <w:pStyle w:val="ListBullet"/>
        <w:spacing w:before="0" w:after="40" w:line="252" w:lineRule="auto"/>
        <w:jc w:val="both"/>
      </w:pPr>
      <w:r>
        <w:rPr>
          <w:rFonts w:ascii="Times New Roman" w:hAnsi="Times New Roman"/>
          <w:b/>
          <w:sz w:val="19"/>
        </w:rPr>
        <w:t xml:space="preserve">1) Temporal &amp; Regional Context (12 dimensions): </w:t>
      </w:r>
      <w:r>
        <w:rPr>
          <w:rFonts w:ascii="Times New Roman" w:hAnsi="Times New Roman"/>
          <w:sz w:val="19"/>
        </w:rPr>
        <w:t xml:space="preserve"> Cyclical sine/cosine transformations of departure hour (hour_sin, hour_cos) and day of week (day_sin, day_cos); binary peak-hour flags (07:00–10:00, 17:00–20:00); weekend indicators; Indian festival flags with severity scores; monsoon season indicators with rainfall intensity; school zone operational hours; and market day congestion flags. [12 features]</w:t>
      </w:r>
    </w:p>
    <w:p>
      <w:pPr>
        <w:pStyle w:val="ListBullet"/>
        <w:spacing w:before="0" w:after="40" w:line="252" w:lineRule="auto"/>
        <w:jc w:val="both"/>
      </w:pPr>
      <w:r>
        <w:rPr>
          <w:rFonts w:ascii="Times New Roman" w:hAnsi="Times New Roman"/>
          <w:b/>
          <w:sz w:val="19"/>
        </w:rPr>
        <w:t xml:space="preserve">2) Spatial Infrastructure (4 dimensions): </w:t>
      </w:r>
      <w:r>
        <w:rPr>
          <w:rFonts w:ascii="Times New Roman" w:hAnsi="Times New Roman"/>
          <w:sz w:val="19"/>
        </w:rPr>
        <w:t xml:space="preserve"> Geodesic segment length (length_m), speed limit (speed_limit_kph), lane count (num_lanes), and elevation gradient (elevation_change_m). [4 features]</w:t>
      </w:r>
    </w:p>
    <w:p>
      <w:pPr>
        <w:pStyle w:val="ListBullet"/>
        <w:spacing w:before="0" w:after="40" w:line="252" w:lineRule="auto"/>
        <w:jc w:val="both"/>
      </w:pPr>
      <w:r>
        <w:rPr>
          <w:rFonts w:ascii="Times New Roman" w:hAnsi="Times New Roman"/>
          <w:b/>
          <w:sz w:val="19"/>
        </w:rPr>
        <w:t xml:space="preserve">3) Dynamic Context &amp; Environmental (18 dimensions): </w:t>
      </w:r>
      <w:r>
        <w:rPr>
          <w:rFonts w:ascii="Times New Roman" w:hAnsi="Times New Roman"/>
          <w:sz w:val="19"/>
        </w:rPr>
        <w:t xml:space="preserve"> Real-time link congestion index, weather severity index, incident proximity, event proximity, synthesized road risk score, binary status indicators for road closures, roadworks, and accidents, historical link traversal speed (historical_speed_kph), historical congestion, speed variance reliability (speed_reliability), encoded road type, highway percentage, route curvature, intersection count, toll road indicator, urban density, and distance category. [18 features]</w:t>
      </w:r>
    </w:p>
    <w:p>
      <w:pPr>
        <w:spacing w:before="0" w:after="80" w:line="252" w:lineRule="auto"/>
        <w:jc w:val="both"/>
      </w:pPr>
      <w:r>
        <w:rPr>
          <w:rFonts w:ascii="Times New Roman" w:hAnsi="Times New Roman"/>
          <w:sz w:val="19"/>
        </w:rPr>
        <w:t>The complete feature space comprises 12 + 4 + 18 = 34 dimensions, directly feeding the predictive ML models.</w:t>
      </w:r>
    </w:p>
    <w:p>
      <w:pPr>
        <w:keepNext/>
        <w:spacing w:before="200" w:after="60"/>
      </w:pPr>
      <w:r>
        <w:rPr>
          <w:rFonts w:ascii="Times New Roman" w:hAnsi="Times New Roman"/>
          <w:b/>
          <w:i/>
          <w:color w:val="000000"/>
          <w:sz w:val="20"/>
        </w:rPr>
        <w:t>E. Dynamic Pathfinding &amp; Multi-Objective WSM Optimization (Algorithm 1)</w:t>
      </w:r>
    </w:p>
    <w:p>
      <w:pPr>
        <w:spacing w:before="0" w:after="80" w:line="252" w:lineRule="auto"/>
        <w:jc w:val="both"/>
      </w:pPr>
      <w:r>
        <w:rPr>
          <w:rFonts w:ascii="Times New Roman" w:hAnsi="Times New Roman"/>
          <w:sz w:val="19"/>
        </w:rPr>
        <w:t>To compute optimal routes, graph edge traversal weights are dynamically adjusted using predicted travel-time multipliers: W(e) = L(e) · f_ij + P_incident + P_hazard, where L(e) is segment length, f_ij is the ML-predicted impedance factor, and P represents incident and hazard penalties. Candidate diverse paths are extracted via penalty-based A* routing. Algorithm 1 formalizes the multi-objective scoring across 21 normalized criteria using the Weighted Sum Model [32].</w:t>
      </w:r>
    </w:p>
    <w:p>
      <w:pPr>
        <w:spacing w:before="120" w:after="120" w:line="240" w:lineRule="auto"/>
        <w:jc w:val="left"/>
      </w:pPr>
      <w:r>
        <w:rPr>
          <w:rFonts w:ascii="Courier New" w:hAnsi="Courier New"/>
          <w:b/>
          <w:color w:val="1B365D"/>
          <w:sz w:val="17"/>
        </w:rPr>
        <w:t>Algorithm 1: WSM Multi-Objective Path Scoring</w:t>
        <w:br/>
      </w:r>
      <w:r>
        <w:rPr>
          <w:rFonts w:ascii="Courier New" w:hAnsi="Courier New"/>
          <w:color w:val="222222"/>
          <w:sz w:val="16"/>
        </w:rPr>
        <w:t>Input : Candidate Routes R = {r_1, ..., r_K}, User Profile P ∈ {FASTEST, SAFEST, ECO, BALANCED}</w:t>
        <w:br/>
        <w:t>Output: Ranked Routes with composite scores</w:t>
        <w:br/>
        <w:br/>
        <w:t>1  Load weight vector W_P = {w_1, ..., w_21} for profile P</w:t>
        <w:br/>
        <w:t>2  Normalize: w_i ← w_i / Σ(w_j) for all i</w:t>
        <w:br/>
        <w:t>3  For each route r_k in R do:</w:t>
        <w:br/>
        <w:t>4      Extract raw metrics M_k = {m_1, ..., m_21}  // time, dist, congestion, risk, ...</w:t>
        <w:br/>
        <w:t>5  End For</w:t>
        <w:br/>
        <w:t>6  For each criterion j in {1..21} do:</w:t>
        <w:br/>
        <w:t>7      min_j ← min(M_k[j] for all k)</w:t>
        <w:br/>
        <w:t>8      max_j ← max(M_k[j] for all k)</w:t>
        <w:br/>
        <w:t>9      For each route r_k: m_k[j] ← (m_k[j] - min_j) / (max_j - min_j + ε)</w:t>
        <w:br/>
        <w:t>10 End For</w:t>
        <w:br/>
        <w:t>11 For each route r_k do:</w:t>
        <w:br/>
        <w:t>12     score_k ← Σ(w_j × m_k[j]) for j = 1..21</w:t>
        <w:br/>
        <w:t>13 End For</w:t>
        <w:br/>
        <w:t>14 Return R sorted by ascending score_k</w:t>
      </w:r>
    </w:p>
    <w:p>
      <w:pPr>
        <w:keepNext/>
        <w:spacing w:before="200" w:after="60"/>
      </w:pPr>
      <w:r>
        <w:rPr>
          <w:rFonts w:ascii="Times New Roman" w:hAnsi="Times New Roman"/>
          <w:b/>
          <w:i/>
          <w:color w:val="000000"/>
          <w:sz w:val="20"/>
        </w:rPr>
        <w:t>F. Multi-Segment Traffic Polyline Rendering Engine (Algorithm 2)</w:t>
      </w:r>
    </w:p>
    <w:p>
      <w:pPr>
        <w:spacing w:before="0" w:after="80" w:line="252" w:lineRule="auto"/>
        <w:jc w:val="both"/>
      </w:pPr>
      <w:r>
        <w:rPr>
          <w:rFonts w:ascii="Times New Roman" w:hAnsi="Times New Roman"/>
          <w:sz w:val="19"/>
        </w:rPr>
        <w:t>Algorithm 2 formalizes the point-to-point segment traffic color assignment and Leaflet polyline rendering pipeline used in the Streamlit frontend.</w:t>
      </w:r>
    </w:p>
    <w:p>
      <w:pPr>
        <w:spacing w:before="120" w:after="120" w:line="240" w:lineRule="auto"/>
        <w:jc w:val="left"/>
      </w:pPr>
      <w:r>
        <w:rPr>
          <w:rFonts w:ascii="Courier New" w:hAnsi="Courier New"/>
          <w:b/>
          <w:color w:val="1B365D"/>
          <w:sz w:val="17"/>
        </w:rPr>
        <w:t>Algorithm 2: Multi-Segment Traffic Polyline Rendering</w:t>
        <w:br/>
      </w:r>
      <w:r>
        <w:rPr>
          <w:rFonts w:ascii="Courier New" w:hAnsi="Courier New"/>
          <w:color w:val="222222"/>
          <w:sz w:val="16"/>
        </w:rPr>
        <w:t>Input : Route lat/lng coordinates L = [p_1, ..., p_N], Segment Congestion Indices C = [c_1, ..., c_{N-1}]</w:t>
        <w:br/>
        <w:t>Output: Rendered Leaflet FeatureGroup with traffic-colored polylines</w:t>
        <w:br/>
        <w:br/>
        <w:t>1  Initialize Segment Array S ← []</w:t>
        <w:br/>
        <w:t>2  For i ← 1 to N-1 do:</w:t>
        <w:br/>
        <w:t>3      S.append({ coords: [L[i], L[i+1]], congestion: C[i] })</w:t>
        <w:br/>
        <w:t>4  End For</w:t>
        <w:br/>
        <w:t>5  Create Leaflet fillGroup ← L.featureGroup()</w:t>
        <w:br/>
        <w:t>6  For each segment s in S do:</w:t>
        <w:br/>
        <w:t>7      If s.congestion &gt;= 0.45 then</w:t>
        <w:br/>
        <w:t>8          color ← '#EA4335'   // Heavy Traffic (Red)</w:t>
        <w:br/>
        <w:t>9      Else If s.congestion &gt;= 0.25 then</w:t>
        <w:br/>
        <w:t>10         color ← '#FBBC04'   // Moderate Traffic (Yellow)</w:t>
        <w:br/>
        <w:t>11     Else</w:t>
        <w:br/>
        <w:t>12         color ← '#4285F4'   // Free-Flow Traffic (Blue)</w:t>
        <w:br/>
        <w:t>13     End If</w:t>
        <w:br/>
        <w:t>14     Polyline ← L.polyline(s.coords, { color, weight: 6, opacity: 1.0 })</w:t>
        <w:br/>
        <w:t>15     fillGroup.addLayer(Polyline)</w:t>
        <w:br/>
        <w:t>16 End For</w:t>
        <w:br/>
        <w:t>17 Return fillGroup.addTo(map)</w:t>
      </w:r>
    </w:p>
    <w:p>
      <w:pPr>
        <w:keepNext/>
        <w:spacing w:before="200" w:after="60"/>
      </w:pPr>
      <w:r>
        <w:rPr>
          <w:rFonts w:ascii="Times New Roman" w:hAnsi="Times New Roman"/>
          <w:b/>
          <w:i/>
          <w:color w:val="000000"/>
          <w:sz w:val="20"/>
        </w:rPr>
        <w:t>G. Empirical Monte Carlo CVaR₉₅ Stochastic Risk Modeling (Algorithm 3)</w:t>
      </w:r>
    </w:p>
    <w:p>
      <w:pPr>
        <w:spacing w:before="0" w:after="80" w:line="252" w:lineRule="auto"/>
        <w:jc w:val="both"/>
      </w:pPr>
      <w:r>
        <w:rPr>
          <w:rFonts w:ascii="Times New Roman" w:hAnsi="Times New Roman"/>
          <w:sz w:val="19"/>
        </w:rPr>
        <w:t>Unlike prior studies that set Monte Carlo perturbation variance arbitrarily, DeepRoute derives feature perturbation variance directly from the empirical residual error distribution of the trained ML models on held-out validation data: σ²_residual = (1/N) Σ(y_i - ŷ_i)². During routing, 1,000 stochastic feature vectors X_perturbed = X + ε (ε ~ N(0, σ²_residual)) are evaluated to construct the empirical travel-time cumulative distribution function. Algorithm 3 details the Value-at-Risk (VaR-95) and Conditional Value-at-Risk (CVaR-95) [34] computation.</w:t>
      </w:r>
    </w:p>
    <w:p>
      <w:pPr>
        <w:spacing w:before="120" w:after="120" w:line="240" w:lineRule="auto"/>
        <w:jc w:val="left"/>
      </w:pPr>
      <w:r>
        <w:rPr>
          <w:rFonts w:ascii="Courier New" w:hAnsi="Courier New"/>
          <w:b/>
          <w:color w:val="1B365D"/>
          <w:sz w:val="17"/>
        </w:rPr>
        <w:t>Algorithm 3: Monte Carlo CVaR₉₅ Risk Estimation</w:t>
        <w:br/>
      </w:r>
      <w:r>
        <w:rPr>
          <w:rFonts w:ascii="Courier New" w:hAnsi="Courier New"/>
          <w:color w:val="222222"/>
          <w:sz w:val="16"/>
        </w:rPr>
        <w:t>Input : Base travel time T_base, Feature vector X, ML model M, N_sim = 1000</w:t>
        <w:br/>
        <w:t>Output: VaR_95, CVaR_95 risk bounds</w:t>
        <w:br/>
        <w:br/>
        <w:t>1  Initialize samples[] ← []</w:t>
        <w:br/>
        <w:t>2  For i ← 1 to N_sim do:</w:t>
        <w:br/>
        <w:t>3      X_perturbed ← X + ε, where ε ~ N(0, σ²_residual)</w:t>
        <w:br/>
        <w:t>4      factor_i ← M.predict(X_perturbed)</w:t>
        <w:br/>
        <w:t>5      T_i ← T_base × factor_i</w:t>
        <w:br/>
        <w:t>6      samples.append(T_i)</w:t>
        <w:br/>
        <w:t>7  End For</w:t>
        <w:br/>
        <w:t>8  Sort samples in ascending order</w:t>
        <w:br/>
        <w:t>9  VaR_95 ← samples[⌈0.95 × N_sim⌉]</w:t>
        <w:br/>
        <w:t>10 CVaR_95 ← mean(samples[j] for j where samples[j] ≥ VaR_95)</w:t>
        <w:br/>
        <w:t>11 Return VaR_95, CVaR_95</w:t>
      </w:r>
    </w:p>
    <w:p>
      <w:pPr>
        <w:keepNext/>
        <w:spacing w:before="200" w:after="60"/>
      </w:pPr>
      <w:r>
        <w:rPr>
          <w:rFonts w:ascii="Times New Roman" w:hAnsi="Times New Roman"/>
          <w:b/>
          <w:i/>
          <w:color w:val="000000"/>
          <w:sz w:val="20"/>
        </w:rPr>
        <w:t>H. Hardware &amp; Software Configuration</w:t>
      </w:r>
    </w:p>
    <w:p>
      <w:pPr>
        <w:spacing w:before="0" w:after="80" w:line="252" w:lineRule="auto"/>
        <w:jc w:val="both"/>
      </w:pPr>
      <w:r>
        <w:rPr>
          <w:rFonts w:ascii="Times New Roman" w:hAnsi="Times New Roman"/>
          <w:sz w:val="19"/>
        </w:rPr>
        <w:t>All model training, graph pathfinding, risk simulation, and microservice benchmarks were executed on: Intel Core i7-13700H (16 cores, 24 threads, 5.0 GHz turbo), 16 GB DDR5 RAM, Windows 11 (64-bit), Python 3.12.3, XGBoost 2.0.3, LightGBM 4.3.0, scikit-learn 1.4.1, NetworkX 3.2.1, OSMnx 1.9.1, FastAPI 0.110.0, and Streamlit 1.31.1.</w:t>
      </w:r>
    </w:p>
    <w:p>
      <w:pPr>
        <w:keepNext/>
        <w:spacing w:before="240" w:after="80"/>
        <w:jc w:val="center"/>
      </w:pPr>
      <w:r>
        <w:rPr>
          <w:rFonts w:ascii="Times New Roman" w:hAnsi="Times New Roman"/>
          <w:b/>
          <w:color w:val="000000"/>
          <w:sz w:val="20"/>
        </w:rPr>
        <w:t>IV. RESULTS AND DISCUSSION</w:t>
      </w:r>
    </w:p>
    <w:p>
      <w:pPr>
        <w:spacing w:before="0" w:after="80" w:line="252" w:lineRule="auto"/>
        <w:jc w:val="both"/>
      </w:pPr>
      <w:r>
        <w:rPr>
          <w:rFonts w:ascii="Times New Roman" w:hAnsi="Times New Roman"/>
          <w:sz w:val="19"/>
        </w:rPr>
        <w:t>This section reports empirical results across dual-dataset ML regression, unified route-level baseline comparisons, external benchmark architectures, multi-trip telemetry feedback calibration, Monte Carlo CVaR₉₅ risk bounds, microservice concurrency scalability, and visual GIS implementation analysis.</w:t>
      </w:r>
    </w:p>
    <w:p>
      <w:pPr>
        <w:keepNext/>
        <w:spacing w:before="200" w:after="60"/>
      </w:pPr>
      <w:r>
        <w:rPr>
          <w:rFonts w:ascii="Times New Roman" w:hAnsi="Times New Roman"/>
          <w:b/>
          <w:i/>
          <w:color w:val="000000"/>
          <w:sz w:val="20"/>
        </w:rPr>
        <w:t>A. Dual-Dataset Tabular Regression Performance</w:t>
      </w:r>
    </w:p>
    <w:p>
      <w:pPr>
        <w:spacing w:before="0" w:after="80" w:line="252" w:lineRule="auto"/>
        <w:jc w:val="both"/>
      </w:pPr>
      <w:r>
        <w:rPr>
          <w:rFonts w:ascii="Times New Roman" w:hAnsi="Times New Roman"/>
          <w:sz w:val="19"/>
        </w:rPr>
        <w:t>Table II presents side-by-side performance metrics across both the Kaggle Benchmark dataset (synthetic augmented) and the Porto Taxi GPS Trajectory dataset (real-world traces) on 2,000 held-out test samples. 5-fold cross-validation standard deviations confirm model stability across partitions.</w:t>
      </w:r>
    </w:p>
    <w:tbl>
      <w:tblPr>
        <w:tblW w:type="auto" w:w="0"/>
        <w:jc w:val="center"/>
        <w:tblLook w:firstColumn="1" w:firstRow="1" w:lastColumn="0" w:lastRow="0" w:noHBand="0" w:noVBand="1" w:val="04A0"/>
      </w:tblPr>
      <w:tblGrid>
        <w:gridCol w:w="1303"/>
        <w:gridCol w:w="1303"/>
        <w:gridCol w:w="1303"/>
        <w:gridCol w:w="1303"/>
        <w:gridCol w:w="1303"/>
        <w:gridCol w:w="1303"/>
        <w:gridCol w:w="1303"/>
        <w:gridCol w:w="1303"/>
      </w:tblGrid>
      <w:tr>
        <w:tc>
          <w:tcPr>
            <w:tcW w:type="dxa" w:w="1303"/>
            <w:shd w:fill="1B365D"/>
            <w:tcMar>
              <w:top w:w="60" w:type="dxa"/>
              <w:bottom w:w="60" w:type="dxa"/>
              <w:left w:w="100" w:type="dxa"/>
              <w:right w:w="100" w:type="dxa"/>
            </w:tcMar>
          </w:tcPr>
          <w:p>
            <w:r>
              <w:rPr>
                <w:b/>
                <w:color w:val="FFFFFF"/>
                <w:sz w:val="15"/>
              </w:rPr>
              <w:t>Model</w:t>
            </w:r>
          </w:p>
        </w:tc>
        <w:tc>
          <w:tcPr>
            <w:tcW w:type="dxa" w:w="1303"/>
            <w:shd w:fill="1B365D"/>
            <w:tcMar>
              <w:top w:w="60" w:type="dxa"/>
              <w:bottom w:w="60" w:type="dxa"/>
              <w:left w:w="100" w:type="dxa"/>
              <w:right w:w="100" w:type="dxa"/>
            </w:tcMar>
          </w:tcPr>
          <w:p>
            <w:r>
              <w:rPr>
                <w:b/>
                <w:color w:val="FFFFFF"/>
                <w:sz w:val="15"/>
              </w:rPr>
              <w:t>Kaggle MAE</w:t>
            </w:r>
          </w:p>
        </w:tc>
        <w:tc>
          <w:tcPr>
            <w:tcW w:type="dxa" w:w="1303"/>
            <w:shd w:fill="1B365D"/>
            <w:tcMar>
              <w:top w:w="60" w:type="dxa"/>
              <w:bottom w:w="60" w:type="dxa"/>
              <w:left w:w="100" w:type="dxa"/>
              <w:right w:w="100" w:type="dxa"/>
            </w:tcMar>
          </w:tcPr>
          <w:p>
            <w:r>
              <w:rPr>
                <w:b/>
                <w:color w:val="FFFFFF"/>
                <w:sz w:val="15"/>
              </w:rPr>
              <w:t>Kaggle R²</w:t>
            </w:r>
          </w:p>
        </w:tc>
        <w:tc>
          <w:tcPr>
            <w:tcW w:type="dxa" w:w="1303"/>
            <w:shd w:fill="1B365D"/>
            <w:tcMar>
              <w:top w:w="60" w:type="dxa"/>
              <w:bottom w:w="60" w:type="dxa"/>
              <w:left w:w="100" w:type="dxa"/>
              <w:right w:w="100" w:type="dxa"/>
            </w:tcMar>
          </w:tcPr>
          <w:p>
            <w:r>
              <w:rPr>
                <w:b/>
                <w:color w:val="FFFFFF"/>
                <w:sz w:val="15"/>
              </w:rPr>
              <w:t>Porto Real MAE</w:t>
            </w:r>
          </w:p>
        </w:tc>
        <w:tc>
          <w:tcPr>
            <w:tcW w:type="dxa" w:w="1303"/>
            <w:shd w:fill="1B365D"/>
            <w:tcMar>
              <w:top w:w="60" w:type="dxa"/>
              <w:bottom w:w="60" w:type="dxa"/>
              <w:left w:w="100" w:type="dxa"/>
              <w:right w:w="100" w:type="dxa"/>
            </w:tcMar>
          </w:tcPr>
          <w:p>
            <w:r>
              <w:rPr>
                <w:b/>
                <w:color w:val="FFFFFF"/>
                <w:sz w:val="15"/>
              </w:rPr>
              <w:t>Porto Real R²</w:t>
            </w:r>
          </w:p>
        </w:tc>
        <w:tc>
          <w:tcPr>
            <w:tcW w:type="dxa" w:w="1303"/>
            <w:shd w:fill="1B365D"/>
            <w:tcMar>
              <w:top w:w="60" w:type="dxa"/>
              <w:bottom w:w="60" w:type="dxa"/>
              <w:left w:w="100" w:type="dxa"/>
              <w:right w:w="100" w:type="dxa"/>
            </w:tcMar>
          </w:tcPr>
          <w:p>
            <w:r>
              <w:rPr>
                <w:b/>
                <w:color w:val="FFFFFF"/>
                <w:sz w:val="15"/>
              </w:rPr>
              <w:t>5-Fold CV MAE (Real)</w:t>
            </w:r>
          </w:p>
        </w:tc>
        <w:tc>
          <w:tcPr>
            <w:tcW w:type="dxa" w:w="1303"/>
            <w:shd w:fill="1B365D"/>
            <w:tcMar>
              <w:top w:w="60" w:type="dxa"/>
              <w:bottom w:w="60" w:type="dxa"/>
              <w:left w:w="100" w:type="dxa"/>
              <w:right w:w="100" w:type="dxa"/>
            </w:tcMar>
          </w:tcPr>
          <w:p>
            <w:r>
              <w:rPr>
                <w:b/>
                <w:color w:val="FFFFFF"/>
                <w:sz w:val="15"/>
              </w:rPr>
              <w:t>Latency (ms)</w:t>
            </w:r>
          </w:p>
        </w:tc>
        <w:tc>
          <w:tcPr>
            <w:tcW w:type="dxa" w:w="1303"/>
            <w:shd w:fill="1B365D"/>
            <w:tcMar>
              <w:top w:w="60" w:type="dxa"/>
              <w:bottom w:w="60" w:type="dxa"/>
              <w:left w:w="100" w:type="dxa"/>
              <w:right w:w="100" w:type="dxa"/>
            </w:tcMar>
          </w:tcPr>
          <w:p>
            <w:r>
              <w:rPr>
                <w:b/>
                <w:color w:val="FFFFFF"/>
                <w:sz w:val="15"/>
              </w:rPr>
              <w:t>Type</w:t>
            </w:r>
          </w:p>
        </w:tc>
      </w:tr>
      <w:tr>
        <w:tc>
          <w:tcPr>
            <w:tcW w:type="dxa" w:w="1303"/>
            <w:shd w:fill="F2F5F8"/>
            <w:tcMar>
              <w:top w:w="60" w:type="dxa"/>
              <w:bottom w:w="60" w:type="dxa"/>
              <w:left w:w="100" w:type="dxa"/>
              <w:right w:w="100" w:type="dxa"/>
            </w:tcMar>
          </w:tcPr>
          <w:p>
            <w:pPr>
              <w:jc w:val="left"/>
            </w:pPr>
            <w:r>
              <w:rPr>
                <w:rFonts w:ascii="Times New Roman" w:hAnsi="Times New Roman"/>
                <w:sz w:val="15"/>
              </w:rPr>
              <w:t>XGBoost</w:t>
            </w:r>
          </w:p>
        </w:tc>
        <w:tc>
          <w:tcPr>
            <w:tcW w:type="dxa" w:w="1303"/>
            <w:shd w:fill="F2F5F8"/>
            <w:tcMar>
              <w:top w:w="60" w:type="dxa"/>
              <w:bottom w:w="60" w:type="dxa"/>
              <w:left w:w="100" w:type="dxa"/>
              <w:right w:w="100" w:type="dxa"/>
            </w:tcMar>
          </w:tcPr>
          <w:p>
            <w:pPr>
              <w:jc w:val="left"/>
            </w:pPr>
            <w:r>
              <w:rPr>
                <w:rFonts w:ascii="Times New Roman" w:hAnsi="Times New Roman"/>
                <w:sz w:val="15"/>
              </w:rPr>
              <w:t>0.01081</w:t>
            </w:r>
          </w:p>
        </w:tc>
        <w:tc>
          <w:tcPr>
            <w:tcW w:type="dxa" w:w="1303"/>
            <w:shd w:fill="F2F5F8"/>
            <w:tcMar>
              <w:top w:w="60" w:type="dxa"/>
              <w:bottom w:w="60" w:type="dxa"/>
              <w:left w:w="100" w:type="dxa"/>
              <w:right w:w="100" w:type="dxa"/>
            </w:tcMar>
          </w:tcPr>
          <w:p>
            <w:pPr>
              <w:jc w:val="left"/>
            </w:pPr>
            <w:r>
              <w:rPr>
                <w:rFonts w:ascii="Times New Roman" w:hAnsi="Times New Roman"/>
                <w:sz w:val="15"/>
              </w:rPr>
              <w:t>0.9627</w:t>
            </w:r>
          </w:p>
        </w:tc>
        <w:tc>
          <w:tcPr>
            <w:tcW w:type="dxa" w:w="1303"/>
            <w:shd w:fill="F2F5F8"/>
            <w:tcMar>
              <w:top w:w="60" w:type="dxa"/>
              <w:bottom w:w="60" w:type="dxa"/>
              <w:left w:w="100" w:type="dxa"/>
              <w:right w:w="100" w:type="dxa"/>
            </w:tcMar>
          </w:tcPr>
          <w:p>
            <w:pPr>
              <w:jc w:val="left"/>
            </w:pPr>
            <w:r>
              <w:rPr>
                <w:rFonts w:ascii="Times New Roman" w:hAnsi="Times New Roman"/>
                <w:sz w:val="15"/>
              </w:rPr>
              <w:t>0.03842</w:t>
            </w:r>
          </w:p>
        </w:tc>
        <w:tc>
          <w:tcPr>
            <w:tcW w:type="dxa" w:w="1303"/>
            <w:shd w:fill="F2F5F8"/>
            <w:tcMar>
              <w:top w:w="60" w:type="dxa"/>
              <w:bottom w:w="60" w:type="dxa"/>
              <w:left w:w="100" w:type="dxa"/>
              <w:right w:w="100" w:type="dxa"/>
            </w:tcMar>
          </w:tcPr>
          <w:p>
            <w:pPr>
              <w:jc w:val="left"/>
            </w:pPr>
            <w:r>
              <w:rPr>
                <w:rFonts w:ascii="Times New Roman" w:hAnsi="Times New Roman"/>
                <w:sz w:val="15"/>
              </w:rPr>
              <w:t>0.9142</w:t>
            </w:r>
          </w:p>
        </w:tc>
        <w:tc>
          <w:tcPr>
            <w:tcW w:type="dxa" w:w="1303"/>
            <w:shd w:fill="F2F5F8"/>
            <w:tcMar>
              <w:top w:w="60" w:type="dxa"/>
              <w:bottom w:w="60" w:type="dxa"/>
              <w:left w:w="100" w:type="dxa"/>
              <w:right w:w="100" w:type="dxa"/>
            </w:tcMar>
          </w:tcPr>
          <w:p>
            <w:pPr>
              <w:jc w:val="left"/>
            </w:pPr>
            <w:r>
              <w:rPr>
                <w:rFonts w:ascii="Times New Roman" w:hAnsi="Times New Roman"/>
                <w:sz w:val="15"/>
              </w:rPr>
              <w:t>0.03885 ± 0.00082</w:t>
            </w:r>
          </w:p>
        </w:tc>
        <w:tc>
          <w:tcPr>
            <w:tcW w:type="dxa" w:w="1303"/>
            <w:shd w:fill="F2F5F8"/>
            <w:tcMar>
              <w:top w:w="60" w:type="dxa"/>
              <w:bottom w:w="60" w:type="dxa"/>
              <w:left w:w="100" w:type="dxa"/>
              <w:right w:w="100" w:type="dxa"/>
            </w:tcMar>
          </w:tcPr>
          <w:p>
            <w:pPr>
              <w:jc w:val="left"/>
            </w:pPr>
            <w:r>
              <w:rPr>
                <w:rFonts w:ascii="Times New Roman" w:hAnsi="Times New Roman"/>
                <w:sz w:val="15"/>
              </w:rPr>
              <w:t>2.75</w:t>
            </w:r>
          </w:p>
        </w:tc>
        <w:tc>
          <w:tcPr>
            <w:tcW w:type="dxa" w:w="1303"/>
            <w:shd w:fill="F2F5F8"/>
            <w:tcMar>
              <w:top w:w="60" w:type="dxa"/>
              <w:bottom w:w="60" w:type="dxa"/>
              <w:left w:w="100" w:type="dxa"/>
              <w:right w:w="100" w:type="dxa"/>
            </w:tcMar>
          </w:tcPr>
          <w:p>
            <w:pPr>
              <w:jc w:val="left"/>
            </w:pPr>
            <w:r>
              <w:rPr>
                <w:rFonts w:ascii="Times New Roman" w:hAnsi="Times New Roman"/>
                <w:sz w:val="15"/>
              </w:rPr>
              <w:t>ML (Production)</w:t>
            </w:r>
          </w:p>
        </w:tc>
      </w:tr>
      <w:tr>
        <w:tc>
          <w:tcPr>
            <w:tcW w:type="dxa" w:w="1303"/>
            <w:shd w:fill="FFFFFF"/>
            <w:tcMar>
              <w:top w:w="60" w:type="dxa"/>
              <w:bottom w:w="60" w:type="dxa"/>
              <w:left w:w="100" w:type="dxa"/>
              <w:right w:w="100" w:type="dxa"/>
            </w:tcMar>
          </w:tcPr>
          <w:p>
            <w:pPr>
              <w:jc w:val="left"/>
            </w:pPr>
            <w:r>
              <w:rPr>
                <w:rFonts w:ascii="Times New Roman" w:hAnsi="Times New Roman"/>
                <w:sz w:val="15"/>
              </w:rPr>
              <w:t>LightGBM</w:t>
            </w:r>
          </w:p>
        </w:tc>
        <w:tc>
          <w:tcPr>
            <w:tcW w:type="dxa" w:w="1303"/>
            <w:shd w:fill="FFFFFF"/>
            <w:tcMar>
              <w:top w:w="60" w:type="dxa"/>
              <w:bottom w:w="60" w:type="dxa"/>
              <w:left w:w="100" w:type="dxa"/>
              <w:right w:w="100" w:type="dxa"/>
            </w:tcMar>
          </w:tcPr>
          <w:p>
            <w:pPr>
              <w:jc w:val="left"/>
            </w:pPr>
            <w:r>
              <w:rPr>
                <w:rFonts w:ascii="Times New Roman" w:hAnsi="Times New Roman"/>
                <w:sz w:val="15"/>
              </w:rPr>
              <w:t>0.01086</w:t>
            </w:r>
          </w:p>
        </w:tc>
        <w:tc>
          <w:tcPr>
            <w:tcW w:type="dxa" w:w="1303"/>
            <w:shd w:fill="FFFFFF"/>
            <w:tcMar>
              <w:top w:w="60" w:type="dxa"/>
              <w:bottom w:w="60" w:type="dxa"/>
              <w:left w:w="100" w:type="dxa"/>
              <w:right w:w="100" w:type="dxa"/>
            </w:tcMar>
          </w:tcPr>
          <w:p>
            <w:pPr>
              <w:jc w:val="left"/>
            </w:pPr>
            <w:r>
              <w:rPr>
                <w:rFonts w:ascii="Times New Roman" w:hAnsi="Times New Roman"/>
                <w:sz w:val="15"/>
              </w:rPr>
              <w:t>0.9620</w:t>
            </w:r>
          </w:p>
        </w:tc>
        <w:tc>
          <w:tcPr>
            <w:tcW w:type="dxa" w:w="1303"/>
            <w:shd w:fill="FFFFFF"/>
            <w:tcMar>
              <w:top w:w="60" w:type="dxa"/>
              <w:bottom w:w="60" w:type="dxa"/>
              <w:left w:w="100" w:type="dxa"/>
              <w:right w:w="100" w:type="dxa"/>
            </w:tcMar>
          </w:tcPr>
          <w:p>
            <w:pPr>
              <w:jc w:val="left"/>
            </w:pPr>
            <w:r>
              <w:rPr>
                <w:rFonts w:ascii="Times New Roman" w:hAnsi="Times New Roman"/>
                <w:sz w:val="15"/>
              </w:rPr>
              <w:t>0.03910</w:t>
            </w:r>
          </w:p>
        </w:tc>
        <w:tc>
          <w:tcPr>
            <w:tcW w:type="dxa" w:w="1303"/>
            <w:shd w:fill="FFFFFF"/>
            <w:tcMar>
              <w:top w:w="60" w:type="dxa"/>
              <w:bottom w:w="60" w:type="dxa"/>
              <w:left w:w="100" w:type="dxa"/>
              <w:right w:w="100" w:type="dxa"/>
            </w:tcMar>
          </w:tcPr>
          <w:p>
            <w:pPr>
              <w:jc w:val="left"/>
            </w:pPr>
            <w:r>
              <w:rPr>
                <w:rFonts w:ascii="Times New Roman" w:hAnsi="Times New Roman"/>
                <w:sz w:val="15"/>
              </w:rPr>
              <w:t>0.9118</w:t>
            </w:r>
          </w:p>
        </w:tc>
        <w:tc>
          <w:tcPr>
            <w:tcW w:type="dxa" w:w="1303"/>
            <w:shd w:fill="FFFFFF"/>
            <w:tcMar>
              <w:top w:w="60" w:type="dxa"/>
              <w:bottom w:w="60" w:type="dxa"/>
              <w:left w:w="100" w:type="dxa"/>
              <w:right w:w="100" w:type="dxa"/>
            </w:tcMar>
          </w:tcPr>
          <w:p>
            <w:pPr>
              <w:jc w:val="left"/>
            </w:pPr>
            <w:r>
              <w:rPr>
                <w:rFonts w:ascii="Times New Roman" w:hAnsi="Times New Roman"/>
                <w:sz w:val="15"/>
              </w:rPr>
              <w:t>0.03945 ± 0.00085</w:t>
            </w:r>
          </w:p>
        </w:tc>
        <w:tc>
          <w:tcPr>
            <w:tcW w:type="dxa" w:w="1303"/>
            <w:shd w:fill="FFFFFF"/>
            <w:tcMar>
              <w:top w:w="60" w:type="dxa"/>
              <w:bottom w:w="60" w:type="dxa"/>
              <w:left w:w="100" w:type="dxa"/>
              <w:right w:w="100" w:type="dxa"/>
            </w:tcMar>
          </w:tcPr>
          <w:p>
            <w:pPr>
              <w:jc w:val="left"/>
            </w:pPr>
            <w:r>
              <w:rPr>
                <w:rFonts w:ascii="Times New Roman" w:hAnsi="Times New Roman"/>
                <w:sz w:val="15"/>
              </w:rPr>
              <w:t>2.10</w:t>
            </w:r>
          </w:p>
        </w:tc>
        <w:tc>
          <w:tcPr>
            <w:tcW w:type="dxa" w:w="1303"/>
            <w:shd w:fill="FFFFFF"/>
            <w:tcMar>
              <w:top w:w="60" w:type="dxa"/>
              <w:bottom w:w="60" w:type="dxa"/>
              <w:left w:w="100" w:type="dxa"/>
              <w:right w:w="100" w:type="dxa"/>
            </w:tcMar>
          </w:tcPr>
          <w:p>
            <w:pPr>
              <w:jc w:val="left"/>
            </w:pPr>
            <w:r>
              <w:rPr>
                <w:rFonts w:ascii="Times New Roman" w:hAnsi="Times New Roman"/>
                <w:sz w:val="15"/>
              </w:rPr>
              <w:t>ML (Secondary)</w:t>
            </w:r>
          </w:p>
        </w:tc>
      </w:tr>
      <w:tr>
        <w:tc>
          <w:tcPr>
            <w:tcW w:type="dxa" w:w="1303"/>
            <w:shd w:fill="F2F5F8"/>
            <w:tcMar>
              <w:top w:w="60" w:type="dxa"/>
              <w:bottom w:w="60" w:type="dxa"/>
              <w:left w:w="100" w:type="dxa"/>
              <w:right w:w="100" w:type="dxa"/>
            </w:tcMar>
          </w:tcPr>
          <w:p>
            <w:pPr>
              <w:jc w:val="left"/>
            </w:pPr>
            <w:r>
              <w:rPr>
                <w:rFonts w:ascii="Times New Roman" w:hAnsi="Times New Roman"/>
                <w:sz w:val="15"/>
              </w:rPr>
              <w:t>Gradient Boosting</w:t>
            </w:r>
          </w:p>
        </w:tc>
        <w:tc>
          <w:tcPr>
            <w:tcW w:type="dxa" w:w="1303"/>
            <w:shd w:fill="F2F5F8"/>
            <w:tcMar>
              <w:top w:w="60" w:type="dxa"/>
              <w:bottom w:w="60" w:type="dxa"/>
              <w:left w:w="100" w:type="dxa"/>
              <w:right w:w="100" w:type="dxa"/>
            </w:tcMar>
          </w:tcPr>
          <w:p>
            <w:pPr>
              <w:jc w:val="left"/>
            </w:pPr>
            <w:r>
              <w:rPr>
                <w:rFonts w:ascii="Times New Roman" w:hAnsi="Times New Roman"/>
                <w:sz w:val="15"/>
              </w:rPr>
              <w:t>0.01349</w:t>
            </w:r>
          </w:p>
        </w:tc>
        <w:tc>
          <w:tcPr>
            <w:tcW w:type="dxa" w:w="1303"/>
            <w:shd w:fill="F2F5F8"/>
            <w:tcMar>
              <w:top w:w="60" w:type="dxa"/>
              <w:bottom w:w="60" w:type="dxa"/>
              <w:left w:w="100" w:type="dxa"/>
              <w:right w:w="100" w:type="dxa"/>
            </w:tcMar>
          </w:tcPr>
          <w:p>
            <w:pPr>
              <w:jc w:val="left"/>
            </w:pPr>
            <w:r>
              <w:rPr>
                <w:rFonts w:ascii="Times New Roman" w:hAnsi="Times New Roman"/>
                <w:sz w:val="15"/>
              </w:rPr>
              <w:t>0.9399</w:t>
            </w:r>
          </w:p>
        </w:tc>
        <w:tc>
          <w:tcPr>
            <w:tcW w:type="dxa" w:w="1303"/>
            <w:shd w:fill="F2F5F8"/>
            <w:tcMar>
              <w:top w:w="60" w:type="dxa"/>
              <w:bottom w:w="60" w:type="dxa"/>
              <w:left w:w="100" w:type="dxa"/>
              <w:right w:w="100" w:type="dxa"/>
            </w:tcMar>
          </w:tcPr>
          <w:p>
            <w:pPr>
              <w:jc w:val="left"/>
            </w:pPr>
            <w:r>
              <w:rPr>
                <w:rFonts w:ascii="Times New Roman" w:hAnsi="Times New Roman"/>
                <w:sz w:val="15"/>
              </w:rPr>
              <w:t>0.04520</w:t>
            </w:r>
          </w:p>
        </w:tc>
        <w:tc>
          <w:tcPr>
            <w:tcW w:type="dxa" w:w="1303"/>
            <w:shd w:fill="F2F5F8"/>
            <w:tcMar>
              <w:top w:w="60" w:type="dxa"/>
              <w:bottom w:w="60" w:type="dxa"/>
              <w:left w:w="100" w:type="dxa"/>
              <w:right w:w="100" w:type="dxa"/>
            </w:tcMar>
          </w:tcPr>
          <w:p>
            <w:pPr>
              <w:jc w:val="left"/>
            </w:pPr>
            <w:r>
              <w:rPr>
                <w:rFonts w:ascii="Times New Roman" w:hAnsi="Times New Roman"/>
                <w:sz w:val="15"/>
              </w:rPr>
              <w:t>0.8875</w:t>
            </w:r>
          </w:p>
        </w:tc>
        <w:tc>
          <w:tcPr>
            <w:tcW w:type="dxa" w:w="1303"/>
            <w:shd w:fill="F2F5F8"/>
            <w:tcMar>
              <w:top w:w="60" w:type="dxa"/>
              <w:bottom w:w="60" w:type="dxa"/>
              <w:left w:w="100" w:type="dxa"/>
              <w:right w:w="100" w:type="dxa"/>
            </w:tcMar>
          </w:tcPr>
          <w:p>
            <w:pPr>
              <w:jc w:val="left"/>
            </w:pPr>
            <w:r>
              <w:rPr>
                <w:rFonts w:ascii="Times New Roman" w:hAnsi="Times New Roman"/>
                <w:sz w:val="15"/>
              </w:rPr>
              <w:t>0.04580 ± 0.00095</w:t>
            </w:r>
          </w:p>
        </w:tc>
        <w:tc>
          <w:tcPr>
            <w:tcW w:type="dxa" w:w="1303"/>
            <w:shd w:fill="F2F5F8"/>
            <w:tcMar>
              <w:top w:w="60" w:type="dxa"/>
              <w:bottom w:w="60" w:type="dxa"/>
              <w:left w:w="100" w:type="dxa"/>
              <w:right w:w="100" w:type="dxa"/>
            </w:tcMar>
          </w:tcPr>
          <w:p>
            <w:pPr>
              <w:jc w:val="left"/>
            </w:pPr>
            <w:r>
              <w:rPr>
                <w:rFonts w:ascii="Times New Roman" w:hAnsi="Times New Roman"/>
                <w:sz w:val="15"/>
              </w:rPr>
              <w:t>3.45</w:t>
            </w:r>
          </w:p>
        </w:tc>
        <w:tc>
          <w:tcPr>
            <w:tcW w:type="dxa" w:w="1303"/>
            <w:shd w:fill="F2F5F8"/>
            <w:tcMar>
              <w:top w:w="60" w:type="dxa"/>
              <w:bottom w:w="60" w:type="dxa"/>
              <w:left w:w="100" w:type="dxa"/>
              <w:right w:w="100" w:type="dxa"/>
            </w:tcMar>
          </w:tcPr>
          <w:p>
            <w:pPr>
              <w:jc w:val="left"/>
            </w:pPr>
            <w:r>
              <w:rPr>
                <w:rFonts w:ascii="Times New Roman" w:hAnsi="Times New Roman"/>
                <w:sz w:val="15"/>
              </w:rPr>
              <w:t>ML Ensemble</w:t>
            </w:r>
          </w:p>
        </w:tc>
      </w:tr>
      <w:tr>
        <w:tc>
          <w:tcPr>
            <w:tcW w:type="dxa" w:w="1303"/>
            <w:shd w:fill="FFFFFF"/>
            <w:tcMar>
              <w:top w:w="60" w:type="dxa"/>
              <w:bottom w:w="60" w:type="dxa"/>
              <w:left w:w="100" w:type="dxa"/>
              <w:right w:w="100" w:type="dxa"/>
            </w:tcMar>
          </w:tcPr>
          <w:p>
            <w:pPr>
              <w:jc w:val="left"/>
            </w:pPr>
            <w:r>
              <w:rPr>
                <w:rFonts w:ascii="Times New Roman" w:hAnsi="Times New Roman"/>
                <w:sz w:val="15"/>
              </w:rPr>
              <w:t>HistGradientBoosting</w:t>
            </w:r>
          </w:p>
        </w:tc>
        <w:tc>
          <w:tcPr>
            <w:tcW w:type="dxa" w:w="1303"/>
            <w:shd w:fill="FFFFFF"/>
            <w:tcMar>
              <w:top w:w="60" w:type="dxa"/>
              <w:bottom w:w="60" w:type="dxa"/>
              <w:left w:w="100" w:type="dxa"/>
              <w:right w:w="100" w:type="dxa"/>
            </w:tcMar>
          </w:tcPr>
          <w:p>
            <w:pPr>
              <w:jc w:val="left"/>
            </w:pPr>
            <w:r>
              <w:rPr>
                <w:rFonts w:ascii="Times New Roman" w:hAnsi="Times New Roman"/>
                <w:sz w:val="15"/>
              </w:rPr>
              <w:t>0.01391</w:t>
            </w:r>
          </w:p>
        </w:tc>
        <w:tc>
          <w:tcPr>
            <w:tcW w:type="dxa" w:w="1303"/>
            <w:shd w:fill="FFFFFF"/>
            <w:tcMar>
              <w:top w:w="60" w:type="dxa"/>
              <w:bottom w:w="60" w:type="dxa"/>
              <w:left w:w="100" w:type="dxa"/>
              <w:right w:w="100" w:type="dxa"/>
            </w:tcMar>
          </w:tcPr>
          <w:p>
            <w:pPr>
              <w:jc w:val="left"/>
            </w:pPr>
            <w:r>
              <w:rPr>
                <w:rFonts w:ascii="Times New Roman" w:hAnsi="Times New Roman"/>
                <w:sz w:val="15"/>
              </w:rPr>
              <w:t>0.9362</w:t>
            </w:r>
          </w:p>
        </w:tc>
        <w:tc>
          <w:tcPr>
            <w:tcW w:type="dxa" w:w="1303"/>
            <w:shd w:fill="FFFFFF"/>
            <w:tcMar>
              <w:top w:w="60" w:type="dxa"/>
              <w:bottom w:w="60" w:type="dxa"/>
              <w:left w:w="100" w:type="dxa"/>
              <w:right w:w="100" w:type="dxa"/>
            </w:tcMar>
          </w:tcPr>
          <w:p>
            <w:pPr>
              <w:jc w:val="left"/>
            </w:pPr>
            <w:r>
              <w:rPr>
                <w:rFonts w:ascii="Times New Roman" w:hAnsi="Times New Roman"/>
                <w:sz w:val="15"/>
              </w:rPr>
              <w:t>0.04680</w:t>
            </w:r>
          </w:p>
        </w:tc>
        <w:tc>
          <w:tcPr>
            <w:tcW w:type="dxa" w:w="1303"/>
            <w:shd w:fill="FFFFFF"/>
            <w:tcMar>
              <w:top w:w="60" w:type="dxa"/>
              <w:bottom w:w="60" w:type="dxa"/>
              <w:left w:w="100" w:type="dxa"/>
              <w:right w:w="100" w:type="dxa"/>
            </w:tcMar>
          </w:tcPr>
          <w:p>
            <w:pPr>
              <w:jc w:val="left"/>
            </w:pPr>
            <w:r>
              <w:rPr>
                <w:rFonts w:ascii="Times New Roman" w:hAnsi="Times New Roman"/>
                <w:sz w:val="15"/>
              </w:rPr>
              <w:t>0.8812</w:t>
            </w:r>
          </w:p>
        </w:tc>
        <w:tc>
          <w:tcPr>
            <w:tcW w:type="dxa" w:w="1303"/>
            <w:shd w:fill="FFFFFF"/>
            <w:tcMar>
              <w:top w:w="60" w:type="dxa"/>
              <w:bottom w:w="60" w:type="dxa"/>
              <w:left w:w="100" w:type="dxa"/>
              <w:right w:w="100" w:type="dxa"/>
            </w:tcMar>
          </w:tcPr>
          <w:p>
            <w:pPr>
              <w:jc w:val="left"/>
            </w:pPr>
            <w:r>
              <w:rPr>
                <w:rFonts w:ascii="Times New Roman" w:hAnsi="Times New Roman"/>
                <w:sz w:val="15"/>
              </w:rPr>
              <w:t>0.04710 ± 0.00098</w:t>
            </w:r>
          </w:p>
        </w:tc>
        <w:tc>
          <w:tcPr>
            <w:tcW w:type="dxa" w:w="1303"/>
            <w:shd w:fill="FFFFFF"/>
            <w:tcMar>
              <w:top w:w="60" w:type="dxa"/>
              <w:bottom w:w="60" w:type="dxa"/>
              <w:left w:w="100" w:type="dxa"/>
              <w:right w:w="100" w:type="dxa"/>
            </w:tcMar>
          </w:tcPr>
          <w:p>
            <w:pPr>
              <w:jc w:val="left"/>
            </w:pPr>
            <w:r>
              <w:rPr>
                <w:rFonts w:ascii="Times New Roman" w:hAnsi="Times New Roman"/>
                <w:sz w:val="15"/>
              </w:rPr>
              <w:t>1.95</w:t>
            </w:r>
          </w:p>
        </w:tc>
        <w:tc>
          <w:tcPr>
            <w:tcW w:type="dxa" w:w="1303"/>
            <w:shd w:fill="FFFFFF"/>
            <w:tcMar>
              <w:top w:w="60" w:type="dxa"/>
              <w:bottom w:w="60" w:type="dxa"/>
              <w:left w:w="100" w:type="dxa"/>
              <w:right w:w="100" w:type="dxa"/>
            </w:tcMar>
          </w:tcPr>
          <w:p>
            <w:pPr>
              <w:jc w:val="left"/>
            </w:pPr>
            <w:r>
              <w:rPr>
                <w:rFonts w:ascii="Times New Roman" w:hAnsi="Times New Roman"/>
                <w:sz w:val="15"/>
              </w:rPr>
              <w:t>ML Ensemble</w:t>
            </w:r>
          </w:p>
        </w:tc>
      </w:tr>
      <w:tr>
        <w:tc>
          <w:tcPr>
            <w:tcW w:type="dxa" w:w="1303"/>
            <w:shd w:fill="F2F5F8"/>
            <w:tcMar>
              <w:top w:w="60" w:type="dxa"/>
              <w:bottom w:w="60" w:type="dxa"/>
              <w:left w:w="100" w:type="dxa"/>
              <w:right w:w="100" w:type="dxa"/>
            </w:tcMar>
          </w:tcPr>
          <w:p>
            <w:pPr>
              <w:jc w:val="left"/>
            </w:pPr>
            <w:r>
              <w:rPr>
                <w:rFonts w:ascii="Times New Roman" w:hAnsi="Times New Roman"/>
                <w:sz w:val="15"/>
              </w:rPr>
              <w:t>Extra Trees</w:t>
            </w:r>
          </w:p>
        </w:tc>
        <w:tc>
          <w:tcPr>
            <w:tcW w:type="dxa" w:w="1303"/>
            <w:shd w:fill="F2F5F8"/>
            <w:tcMar>
              <w:top w:w="60" w:type="dxa"/>
              <w:bottom w:w="60" w:type="dxa"/>
              <w:left w:w="100" w:type="dxa"/>
              <w:right w:w="100" w:type="dxa"/>
            </w:tcMar>
          </w:tcPr>
          <w:p>
            <w:pPr>
              <w:jc w:val="left"/>
            </w:pPr>
            <w:r>
              <w:rPr>
                <w:rFonts w:ascii="Times New Roman" w:hAnsi="Times New Roman"/>
                <w:sz w:val="15"/>
              </w:rPr>
              <w:t>0.01425</w:t>
            </w:r>
          </w:p>
        </w:tc>
        <w:tc>
          <w:tcPr>
            <w:tcW w:type="dxa" w:w="1303"/>
            <w:shd w:fill="F2F5F8"/>
            <w:tcMar>
              <w:top w:w="60" w:type="dxa"/>
              <w:bottom w:w="60" w:type="dxa"/>
              <w:left w:w="100" w:type="dxa"/>
              <w:right w:w="100" w:type="dxa"/>
            </w:tcMar>
          </w:tcPr>
          <w:p>
            <w:pPr>
              <w:jc w:val="left"/>
            </w:pPr>
            <w:r>
              <w:rPr>
                <w:rFonts w:ascii="Times New Roman" w:hAnsi="Times New Roman"/>
                <w:sz w:val="15"/>
              </w:rPr>
              <w:t>0.9324</w:t>
            </w:r>
          </w:p>
        </w:tc>
        <w:tc>
          <w:tcPr>
            <w:tcW w:type="dxa" w:w="1303"/>
            <w:shd w:fill="F2F5F8"/>
            <w:tcMar>
              <w:top w:w="60" w:type="dxa"/>
              <w:bottom w:w="60" w:type="dxa"/>
              <w:left w:w="100" w:type="dxa"/>
              <w:right w:w="100" w:type="dxa"/>
            </w:tcMar>
          </w:tcPr>
          <w:p>
            <w:pPr>
              <w:jc w:val="left"/>
            </w:pPr>
            <w:r>
              <w:rPr>
                <w:rFonts w:ascii="Times New Roman" w:hAnsi="Times New Roman"/>
                <w:sz w:val="15"/>
              </w:rPr>
              <w:t>0.04890</w:t>
            </w:r>
          </w:p>
        </w:tc>
        <w:tc>
          <w:tcPr>
            <w:tcW w:type="dxa" w:w="1303"/>
            <w:shd w:fill="F2F5F8"/>
            <w:tcMar>
              <w:top w:w="60" w:type="dxa"/>
              <w:bottom w:w="60" w:type="dxa"/>
              <w:left w:w="100" w:type="dxa"/>
              <w:right w:w="100" w:type="dxa"/>
            </w:tcMar>
          </w:tcPr>
          <w:p>
            <w:pPr>
              <w:jc w:val="left"/>
            </w:pPr>
            <w:r>
              <w:rPr>
                <w:rFonts w:ascii="Times New Roman" w:hAnsi="Times New Roman"/>
                <w:sz w:val="15"/>
              </w:rPr>
              <w:t>0.8720</w:t>
            </w:r>
          </w:p>
        </w:tc>
        <w:tc>
          <w:tcPr>
            <w:tcW w:type="dxa" w:w="1303"/>
            <w:shd w:fill="F2F5F8"/>
            <w:tcMar>
              <w:top w:w="60" w:type="dxa"/>
              <w:bottom w:w="60" w:type="dxa"/>
              <w:left w:w="100" w:type="dxa"/>
              <w:right w:w="100" w:type="dxa"/>
            </w:tcMar>
          </w:tcPr>
          <w:p>
            <w:pPr>
              <w:jc w:val="left"/>
            </w:pPr>
            <w:r>
              <w:rPr>
                <w:rFonts w:ascii="Times New Roman" w:hAnsi="Times New Roman"/>
                <w:sz w:val="15"/>
              </w:rPr>
              <w:t>0.04930 ± 0.00105</w:t>
            </w:r>
          </w:p>
        </w:tc>
        <w:tc>
          <w:tcPr>
            <w:tcW w:type="dxa" w:w="1303"/>
            <w:shd w:fill="F2F5F8"/>
            <w:tcMar>
              <w:top w:w="60" w:type="dxa"/>
              <w:bottom w:w="60" w:type="dxa"/>
              <w:left w:w="100" w:type="dxa"/>
              <w:right w:w="100" w:type="dxa"/>
            </w:tcMar>
          </w:tcPr>
          <w:p>
            <w:pPr>
              <w:jc w:val="left"/>
            </w:pPr>
            <w:r>
              <w:rPr>
                <w:rFonts w:ascii="Times New Roman" w:hAnsi="Times New Roman"/>
                <w:sz w:val="15"/>
              </w:rPr>
              <w:t>4.82</w:t>
            </w:r>
          </w:p>
        </w:tc>
        <w:tc>
          <w:tcPr>
            <w:tcW w:type="dxa" w:w="1303"/>
            <w:shd w:fill="F2F5F8"/>
            <w:tcMar>
              <w:top w:w="60" w:type="dxa"/>
              <w:bottom w:w="60" w:type="dxa"/>
              <w:left w:w="100" w:type="dxa"/>
              <w:right w:w="100" w:type="dxa"/>
            </w:tcMar>
          </w:tcPr>
          <w:p>
            <w:pPr>
              <w:jc w:val="left"/>
            </w:pPr>
            <w:r>
              <w:rPr>
                <w:rFonts w:ascii="Times New Roman" w:hAnsi="Times New Roman"/>
                <w:sz w:val="15"/>
              </w:rPr>
              <w:t>ML Ensemble</w:t>
            </w:r>
          </w:p>
        </w:tc>
      </w:tr>
      <w:tr>
        <w:tc>
          <w:tcPr>
            <w:tcW w:type="dxa" w:w="1303"/>
            <w:shd w:fill="FFFFFF"/>
            <w:tcMar>
              <w:top w:w="60" w:type="dxa"/>
              <w:bottom w:w="60" w:type="dxa"/>
              <w:left w:w="100" w:type="dxa"/>
              <w:right w:w="100" w:type="dxa"/>
            </w:tcMar>
          </w:tcPr>
          <w:p>
            <w:pPr>
              <w:jc w:val="left"/>
            </w:pPr>
            <w:r>
              <w:rPr>
                <w:rFonts w:ascii="Times New Roman" w:hAnsi="Times New Roman"/>
                <w:sz w:val="15"/>
              </w:rPr>
              <w:t>Random Forest</w:t>
            </w:r>
          </w:p>
        </w:tc>
        <w:tc>
          <w:tcPr>
            <w:tcW w:type="dxa" w:w="1303"/>
            <w:shd w:fill="FFFFFF"/>
            <w:tcMar>
              <w:top w:w="60" w:type="dxa"/>
              <w:bottom w:w="60" w:type="dxa"/>
              <w:left w:w="100" w:type="dxa"/>
              <w:right w:w="100" w:type="dxa"/>
            </w:tcMar>
          </w:tcPr>
          <w:p>
            <w:pPr>
              <w:jc w:val="left"/>
            </w:pPr>
            <w:r>
              <w:rPr>
                <w:rFonts w:ascii="Times New Roman" w:hAnsi="Times New Roman"/>
                <w:sz w:val="15"/>
              </w:rPr>
              <w:t>0.01512</w:t>
            </w:r>
          </w:p>
        </w:tc>
        <w:tc>
          <w:tcPr>
            <w:tcW w:type="dxa" w:w="1303"/>
            <w:shd w:fill="FFFFFF"/>
            <w:tcMar>
              <w:top w:w="60" w:type="dxa"/>
              <w:bottom w:w="60" w:type="dxa"/>
              <w:left w:w="100" w:type="dxa"/>
              <w:right w:w="100" w:type="dxa"/>
            </w:tcMar>
          </w:tcPr>
          <w:p>
            <w:pPr>
              <w:jc w:val="left"/>
            </w:pPr>
            <w:r>
              <w:rPr>
                <w:rFonts w:ascii="Times New Roman" w:hAnsi="Times New Roman"/>
                <w:sz w:val="15"/>
              </w:rPr>
              <w:t>0.9245</w:t>
            </w:r>
          </w:p>
        </w:tc>
        <w:tc>
          <w:tcPr>
            <w:tcW w:type="dxa" w:w="1303"/>
            <w:shd w:fill="FFFFFF"/>
            <w:tcMar>
              <w:top w:w="60" w:type="dxa"/>
              <w:bottom w:w="60" w:type="dxa"/>
              <w:left w:w="100" w:type="dxa"/>
              <w:right w:w="100" w:type="dxa"/>
            </w:tcMar>
          </w:tcPr>
          <w:p>
            <w:pPr>
              <w:jc w:val="left"/>
            </w:pPr>
            <w:r>
              <w:rPr>
                <w:rFonts w:ascii="Times New Roman" w:hAnsi="Times New Roman"/>
                <w:sz w:val="15"/>
              </w:rPr>
              <w:t>0.05140</w:t>
            </w:r>
          </w:p>
        </w:tc>
        <w:tc>
          <w:tcPr>
            <w:tcW w:type="dxa" w:w="1303"/>
            <w:shd w:fill="FFFFFF"/>
            <w:tcMar>
              <w:top w:w="60" w:type="dxa"/>
              <w:bottom w:w="60" w:type="dxa"/>
              <w:left w:w="100" w:type="dxa"/>
              <w:right w:w="100" w:type="dxa"/>
            </w:tcMar>
          </w:tcPr>
          <w:p>
            <w:pPr>
              <w:jc w:val="left"/>
            </w:pPr>
            <w:r>
              <w:rPr>
                <w:rFonts w:ascii="Times New Roman" w:hAnsi="Times New Roman"/>
                <w:sz w:val="15"/>
              </w:rPr>
              <w:t>0.8605</w:t>
            </w:r>
          </w:p>
        </w:tc>
        <w:tc>
          <w:tcPr>
            <w:tcW w:type="dxa" w:w="1303"/>
            <w:shd w:fill="FFFFFF"/>
            <w:tcMar>
              <w:top w:w="60" w:type="dxa"/>
              <w:bottom w:w="60" w:type="dxa"/>
              <w:left w:w="100" w:type="dxa"/>
              <w:right w:w="100" w:type="dxa"/>
            </w:tcMar>
          </w:tcPr>
          <w:p>
            <w:pPr>
              <w:jc w:val="left"/>
            </w:pPr>
            <w:r>
              <w:rPr>
                <w:rFonts w:ascii="Times New Roman" w:hAnsi="Times New Roman"/>
                <w:sz w:val="15"/>
              </w:rPr>
              <w:t>0.05190 ± 0.00112</w:t>
            </w:r>
          </w:p>
        </w:tc>
        <w:tc>
          <w:tcPr>
            <w:tcW w:type="dxa" w:w="1303"/>
            <w:shd w:fill="FFFFFF"/>
            <w:tcMar>
              <w:top w:w="60" w:type="dxa"/>
              <w:bottom w:w="60" w:type="dxa"/>
              <w:left w:w="100" w:type="dxa"/>
              <w:right w:w="100" w:type="dxa"/>
            </w:tcMar>
          </w:tcPr>
          <w:p>
            <w:pPr>
              <w:jc w:val="left"/>
            </w:pPr>
            <w:r>
              <w:rPr>
                <w:rFonts w:ascii="Times New Roman" w:hAnsi="Times New Roman"/>
                <w:sz w:val="15"/>
              </w:rPr>
              <w:t>5.15</w:t>
            </w:r>
          </w:p>
        </w:tc>
        <w:tc>
          <w:tcPr>
            <w:tcW w:type="dxa" w:w="1303"/>
            <w:shd w:fill="FFFFFF"/>
            <w:tcMar>
              <w:top w:w="60" w:type="dxa"/>
              <w:bottom w:w="60" w:type="dxa"/>
              <w:left w:w="100" w:type="dxa"/>
              <w:right w:w="100" w:type="dxa"/>
            </w:tcMar>
          </w:tcPr>
          <w:p>
            <w:pPr>
              <w:jc w:val="left"/>
            </w:pPr>
            <w:r>
              <w:rPr>
                <w:rFonts w:ascii="Times New Roman" w:hAnsi="Times New Roman"/>
                <w:sz w:val="15"/>
              </w:rPr>
              <w:t>ML Ensemble</w:t>
            </w:r>
          </w:p>
        </w:tc>
      </w:tr>
      <w:tr>
        <w:tc>
          <w:tcPr>
            <w:tcW w:type="dxa" w:w="1303"/>
            <w:shd w:fill="F2F5F8"/>
            <w:tcMar>
              <w:top w:w="60" w:type="dxa"/>
              <w:bottom w:w="60" w:type="dxa"/>
              <w:left w:w="100" w:type="dxa"/>
              <w:right w:w="100" w:type="dxa"/>
            </w:tcMar>
          </w:tcPr>
          <w:p>
            <w:pPr>
              <w:jc w:val="left"/>
            </w:pPr>
            <w:r>
              <w:rPr>
                <w:rFonts w:ascii="Times New Roman" w:hAnsi="Times New Roman"/>
                <w:sz w:val="15"/>
              </w:rPr>
              <w:t>Ridge Regression</w:t>
            </w:r>
          </w:p>
        </w:tc>
        <w:tc>
          <w:tcPr>
            <w:tcW w:type="dxa" w:w="1303"/>
            <w:shd w:fill="F2F5F8"/>
            <w:tcMar>
              <w:top w:w="60" w:type="dxa"/>
              <w:bottom w:w="60" w:type="dxa"/>
              <w:left w:w="100" w:type="dxa"/>
              <w:right w:w="100" w:type="dxa"/>
            </w:tcMar>
          </w:tcPr>
          <w:p>
            <w:pPr>
              <w:jc w:val="left"/>
            </w:pPr>
            <w:r>
              <w:rPr>
                <w:rFonts w:ascii="Times New Roman" w:hAnsi="Times New Roman"/>
                <w:sz w:val="15"/>
              </w:rPr>
              <w:t>0.02845</w:t>
            </w:r>
          </w:p>
        </w:tc>
        <w:tc>
          <w:tcPr>
            <w:tcW w:type="dxa" w:w="1303"/>
            <w:shd w:fill="F2F5F8"/>
            <w:tcMar>
              <w:top w:w="60" w:type="dxa"/>
              <w:bottom w:w="60" w:type="dxa"/>
              <w:left w:w="100" w:type="dxa"/>
              <w:right w:w="100" w:type="dxa"/>
            </w:tcMar>
          </w:tcPr>
          <w:p>
            <w:pPr>
              <w:jc w:val="left"/>
            </w:pPr>
            <w:r>
              <w:rPr>
                <w:rFonts w:ascii="Times New Roman" w:hAnsi="Times New Roman"/>
                <w:sz w:val="15"/>
              </w:rPr>
              <w:t>0.7512</w:t>
            </w:r>
          </w:p>
        </w:tc>
        <w:tc>
          <w:tcPr>
            <w:tcW w:type="dxa" w:w="1303"/>
            <w:shd w:fill="F2F5F8"/>
            <w:tcMar>
              <w:top w:w="60" w:type="dxa"/>
              <w:bottom w:w="60" w:type="dxa"/>
              <w:left w:w="100" w:type="dxa"/>
              <w:right w:w="100" w:type="dxa"/>
            </w:tcMar>
          </w:tcPr>
          <w:p>
            <w:pPr>
              <w:jc w:val="left"/>
            </w:pPr>
            <w:r>
              <w:rPr>
                <w:rFonts w:ascii="Times New Roman" w:hAnsi="Times New Roman"/>
                <w:sz w:val="15"/>
              </w:rPr>
              <w:t>0.07820</w:t>
            </w:r>
          </w:p>
        </w:tc>
        <w:tc>
          <w:tcPr>
            <w:tcW w:type="dxa" w:w="1303"/>
            <w:shd w:fill="F2F5F8"/>
            <w:tcMar>
              <w:top w:w="60" w:type="dxa"/>
              <w:bottom w:w="60" w:type="dxa"/>
              <w:left w:w="100" w:type="dxa"/>
              <w:right w:w="100" w:type="dxa"/>
            </w:tcMar>
          </w:tcPr>
          <w:p>
            <w:pPr>
              <w:jc w:val="left"/>
            </w:pPr>
            <w:r>
              <w:rPr>
                <w:rFonts w:ascii="Times New Roman" w:hAnsi="Times New Roman"/>
                <w:sz w:val="15"/>
              </w:rPr>
              <w:t>0.6940</w:t>
            </w:r>
          </w:p>
        </w:tc>
        <w:tc>
          <w:tcPr>
            <w:tcW w:type="dxa" w:w="1303"/>
            <w:shd w:fill="F2F5F8"/>
            <w:tcMar>
              <w:top w:w="60" w:type="dxa"/>
              <w:bottom w:w="60" w:type="dxa"/>
              <w:left w:w="100" w:type="dxa"/>
              <w:right w:w="100" w:type="dxa"/>
            </w:tcMar>
          </w:tcPr>
          <w:p>
            <w:pPr>
              <w:jc w:val="left"/>
            </w:pPr>
            <w:r>
              <w:rPr>
                <w:rFonts w:ascii="Times New Roman" w:hAnsi="Times New Roman"/>
                <w:sz w:val="15"/>
              </w:rPr>
              <w:t>0.07890 ± 0.00165</w:t>
            </w:r>
          </w:p>
        </w:tc>
        <w:tc>
          <w:tcPr>
            <w:tcW w:type="dxa" w:w="1303"/>
            <w:shd w:fill="F2F5F8"/>
            <w:tcMar>
              <w:top w:w="60" w:type="dxa"/>
              <w:bottom w:w="60" w:type="dxa"/>
              <w:left w:w="100" w:type="dxa"/>
              <w:right w:w="100" w:type="dxa"/>
            </w:tcMar>
          </w:tcPr>
          <w:p>
            <w:pPr>
              <w:jc w:val="left"/>
            </w:pPr>
            <w:r>
              <w:rPr>
                <w:rFonts w:ascii="Times New Roman" w:hAnsi="Times New Roman"/>
                <w:sz w:val="15"/>
              </w:rPr>
              <w:t>0.42</w:t>
            </w:r>
          </w:p>
        </w:tc>
        <w:tc>
          <w:tcPr>
            <w:tcW w:type="dxa" w:w="1303"/>
            <w:shd w:fill="F2F5F8"/>
            <w:tcMar>
              <w:top w:w="60" w:type="dxa"/>
              <w:bottom w:w="60" w:type="dxa"/>
              <w:left w:w="100" w:type="dxa"/>
              <w:right w:w="100" w:type="dxa"/>
            </w:tcMar>
          </w:tcPr>
          <w:p>
            <w:pPr>
              <w:jc w:val="left"/>
            </w:pPr>
            <w:r>
              <w:rPr>
                <w:rFonts w:ascii="Times New Roman" w:hAnsi="Times New Roman"/>
                <w:sz w:val="15"/>
              </w:rPr>
              <w:t>Linear Baseline</w:t>
            </w:r>
          </w:p>
        </w:tc>
      </w:tr>
      <w:tr>
        <w:tc>
          <w:tcPr>
            <w:tcW w:type="dxa" w:w="1303"/>
            <w:shd w:fill="FFFFFF"/>
            <w:tcMar>
              <w:top w:w="60" w:type="dxa"/>
              <w:bottom w:w="60" w:type="dxa"/>
              <w:left w:w="100" w:type="dxa"/>
              <w:right w:w="100" w:type="dxa"/>
            </w:tcMar>
          </w:tcPr>
          <w:p>
            <w:pPr>
              <w:jc w:val="left"/>
            </w:pPr>
            <w:r>
              <w:rPr>
                <w:rFonts w:ascii="Times New Roman" w:hAnsi="Times New Roman"/>
                <w:sz w:val="15"/>
              </w:rPr>
              <w:t>Static Dijkstra</w:t>
            </w:r>
          </w:p>
        </w:tc>
        <w:tc>
          <w:tcPr>
            <w:tcW w:type="dxa" w:w="1303"/>
            <w:shd w:fill="FFFFFF"/>
            <w:tcMar>
              <w:top w:w="60" w:type="dxa"/>
              <w:bottom w:w="60" w:type="dxa"/>
              <w:left w:w="100" w:type="dxa"/>
              <w:right w:w="100" w:type="dxa"/>
            </w:tcMar>
          </w:tcPr>
          <w:p>
            <w:pPr>
              <w:jc w:val="left"/>
            </w:pPr>
            <w:r>
              <w:rPr>
                <w:rFonts w:ascii="Times New Roman" w:hAnsi="Times New Roman"/>
                <w:sz w:val="15"/>
              </w:rPr>
              <w:t>0.08720</w:t>
            </w:r>
          </w:p>
        </w:tc>
        <w:tc>
          <w:tcPr>
            <w:tcW w:type="dxa" w:w="1303"/>
            <w:shd w:fill="FFFFFF"/>
            <w:tcMar>
              <w:top w:w="60" w:type="dxa"/>
              <w:bottom w:w="60" w:type="dxa"/>
              <w:left w:w="100" w:type="dxa"/>
              <w:right w:w="100" w:type="dxa"/>
            </w:tcMar>
          </w:tcPr>
          <w:p>
            <w:pPr>
              <w:jc w:val="left"/>
            </w:pPr>
            <w:r>
              <w:rPr>
                <w:rFonts w:ascii="Times New Roman" w:hAnsi="Times New Roman"/>
                <w:sz w:val="15"/>
              </w:rPr>
              <w:t>0.0000</w:t>
            </w:r>
          </w:p>
        </w:tc>
        <w:tc>
          <w:tcPr>
            <w:tcW w:type="dxa" w:w="1303"/>
            <w:shd w:fill="FFFFFF"/>
            <w:tcMar>
              <w:top w:w="60" w:type="dxa"/>
              <w:bottom w:w="60" w:type="dxa"/>
              <w:left w:w="100" w:type="dxa"/>
              <w:right w:w="100" w:type="dxa"/>
            </w:tcMar>
          </w:tcPr>
          <w:p>
            <w:pPr>
              <w:jc w:val="left"/>
            </w:pPr>
            <w:r>
              <w:rPr>
                <w:rFonts w:ascii="Times New Roman" w:hAnsi="Times New Roman"/>
                <w:sz w:val="15"/>
              </w:rPr>
              <w:t>0.14200</w:t>
            </w:r>
          </w:p>
        </w:tc>
        <w:tc>
          <w:tcPr>
            <w:tcW w:type="dxa" w:w="1303"/>
            <w:shd w:fill="FFFFFF"/>
            <w:tcMar>
              <w:top w:w="60" w:type="dxa"/>
              <w:bottom w:w="60" w:type="dxa"/>
              <w:left w:w="100" w:type="dxa"/>
              <w:right w:w="100" w:type="dxa"/>
            </w:tcMar>
          </w:tcPr>
          <w:p>
            <w:pPr>
              <w:jc w:val="left"/>
            </w:pPr>
            <w:r>
              <w:rPr>
                <w:rFonts w:ascii="Times New Roman" w:hAnsi="Times New Roman"/>
                <w:sz w:val="15"/>
              </w:rPr>
              <w:t>0.0000</w:t>
            </w:r>
          </w:p>
        </w:tc>
        <w:tc>
          <w:tcPr>
            <w:tcW w:type="dxa" w:w="1303"/>
            <w:shd w:fill="FFFFFF"/>
            <w:tcMar>
              <w:top w:w="60" w:type="dxa"/>
              <w:bottom w:w="60" w:type="dxa"/>
              <w:left w:w="100" w:type="dxa"/>
              <w:right w:w="100" w:type="dxa"/>
            </w:tcMar>
          </w:tcPr>
          <w:p>
            <w:pPr>
              <w:jc w:val="left"/>
            </w:pPr>
            <w:r>
              <w:rPr>
                <w:rFonts w:ascii="Times New Roman" w:hAnsi="Times New Roman"/>
                <w:sz w:val="15"/>
              </w:rPr>
              <w:t>N/A (deterministic)</w:t>
            </w:r>
          </w:p>
        </w:tc>
        <w:tc>
          <w:tcPr>
            <w:tcW w:type="dxa" w:w="1303"/>
            <w:shd w:fill="FFFFFF"/>
            <w:tcMar>
              <w:top w:w="60" w:type="dxa"/>
              <w:bottom w:w="60" w:type="dxa"/>
              <w:left w:w="100" w:type="dxa"/>
              <w:right w:w="100" w:type="dxa"/>
            </w:tcMar>
          </w:tcPr>
          <w:p>
            <w:pPr>
              <w:jc w:val="left"/>
            </w:pPr>
            <w:r>
              <w:rPr>
                <w:rFonts w:ascii="Times New Roman" w:hAnsi="Times New Roman"/>
                <w:sz w:val="15"/>
              </w:rPr>
              <w:t>1.20</w:t>
            </w:r>
          </w:p>
        </w:tc>
        <w:tc>
          <w:tcPr>
            <w:tcW w:type="dxa" w:w="1303"/>
            <w:shd w:fill="FFFFFF"/>
            <w:tcMar>
              <w:top w:w="60" w:type="dxa"/>
              <w:bottom w:w="60" w:type="dxa"/>
              <w:left w:w="100" w:type="dxa"/>
              <w:right w:w="100" w:type="dxa"/>
            </w:tcMar>
          </w:tcPr>
          <w:p>
            <w:pPr>
              <w:jc w:val="left"/>
            </w:pPr>
            <w:r>
              <w:rPr>
                <w:rFonts w:ascii="Times New Roman" w:hAnsi="Times New Roman"/>
                <w:sz w:val="15"/>
              </w:rPr>
              <w:t>Non-ML Baseline</w:t>
            </w:r>
          </w:p>
        </w:tc>
      </w:tr>
      <w:tr>
        <w:tc>
          <w:tcPr>
            <w:tcW w:type="dxa" w:w="1303"/>
            <w:shd w:fill="F2F5F8"/>
            <w:tcMar>
              <w:top w:w="60" w:type="dxa"/>
              <w:bottom w:w="60" w:type="dxa"/>
              <w:left w:w="100" w:type="dxa"/>
              <w:right w:w="100" w:type="dxa"/>
            </w:tcMar>
          </w:tcPr>
          <w:p>
            <w:pPr>
              <w:jc w:val="left"/>
            </w:pPr>
            <w:r>
              <w:rPr>
                <w:rFonts w:ascii="Times New Roman" w:hAnsi="Times New Roman"/>
                <w:sz w:val="15"/>
              </w:rPr>
              <w:t>Static A*</w:t>
            </w:r>
          </w:p>
        </w:tc>
        <w:tc>
          <w:tcPr>
            <w:tcW w:type="dxa" w:w="1303"/>
            <w:shd w:fill="F2F5F8"/>
            <w:tcMar>
              <w:top w:w="60" w:type="dxa"/>
              <w:bottom w:w="60" w:type="dxa"/>
              <w:left w:w="100" w:type="dxa"/>
              <w:right w:w="100" w:type="dxa"/>
            </w:tcMar>
          </w:tcPr>
          <w:p>
            <w:pPr>
              <w:jc w:val="left"/>
            </w:pPr>
            <w:r>
              <w:rPr>
                <w:rFonts w:ascii="Times New Roman" w:hAnsi="Times New Roman"/>
                <w:sz w:val="15"/>
              </w:rPr>
              <w:t>0.08720</w:t>
            </w:r>
          </w:p>
        </w:tc>
        <w:tc>
          <w:tcPr>
            <w:tcW w:type="dxa" w:w="1303"/>
            <w:shd w:fill="F2F5F8"/>
            <w:tcMar>
              <w:top w:w="60" w:type="dxa"/>
              <w:bottom w:w="60" w:type="dxa"/>
              <w:left w:w="100" w:type="dxa"/>
              <w:right w:w="100" w:type="dxa"/>
            </w:tcMar>
          </w:tcPr>
          <w:p>
            <w:pPr>
              <w:jc w:val="left"/>
            </w:pPr>
            <w:r>
              <w:rPr>
                <w:rFonts w:ascii="Times New Roman" w:hAnsi="Times New Roman"/>
                <w:sz w:val="15"/>
              </w:rPr>
              <w:t>0.0000</w:t>
            </w:r>
          </w:p>
        </w:tc>
        <w:tc>
          <w:tcPr>
            <w:tcW w:type="dxa" w:w="1303"/>
            <w:shd w:fill="F2F5F8"/>
            <w:tcMar>
              <w:top w:w="60" w:type="dxa"/>
              <w:bottom w:w="60" w:type="dxa"/>
              <w:left w:w="100" w:type="dxa"/>
              <w:right w:w="100" w:type="dxa"/>
            </w:tcMar>
          </w:tcPr>
          <w:p>
            <w:pPr>
              <w:jc w:val="left"/>
            </w:pPr>
            <w:r>
              <w:rPr>
                <w:rFonts w:ascii="Times New Roman" w:hAnsi="Times New Roman"/>
                <w:sz w:val="15"/>
              </w:rPr>
              <w:t>0.14200</w:t>
            </w:r>
          </w:p>
        </w:tc>
        <w:tc>
          <w:tcPr>
            <w:tcW w:type="dxa" w:w="1303"/>
            <w:shd w:fill="F2F5F8"/>
            <w:tcMar>
              <w:top w:w="60" w:type="dxa"/>
              <w:bottom w:w="60" w:type="dxa"/>
              <w:left w:w="100" w:type="dxa"/>
              <w:right w:w="100" w:type="dxa"/>
            </w:tcMar>
          </w:tcPr>
          <w:p>
            <w:pPr>
              <w:jc w:val="left"/>
            </w:pPr>
            <w:r>
              <w:rPr>
                <w:rFonts w:ascii="Times New Roman" w:hAnsi="Times New Roman"/>
                <w:sz w:val="15"/>
              </w:rPr>
              <w:t>0.0000</w:t>
            </w:r>
          </w:p>
        </w:tc>
        <w:tc>
          <w:tcPr>
            <w:tcW w:type="dxa" w:w="1303"/>
            <w:shd w:fill="F2F5F8"/>
            <w:tcMar>
              <w:top w:w="60" w:type="dxa"/>
              <w:bottom w:w="60" w:type="dxa"/>
              <w:left w:w="100" w:type="dxa"/>
              <w:right w:w="100" w:type="dxa"/>
            </w:tcMar>
          </w:tcPr>
          <w:p>
            <w:pPr>
              <w:jc w:val="left"/>
            </w:pPr>
            <w:r>
              <w:rPr>
                <w:rFonts w:ascii="Times New Roman" w:hAnsi="Times New Roman"/>
                <w:sz w:val="15"/>
              </w:rPr>
              <w:t>N/A (deterministic)</w:t>
            </w:r>
          </w:p>
        </w:tc>
        <w:tc>
          <w:tcPr>
            <w:tcW w:type="dxa" w:w="1303"/>
            <w:shd w:fill="F2F5F8"/>
            <w:tcMar>
              <w:top w:w="60" w:type="dxa"/>
              <w:bottom w:w="60" w:type="dxa"/>
              <w:left w:w="100" w:type="dxa"/>
              <w:right w:w="100" w:type="dxa"/>
            </w:tcMar>
          </w:tcPr>
          <w:p>
            <w:pPr>
              <w:jc w:val="left"/>
            </w:pPr>
            <w:r>
              <w:rPr>
                <w:rFonts w:ascii="Times New Roman" w:hAnsi="Times New Roman"/>
                <w:sz w:val="15"/>
              </w:rPr>
              <w:t>0.85</w:t>
            </w:r>
          </w:p>
        </w:tc>
        <w:tc>
          <w:tcPr>
            <w:tcW w:type="dxa" w:w="1303"/>
            <w:shd w:fill="F2F5F8"/>
            <w:tcMar>
              <w:top w:w="60" w:type="dxa"/>
              <w:bottom w:w="60" w:type="dxa"/>
              <w:left w:w="100" w:type="dxa"/>
              <w:right w:w="100" w:type="dxa"/>
            </w:tcMar>
          </w:tcPr>
          <w:p>
            <w:pPr>
              <w:jc w:val="left"/>
            </w:pPr>
            <w:r>
              <w:rPr>
                <w:rFonts w:ascii="Times New Roman" w:hAnsi="Times New Roman"/>
                <w:sz w:val="15"/>
              </w:rPr>
              <w:t>Non-ML Baseline</w:t>
            </w:r>
          </w:p>
        </w:tc>
      </w:tr>
      <w:tr>
        <w:tc>
          <w:tcPr>
            <w:tcW w:type="dxa" w:w="1303"/>
            <w:shd w:fill="FFFFFF"/>
            <w:tcMar>
              <w:top w:w="60" w:type="dxa"/>
              <w:bottom w:w="60" w:type="dxa"/>
              <w:left w:w="100" w:type="dxa"/>
              <w:right w:w="100" w:type="dxa"/>
            </w:tcMar>
          </w:tcPr>
          <w:p>
            <w:pPr>
              <w:jc w:val="left"/>
            </w:pPr>
            <w:r>
              <w:rPr>
                <w:rFonts w:ascii="Times New Roman" w:hAnsi="Times New Roman"/>
                <w:sz w:val="15"/>
              </w:rPr>
              <w:t>Mean-Speed (factor=1.0)</w:t>
            </w:r>
          </w:p>
        </w:tc>
        <w:tc>
          <w:tcPr>
            <w:tcW w:type="dxa" w:w="1303"/>
            <w:shd w:fill="FFFFFF"/>
            <w:tcMar>
              <w:top w:w="60" w:type="dxa"/>
              <w:bottom w:w="60" w:type="dxa"/>
              <w:left w:w="100" w:type="dxa"/>
              <w:right w:w="100" w:type="dxa"/>
            </w:tcMar>
          </w:tcPr>
          <w:p>
            <w:pPr>
              <w:jc w:val="left"/>
            </w:pPr>
            <w:r>
              <w:rPr>
                <w:rFonts w:ascii="Times New Roman" w:hAnsi="Times New Roman"/>
                <w:sz w:val="15"/>
              </w:rPr>
              <w:t>0.07150</w:t>
            </w:r>
          </w:p>
        </w:tc>
        <w:tc>
          <w:tcPr>
            <w:tcW w:type="dxa" w:w="1303"/>
            <w:shd w:fill="FFFFFF"/>
            <w:tcMar>
              <w:top w:w="60" w:type="dxa"/>
              <w:bottom w:w="60" w:type="dxa"/>
              <w:left w:w="100" w:type="dxa"/>
              <w:right w:w="100" w:type="dxa"/>
            </w:tcMar>
          </w:tcPr>
          <w:p>
            <w:pPr>
              <w:jc w:val="left"/>
            </w:pPr>
            <w:r>
              <w:rPr>
                <w:rFonts w:ascii="Times New Roman" w:hAnsi="Times New Roman"/>
                <w:sz w:val="15"/>
              </w:rPr>
              <w:t>0.0000</w:t>
            </w:r>
          </w:p>
        </w:tc>
        <w:tc>
          <w:tcPr>
            <w:tcW w:type="dxa" w:w="1303"/>
            <w:shd w:fill="FFFFFF"/>
            <w:tcMar>
              <w:top w:w="60" w:type="dxa"/>
              <w:bottom w:w="60" w:type="dxa"/>
              <w:left w:w="100" w:type="dxa"/>
              <w:right w:w="100" w:type="dxa"/>
            </w:tcMar>
          </w:tcPr>
          <w:p>
            <w:pPr>
              <w:jc w:val="left"/>
            </w:pPr>
            <w:r>
              <w:rPr>
                <w:rFonts w:ascii="Times New Roman" w:hAnsi="Times New Roman"/>
                <w:sz w:val="15"/>
              </w:rPr>
              <w:t>0.11850</w:t>
            </w:r>
          </w:p>
        </w:tc>
        <w:tc>
          <w:tcPr>
            <w:tcW w:type="dxa" w:w="1303"/>
            <w:shd w:fill="FFFFFF"/>
            <w:tcMar>
              <w:top w:w="60" w:type="dxa"/>
              <w:bottom w:w="60" w:type="dxa"/>
              <w:left w:w="100" w:type="dxa"/>
              <w:right w:w="100" w:type="dxa"/>
            </w:tcMar>
          </w:tcPr>
          <w:p>
            <w:pPr>
              <w:jc w:val="left"/>
            </w:pPr>
            <w:r>
              <w:rPr>
                <w:rFonts w:ascii="Times New Roman" w:hAnsi="Times New Roman"/>
                <w:sz w:val="15"/>
              </w:rPr>
              <w:t>0.0000</w:t>
            </w:r>
          </w:p>
        </w:tc>
        <w:tc>
          <w:tcPr>
            <w:tcW w:type="dxa" w:w="1303"/>
            <w:shd w:fill="FFFFFF"/>
            <w:tcMar>
              <w:top w:w="60" w:type="dxa"/>
              <w:bottom w:w="60" w:type="dxa"/>
              <w:left w:w="100" w:type="dxa"/>
              <w:right w:w="100" w:type="dxa"/>
            </w:tcMar>
          </w:tcPr>
          <w:p>
            <w:pPr>
              <w:jc w:val="left"/>
            </w:pPr>
            <w:r>
              <w:rPr>
                <w:rFonts w:ascii="Times New Roman" w:hAnsi="Times New Roman"/>
                <w:sz w:val="15"/>
              </w:rPr>
              <w:t>N/A (constant)</w:t>
            </w:r>
          </w:p>
        </w:tc>
        <w:tc>
          <w:tcPr>
            <w:tcW w:type="dxa" w:w="1303"/>
            <w:shd w:fill="FFFFFF"/>
            <w:tcMar>
              <w:top w:w="60" w:type="dxa"/>
              <w:bottom w:w="60" w:type="dxa"/>
              <w:left w:w="100" w:type="dxa"/>
              <w:right w:w="100" w:type="dxa"/>
            </w:tcMar>
          </w:tcPr>
          <w:p>
            <w:pPr>
              <w:jc w:val="left"/>
            </w:pPr>
            <w:r>
              <w:rPr>
                <w:rFonts w:ascii="Times New Roman" w:hAnsi="Times New Roman"/>
                <w:sz w:val="15"/>
              </w:rPr>
              <w:t>0.01</w:t>
            </w:r>
          </w:p>
        </w:tc>
        <w:tc>
          <w:tcPr>
            <w:tcW w:type="dxa" w:w="1303"/>
            <w:shd w:fill="FFFFFF"/>
            <w:tcMar>
              <w:top w:w="60" w:type="dxa"/>
              <w:bottom w:w="60" w:type="dxa"/>
              <w:left w:w="100" w:type="dxa"/>
              <w:right w:w="100" w:type="dxa"/>
            </w:tcMar>
          </w:tcPr>
          <w:p>
            <w:pPr>
              <w:jc w:val="left"/>
            </w:pPr>
            <w:r>
              <w:rPr>
                <w:rFonts w:ascii="Times New Roman" w:hAnsi="Times New Roman"/>
                <w:sz w:val="15"/>
              </w:rPr>
              <w:t>Trivial Baseline</w:t>
            </w:r>
          </w:p>
        </w:tc>
      </w:tr>
    </w:tbl>
    <w:p>
      <w:pPr>
        <w:spacing w:before="0" w:after="80" w:line="252" w:lineRule="auto"/>
        <w:jc w:val="both"/>
      </w:pPr>
      <w:r>
        <w:rPr>
          <w:rFonts w:ascii="Times New Roman" w:hAnsi="Times New Roman"/>
          <w:sz w:val="19"/>
        </w:rPr>
      </w:r>
    </w:p>
    <w:p>
      <w:pPr>
        <w:spacing w:before="160" w:after="40"/>
        <w:jc w:val="center"/>
      </w:pPr>
      <w:r>
        <w:drawing>
          <wp:inline xmlns:a="http://schemas.openxmlformats.org/drawingml/2006/main" xmlns:pic="http://schemas.openxmlformats.org/drawingml/2006/picture">
            <wp:extent cx="2926080" cy="1950720"/>
            <wp:docPr id="2" name="Picture 2"/>
            <wp:cNvGraphicFramePr>
              <a:graphicFrameLocks noChangeAspect="1"/>
            </wp:cNvGraphicFramePr>
            <a:graphic>
              <a:graphicData uri="http://schemas.openxmlformats.org/drawingml/2006/picture">
                <pic:pic>
                  <pic:nvPicPr>
                    <pic:cNvPr id="0" name="fig4_model_comparison.png"/>
                    <pic:cNvPicPr/>
                  </pic:nvPicPr>
                  <pic:blipFill>
                    <a:blip r:embed="rId11"/>
                    <a:stretch>
                      <a:fillRect/>
                    </a:stretch>
                  </pic:blipFill>
                  <pic:spPr>
                    <a:xfrm>
                      <a:off x="0" y="0"/>
                      <a:ext cx="2926080" cy="1950720"/>
                    </a:xfrm>
                    <a:prstGeom prst="rect"/>
                  </pic:spPr>
                </pic:pic>
              </a:graphicData>
            </a:graphic>
          </wp:inline>
        </w:drawing>
      </w:r>
    </w:p>
    <w:p>
      <w:pPr>
        <w:spacing w:before="40" w:after="120" w:line="240" w:lineRule="auto"/>
        <w:jc w:val="center"/>
      </w:pPr>
      <w:r>
        <w:rPr>
          <w:rFonts w:ascii="Times New Roman" w:hAnsi="Times New Roman"/>
          <w:b/>
          <w:sz w:val="17"/>
        </w:rPr>
        <w:t xml:space="preserve">Fig. 2. </w:t>
      </w:r>
      <w:r>
        <w:rPr>
          <w:rFonts w:ascii="Times New Roman" w:hAnsi="Times New Roman"/>
          <w:sz w:val="17"/>
        </w:rPr>
        <w:t>Comparative benchmark performance (MAE vs. R² Score) across machine learning regressors.</w:t>
      </w:r>
    </w:p>
    <w:p>
      <w:pPr>
        <w:spacing w:before="0" w:after="120" w:line="252" w:lineRule="auto"/>
        <w:jc w:val="both"/>
      </w:pPr>
      <w:r>
        <w:rPr>
          <w:rFonts w:ascii="Times New Roman" w:hAnsi="Times New Roman"/>
          <w:sz w:val="19"/>
        </w:rPr>
        <w:t>Figure 2 illustrates the trade-off between forecasting accuracy (MAE, blue) and variance explained (R², red) across candidate machine learning regressors. Gradient boosting models (XGBoost and LightGBM) demonstrate superior performance, achieving R² &gt; 0.96 and MAE &lt; 0.011 on the benchmark, and R² &gt; 0.91 on real GPS traces, significantly outperforming linear Ridge Regression.</w:t>
      </w:r>
    </w:p>
    <w:p>
      <w:pPr>
        <w:keepNext/>
        <w:spacing w:before="200" w:after="60"/>
      </w:pPr>
      <w:r>
        <w:rPr>
          <w:rFonts w:ascii="Times New Roman" w:hAnsi="Times New Roman"/>
          <w:b/>
          <w:i/>
          <w:color w:val="000000"/>
          <w:sz w:val="20"/>
        </w:rPr>
        <w:t>B. Analysis of Results</w:t>
      </w:r>
    </w:p>
    <w:p>
      <w:pPr>
        <w:spacing w:before="0" w:after="80" w:line="252" w:lineRule="auto"/>
        <w:jc w:val="both"/>
      </w:pPr>
      <w:r>
        <w:rPr>
          <w:rFonts w:ascii="Times New Roman" w:hAnsi="Times New Roman"/>
          <w:sz w:val="19"/>
        </w:rPr>
        <w:t>As shown in Table II, XGBoost achieves R² = 0.9627 (MAE 0.0108) on the Kaggle benchmark and R² = 0.9142 (MAE 0.0384) on real Porto GPS trajectories with 2.75 ms inference latency. LightGBM delivers comparable precision (Kaggle R² = 0.9620, Porto R² = 0.9118) with lower inference latency (2.10 ms). The modest reduction in R² on real trajectories (0.9627 → 0.9142) reflects natural GPS noise, driver route choice variations, and signal loss, confirming robust real-world generalization. Non-ML baselines (Static Dijkstra and Static A*) yield 3.7× higher error on real trajectories (MAE 0.1420), confirming that dynamic ML reweighting provides significant improvements over static routing.</w:t>
      </w:r>
    </w:p>
    <w:p>
      <w:pPr>
        <w:keepNext/>
        <w:spacing w:before="200" w:after="60"/>
      </w:pPr>
      <w:r>
        <w:rPr>
          <w:rFonts w:ascii="Times New Roman" w:hAnsi="Times New Roman"/>
          <w:b/>
          <w:i/>
          <w:color w:val="000000"/>
          <w:sz w:val="20"/>
        </w:rPr>
        <w:t>C. WSM Weight Sensitivity Analysis</w:t>
      </w:r>
    </w:p>
    <w:p>
      <w:pPr>
        <w:spacing w:before="0" w:after="80" w:line="252" w:lineRule="auto"/>
        <w:jc w:val="both"/>
      </w:pPr>
      <w:r>
        <w:rPr>
          <w:rFonts w:ascii="Times New Roman" w:hAnsi="Times New Roman"/>
          <w:sz w:val="19"/>
        </w:rPr>
        <w:t>The 21-criterion WSM assigns weights based on domain heuristics reflecting user preferences. Table III presents dominant weight allocations and route ranking stability under ±20% weight perturbation.</w:t>
      </w:r>
    </w:p>
    <w:tbl>
      <w:tblPr>
        <w:tblW w:type="auto" w:w="0"/>
        <w:jc w:val="center"/>
        <w:tblLook w:firstColumn="1" w:firstRow="1" w:lastColumn="0" w:lastRow="0" w:noHBand="0" w:noVBand="1" w:val="04A0"/>
      </w:tblPr>
      <w:tblGrid>
        <w:gridCol w:w="2085"/>
        <w:gridCol w:w="2085"/>
        <w:gridCol w:w="2085"/>
        <w:gridCol w:w="2085"/>
        <w:gridCol w:w="2085"/>
      </w:tblGrid>
      <w:tr>
        <w:tc>
          <w:tcPr>
            <w:tcW w:type="dxa" w:w="2085"/>
            <w:shd w:fill="1B365D"/>
            <w:tcMar>
              <w:top w:w="60" w:type="dxa"/>
              <w:bottom w:w="60" w:type="dxa"/>
              <w:left w:w="100" w:type="dxa"/>
              <w:right w:w="100" w:type="dxa"/>
            </w:tcMar>
          </w:tcPr>
          <w:p>
            <w:r>
              <w:rPr>
                <w:b/>
                <w:color w:val="FFFFFF"/>
                <w:sz w:val="15"/>
              </w:rPr>
              <w:t>Profile</w:t>
            </w:r>
          </w:p>
        </w:tc>
        <w:tc>
          <w:tcPr>
            <w:tcW w:type="dxa" w:w="2085"/>
            <w:shd w:fill="1B365D"/>
            <w:tcMar>
              <w:top w:w="60" w:type="dxa"/>
              <w:bottom w:w="60" w:type="dxa"/>
              <w:left w:w="100" w:type="dxa"/>
              <w:right w:w="100" w:type="dxa"/>
            </w:tcMar>
          </w:tcPr>
          <w:p>
            <w:r>
              <w:rPr>
                <w:b/>
                <w:color w:val="FFFFFF"/>
                <w:sz w:val="15"/>
              </w:rPr>
              <w:t>Top-3 Weighted Criteria</w:t>
            </w:r>
          </w:p>
        </w:tc>
        <w:tc>
          <w:tcPr>
            <w:tcW w:type="dxa" w:w="2085"/>
            <w:shd w:fill="1B365D"/>
            <w:tcMar>
              <w:top w:w="60" w:type="dxa"/>
              <w:bottom w:w="60" w:type="dxa"/>
              <w:left w:w="100" w:type="dxa"/>
              <w:right w:w="100" w:type="dxa"/>
            </w:tcMar>
          </w:tcPr>
          <w:p>
            <w:r>
              <w:rPr>
                <w:b/>
                <w:color w:val="FFFFFF"/>
                <w:sz w:val="15"/>
              </w:rPr>
              <w:t>Dominant Weight Sum</w:t>
            </w:r>
          </w:p>
        </w:tc>
        <w:tc>
          <w:tcPr>
            <w:tcW w:type="dxa" w:w="2085"/>
            <w:shd w:fill="1B365D"/>
            <w:tcMar>
              <w:top w:w="60" w:type="dxa"/>
              <w:bottom w:w="60" w:type="dxa"/>
              <w:left w:w="100" w:type="dxa"/>
              <w:right w:w="100" w:type="dxa"/>
            </w:tcMar>
          </w:tcPr>
          <w:p>
            <w:r>
              <w:rPr>
                <w:b/>
                <w:color w:val="FFFFFF"/>
                <w:sz w:val="15"/>
              </w:rPr>
              <w:t>Rank Change on ±20% Perturbation</w:t>
            </w:r>
          </w:p>
        </w:tc>
        <w:tc>
          <w:tcPr>
            <w:tcW w:type="dxa" w:w="2085"/>
            <w:shd w:fill="1B365D"/>
            <w:tcMar>
              <w:top w:w="60" w:type="dxa"/>
              <w:bottom w:w="60" w:type="dxa"/>
              <w:left w:w="100" w:type="dxa"/>
              <w:right w:w="100" w:type="dxa"/>
            </w:tcMar>
          </w:tcPr>
          <w:p>
            <w:r>
              <w:rPr>
                <w:b/>
                <w:color w:val="FFFFFF"/>
                <w:sz w:val="15"/>
              </w:rPr>
              <w:t>Justification</w:t>
            </w:r>
          </w:p>
        </w:tc>
      </w:tr>
      <w:tr>
        <w:tc>
          <w:tcPr>
            <w:tcW w:type="dxa" w:w="2085"/>
            <w:shd w:fill="F2F5F8"/>
            <w:tcMar>
              <w:top w:w="60" w:type="dxa"/>
              <w:bottom w:w="60" w:type="dxa"/>
              <w:left w:w="100" w:type="dxa"/>
              <w:right w:w="100" w:type="dxa"/>
            </w:tcMar>
          </w:tcPr>
          <w:p>
            <w:pPr>
              <w:jc w:val="left"/>
            </w:pPr>
            <w:r>
              <w:rPr>
                <w:rFonts w:ascii="Times New Roman" w:hAnsi="Times New Roman"/>
                <w:sz w:val="15"/>
              </w:rPr>
              <w:t>FASTEST</w:t>
            </w:r>
          </w:p>
        </w:tc>
        <w:tc>
          <w:tcPr>
            <w:tcW w:type="dxa" w:w="2085"/>
            <w:shd w:fill="F2F5F8"/>
            <w:tcMar>
              <w:top w:w="60" w:type="dxa"/>
              <w:bottom w:w="60" w:type="dxa"/>
              <w:left w:w="100" w:type="dxa"/>
              <w:right w:w="100" w:type="dxa"/>
            </w:tcMar>
          </w:tcPr>
          <w:p>
            <w:pPr>
              <w:jc w:val="left"/>
            </w:pPr>
            <w:r>
              <w:rPr>
                <w:rFonts w:ascii="Times New Roman" w:hAnsi="Times New Roman"/>
                <w:sz w:val="15"/>
              </w:rPr>
              <w:t>travel_time (0.24), congestion (0.10), traffic_delay (0.08)</w:t>
            </w:r>
          </w:p>
        </w:tc>
        <w:tc>
          <w:tcPr>
            <w:tcW w:type="dxa" w:w="2085"/>
            <w:shd w:fill="F2F5F8"/>
            <w:tcMar>
              <w:top w:w="60" w:type="dxa"/>
              <w:bottom w:w="60" w:type="dxa"/>
              <w:left w:w="100" w:type="dxa"/>
              <w:right w:w="100" w:type="dxa"/>
            </w:tcMar>
          </w:tcPr>
          <w:p>
            <w:pPr>
              <w:jc w:val="left"/>
            </w:pPr>
            <w:r>
              <w:rPr>
                <w:rFonts w:ascii="Times New Roman" w:hAnsi="Times New Roman"/>
                <w:sz w:val="15"/>
              </w:rPr>
              <w:t>0.42 / 1.00</w:t>
            </w:r>
          </w:p>
        </w:tc>
        <w:tc>
          <w:tcPr>
            <w:tcW w:type="dxa" w:w="2085"/>
            <w:shd w:fill="F2F5F8"/>
            <w:tcMar>
              <w:top w:w="60" w:type="dxa"/>
              <w:bottom w:w="60" w:type="dxa"/>
              <w:left w:w="100" w:type="dxa"/>
              <w:right w:w="100" w:type="dxa"/>
            </w:tcMar>
          </w:tcPr>
          <w:p>
            <w:pPr>
              <w:jc w:val="left"/>
            </w:pPr>
            <w:r>
              <w:rPr>
                <w:rFonts w:ascii="Times New Roman" w:hAnsi="Times New Roman"/>
                <w:sz w:val="15"/>
              </w:rPr>
              <w:t>0/3 routes change rank</w:t>
            </w:r>
          </w:p>
        </w:tc>
        <w:tc>
          <w:tcPr>
            <w:tcW w:type="dxa" w:w="2085"/>
            <w:shd w:fill="F2F5F8"/>
            <w:tcMar>
              <w:top w:w="60" w:type="dxa"/>
              <w:bottom w:w="60" w:type="dxa"/>
              <w:left w:w="100" w:type="dxa"/>
              <w:right w:w="100" w:type="dxa"/>
            </w:tcMar>
          </w:tcPr>
          <w:p>
            <w:pPr>
              <w:jc w:val="left"/>
            </w:pPr>
            <w:r>
              <w:rPr>
                <w:rFonts w:ascii="Times New Roman" w:hAnsi="Times New Roman"/>
                <w:sz w:val="15"/>
              </w:rPr>
              <w:t>Minimizes travel duration; congestion &amp; delay amplify time cost</w:t>
            </w:r>
          </w:p>
        </w:tc>
      </w:tr>
      <w:tr>
        <w:tc>
          <w:tcPr>
            <w:tcW w:type="dxa" w:w="2085"/>
            <w:shd w:fill="FFFFFF"/>
            <w:tcMar>
              <w:top w:w="60" w:type="dxa"/>
              <w:bottom w:w="60" w:type="dxa"/>
              <w:left w:w="100" w:type="dxa"/>
              <w:right w:w="100" w:type="dxa"/>
            </w:tcMar>
          </w:tcPr>
          <w:p>
            <w:pPr>
              <w:jc w:val="left"/>
            </w:pPr>
            <w:r>
              <w:rPr>
                <w:rFonts w:ascii="Times New Roman" w:hAnsi="Times New Roman"/>
                <w:sz w:val="15"/>
              </w:rPr>
              <w:t>SAFEST</w:t>
            </w:r>
          </w:p>
        </w:tc>
        <w:tc>
          <w:tcPr>
            <w:tcW w:type="dxa" w:w="2085"/>
            <w:shd w:fill="FFFFFF"/>
            <w:tcMar>
              <w:top w:w="60" w:type="dxa"/>
              <w:bottom w:w="60" w:type="dxa"/>
              <w:left w:w="100" w:type="dxa"/>
              <w:right w:w="100" w:type="dxa"/>
            </w:tcMar>
          </w:tcPr>
          <w:p>
            <w:pPr>
              <w:jc w:val="left"/>
            </w:pPr>
            <w:r>
              <w:rPr>
                <w:rFonts w:ascii="Times New Roman" w:hAnsi="Times New Roman"/>
                <w:sz w:val="15"/>
              </w:rPr>
              <w:t>risk (0.14), incident_count (0.12), safety (0.12)</w:t>
            </w:r>
          </w:p>
        </w:tc>
        <w:tc>
          <w:tcPr>
            <w:tcW w:type="dxa" w:w="2085"/>
            <w:shd w:fill="FFFFFF"/>
            <w:tcMar>
              <w:top w:w="60" w:type="dxa"/>
              <w:bottom w:w="60" w:type="dxa"/>
              <w:left w:w="100" w:type="dxa"/>
              <w:right w:w="100" w:type="dxa"/>
            </w:tcMar>
          </w:tcPr>
          <w:p>
            <w:pPr>
              <w:jc w:val="left"/>
            </w:pPr>
            <w:r>
              <w:rPr>
                <w:rFonts w:ascii="Times New Roman" w:hAnsi="Times New Roman"/>
                <w:sz w:val="15"/>
              </w:rPr>
              <w:t>0.38 / 1.00</w:t>
            </w:r>
          </w:p>
        </w:tc>
        <w:tc>
          <w:tcPr>
            <w:tcW w:type="dxa" w:w="2085"/>
            <w:shd w:fill="FFFFFF"/>
            <w:tcMar>
              <w:top w:w="60" w:type="dxa"/>
              <w:bottom w:w="60" w:type="dxa"/>
              <w:left w:w="100" w:type="dxa"/>
              <w:right w:w="100" w:type="dxa"/>
            </w:tcMar>
          </w:tcPr>
          <w:p>
            <w:pPr>
              <w:jc w:val="left"/>
            </w:pPr>
            <w:r>
              <w:rPr>
                <w:rFonts w:ascii="Times New Roman" w:hAnsi="Times New Roman"/>
                <w:sz w:val="15"/>
              </w:rPr>
              <w:t>1/3 routes swap rank (R2↔R3)</w:t>
            </w:r>
          </w:p>
        </w:tc>
        <w:tc>
          <w:tcPr>
            <w:tcW w:type="dxa" w:w="2085"/>
            <w:shd w:fill="FFFFFF"/>
            <w:tcMar>
              <w:top w:w="60" w:type="dxa"/>
              <w:bottom w:w="60" w:type="dxa"/>
              <w:left w:w="100" w:type="dxa"/>
              <w:right w:w="100" w:type="dxa"/>
            </w:tcMar>
          </w:tcPr>
          <w:p>
            <w:pPr>
              <w:jc w:val="left"/>
            </w:pPr>
            <w:r>
              <w:rPr>
                <w:rFonts w:ascii="Times New Roman" w:hAnsi="Times New Roman"/>
                <w:sz w:val="15"/>
              </w:rPr>
              <w:t>Prioritizes hazard avoidance; incident/construction penalties dominate</w:t>
            </w:r>
          </w:p>
        </w:tc>
      </w:tr>
      <w:tr>
        <w:tc>
          <w:tcPr>
            <w:tcW w:type="dxa" w:w="2085"/>
            <w:shd w:fill="F2F5F8"/>
            <w:tcMar>
              <w:top w:w="60" w:type="dxa"/>
              <w:bottom w:w="60" w:type="dxa"/>
              <w:left w:w="100" w:type="dxa"/>
              <w:right w:w="100" w:type="dxa"/>
            </w:tcMar>
          </w:tcPr>
          <w:p>
            <w:pPr>
              <w:jc w:val="left"/>
            </w:pPr>
            <w:r>
              <w:rPr>
                <w:rFonts w:ascii="Times New Roman" w:hAnsi="Times New Roman"/>
                <w:sz w:val="15"/>
              </w:rPr>
              <w:t>ECO</w:t>
            </w:r>
          </w:p>
        </w:tc>
        <w:tc>
          <w:tcPr>
            <w:tcW w:type="dxa" w:w="2085"/>
            <w:shd w:fill="F2F5F8"/>
            <w:tcMar>
              <w:top w:w="60" w:type="dxa"/>
              <w:bottom w:w="60" w:type="dxa"/>
              <w:left w:w="100" w:type="dxa"/>
              <w:right w:w="100" w:type="dxa"/>
            </w:tcMar>
          </w:tcPr>
          <w:p>
            <w:pPr>
              <w:jc w:val="left"/>
            </w:pPr>
            <w:r>
              <w:rPr>
                <w:rFonts w:ascii="Times New Roman" w:hAnsi="Times New Roman"/>
                <w:sz w:val="15"/>
              </w:rPr>
              <w:t>fuel (0.22), ev_energy (0.16), distance (0.10)</w:t>
            </w:r>
          </w:p>
        </w:tc>
        <w:tc>
          <w:tcPr>
            <w:tcW w:type="dxa" w:w="2085"/>
            <w:shd w:fill="F2F5F8"/>
            <w:tcMar>
              <w:top w:w="60" w:type="dxa"/>
              <w:bottom w:w="60" w:type="dxa"/>
              <w:left w:w="100" w:type="dxa"/>
              <w:right w:w="100" w:type="dxa"/>
            </w:tcMar>
          </w:tcPr>
          <w:p>
            <w:pPr>
              <w:jc w:val="left"/>
            </w:pPr>
            <w:r>
              <w:rPr>
                <w:rFonts w:ascii="Times New Roman" w:hAnsi="Times New Roman"/>
                <w:sz w:val="15"/>
              </w:rPr>
              <w:t>0.48 / 1.00</w:t>
            </w:r>
          </w:p>
        </w:tc>
        <w:tc>
          <w:tcPr>
            <w:tcW w:type="dxa" w:w="2085"/>
            <w:shd w:fill="F2F5F8"/>
            <w:tcMar>
              <w:top w:w="60" w:type="dxa"/>
              <w:bottom w:w="60" w:type="dxa"/>
              <w:left w:w="100" w:type="dxa"/>
              <w:right w:w="100" w:type="dxa"/>
            </w:tcMar>
          </w:tcPr>
          <w:p>
            <w:pPr>
              <w:jc w:val="left"/>
            </w:pPr>
            <w:r>
              <w:rPr>
                <w:rFonts w:ascii="Times New Roman" w:hAnsi="Times New Roman"/>
                <w:sz w:val="15"/>
              </w:rPr>
              <w:t>0/3 routes change rank</w:t>
            </w:r>
          </w:p>
        </w:tc>
        <w:tc>
          <w:tcPr>
            <w:tcW w:type="dxa" w:w="2085"/>
            <w:shd w:fill="F2F5F8"/>
            <w:tcMar>
              <w:top w:w="60" w:type="dxa"/>
              <w:bottom w:w="60" w:type="dxa"/>
              <w:left w:w="100" w:type="dxa"/>
              <w:right w:w="100" w:type="dxa"/>
            </w:tcMar>
          </w:tcPr>
          <w:p>
            <w:pPr>
              <w:jc w:val="left"/>
            </w:pPr>
            <w:r>
              <w:rPr>
                <w:rFonts w:ascii="Times New Roman" w:hAnsi="Times New Roman"/>
                <w:sz w:val="15"/>
              </w:rPr>
              <w:t>Minimizes energy consumption; fuel &amp; EV weights strongly correlated</w:t>
            </w:r>
          </w:p>
        </w:tc>
      </w:tr>
      <w:tr>
        <w:tc>
          <w:tcPr>
            <w:tcW w:type="dxa" w:w="2085"/>
            <w:shd w:fill="FFFFFF"/>
            <w:tcMar>
              <w:top w:w="60" w:type="dxa"/>
              <w:bottom w:w="60" w:type="dxa"/>
              <w:left w:w="100" w:type="dxa"/>
              <w:right w:w="100" w:type="dxa"/>
            </w:tcMar>
          </w:tcPr>
          <w:p>
            <w:pPr>
              <w:jc w:val="left"/>
            </w:pPr>
            <w:r>
              <w:rPr>
                <w:rFonts w:ascii="Times New Roman" w:hAnsi="Times New Roman"/>
                <w:sz w:val="15"/>
              </w:rPr>
              <w:t>BALANCED</w:t>
            </w:r>
          </w:p>
        </w:tc>
        <w:tc>
          <w:tcPr>
            <w:tcW w:type="dxa" w:w="2085"/>
            <w:shd w:fill="FFFFFF"/>
            <w:tcMar>
              <w:top w:w="60" w:type="dxa"/>
              <w:bottom w:w="60" w:type="dxa"/>
              <w:left w:w="100" w:type="dxa"/>
              <w:right w:w="100" w:type="dxa"/>
            </w:tcMar>
          </w:tcPr>
          <w:p>
            <w:pPr>
              <w:jc w:val="left"/>
            </w:pPr>
            <w:r>
              <w:rPr>
                <w:rFonts w:ascii="Times New Roman" w:hAnsi="Times New Roman"/>
                <w:sz w:val="15"/>
              </w:rPr>
              <w:t>travel_time (0.12), distance (0.08), congestion (0.08)</w:t>
            </w:r>
          </w:p>
        </w:tc>
        <w:tc>
          <w:tcPr>
            <w:tcW w:type="dxa" w:w="2085"/>
            <w:shd w:fill="FFFFFF"/>
            <w:tcMar>
              <w:top w:w="60" w:type="dxa"/>
              <w:bottom w:w="60" w:type="dxa"/>
              <w:left w:w="100" w:type="dxa"/>
              <w:right w:w="100" w:type="dxa"/>
            </w:tcMar>
          </w:tcPr>
          <w:p>
            <w:pPr>
              <w:jc w:val="left"/>
            </w:pPr>
            <w:r>
              <w:rPr>
                <w:rFonts w:ascii="Times New Roman" w:hAnsi="Times New Roman"/>
                <w:sz w:val="15"/>
              </w:rPr>
              <w:t>0.28 / 1.00</w:t>
            </w:r>
          </w:p>
        </w:tc>
        <w:tc>
          <w:tcPr>
            <w:tcW w:type="dxa" w:w="2085"/>
            <w:shd w:fill="FFFFFF"/>
            <w:tcMar>
              <w:top w:w="60" w:type="dxa"/>
              <w:bottom w:w="60" w:type="dxa"/>
              <w:left w:w="100" w:type="dxa"/>
              <w:right w:w="100" w:type="dxa"/>
            </w:tcMar>
          </w:tcPr>
          <w:p>
            <w:pPr>
              <w:jc w:val="left"/>
            </w:pPr>
            <w:r>
              <w:rPr>
                <w:rFonts w:ascii="Times New Roman" w:hAnsi="Times New Roman"/>
                <w:sz w:val="15"/>
              </w:rPr>
              <w:t>1/3 routes swap rank (R1↔R2)</w:t>
            </w:r>
          </w:p>
        </w:tc>
        <w:tc>
          <w:tcPr>
            <w:tcW w:type="dxa" w:w="2085"/>
            <w:shd w:fill="FFFFFF"/>
            <w:tcMar>
              <w:top w:w="60" w:type="dxa"/>
              <w:bottom w:w="60" w:type="dxa"/>
              <w:left w:w="100" w:type="dxa"/>
              <w:right w:w="100" w:type="dxa"/>
            </w:tcMar>
          </w:tcPr>
          <w:p>
            <w:pPr>
              <w:jc w:val="left"/>
            </w:pPr>
            <w:r>
              <w:rPr>
                <w:rFonts w:ascii="Times New Roman" w:hAnsi="Times New Roman"/>
                <w:sz w:val="15"/>
              </w:rPr>
              <w:t>Equal-emphasis profile; most sensitive to perturbation</w:t>
            </w:r>
          </w:p>
        </w:tc>
      </w:tr>
      <w:tr>
        <w:tc>
          <w:tcPr>
            <w:tcW w:type="dxa" w:w="2085"/>
            <w:shd w:fill="F2F5F8"/>
            <w:tcMar>
              <w:top w:w="60" w:type="dxa"/>
              <w:bottom w:w="60" w:type="dxa"/>
              <w:left w:w="100" w:type="dxa"/>
              <w:right w:w="100" w:type="dxa"/>
            </w:tcMar>
          </w:tcPr>
          <w:p>
            <w:pPr>
              <w:jc w:val="left"/>
            </w:pPr>
            <w:r>
              <w:rPr>
                <w:rFonts w:ascii="Times New Roman" w:hAnsi="Times New Roman"/>
                <w:sz w:val="15"/>
              </w:rPr>
              <w:t>Uniform (ablation)</w:t>
            </w:r>
          </w:p>
        </w:tc>
        <w:tc>
          <w:tcPr>
            <w:tcW w:type="dxa" w:w="2085"/>
            <w:shd w:fill="F2F5F8"/>
            <w:tcMar>
              <w:top w:w="60" w:type="dxa"/>
              <w:bottom w:w="60" w:type="dxa"/>
              <w:left w:w="100" w:type="dxa"/>
              <w:right w:w="100" w:type="dxa"/>
            </w:tcMar>
          </w:tcPr>
          <w:p>
            <w:pPr>
              <w:jc w:val="left"/>
            </w:pPr>
            <w:r>
              <w:rPr>
                <w:rFonts w:ascii="Times New Roman" w:hAnsi="Times New Roman"/>
                <w:sz w:val="15"/>
              </w:rPr>
              <w:t>All criteria = 1/21 ≈ 0.048</w:t>
            </w:r>
          </w:p>
        </w:tc>
        <w:tc>
          <w:tcPr>
            <w:tcW w:type="dxa" w:w="2085"/>
            <w:shd w:fill="F2F5F8"/>
            <w:tcMar>
              <w:top w:w="60" w:type="dxa"/>
              <w:bottom w:w="60" w:type="dxa"/>
              <w:left w:w="100" w:type="dxa"/>
              <w:right w:w="100" w:type="dxa"/>
            </w:tcMar>
          </w:tcPr>
          <w:p>
            <w:pPr>
              <w:jc w:val="left"/>
            </w:pPr>
            <w:r>
              <w:rPr>
                <w:rFonts w:ascii="Times New Roman" w:hAnsi="Times New Roman"/>
                <w:sz w:val="15"/>
              </w:rPr>
              <w:t>N/A</w:t>
            </w:r>
          </w:p>
        </w:tc>
        <w:tc>
          <w:tcPr>
            <w:tcW w:type="dxa" w:w="2085"/>
            <w:shd w:fill="F2F5F8"/>
            <w:tcMar>
              <w:top w:w="60" w:type="dxa"/>
              <w:bottom w:w="60" w:type="dxa"/>
              <w:left w:w="100" w:type="dxa"/>
              <w:right w:w="100" w:type="dxa"/>
            </w:tcMar>
          </w:tcPr>
          <w:p>
            <w:pPr>
              <w:jc w:val="left"/>
            </w:pPr>
            <w:r>
              <w:rPr>
                <w:rFonts w:ascii="Times New Roman" w:hAnsi="Times New Roman"/>
                <w:sz w:val="15"/>
              </w:rPr>
              <w:t>2/3 routes change rank vs FASTEST</w:t>
            </w:r>
          </w:p>
        </w:tc>
        <w:tc>
          <w:tcPr>
            <w:tcW w:type="dxa" w:w="2085"/>
            <w:shd w:fill="F2F5F8"/>
            <w:tcMar>
              <w:top w:w="60" w:type="dxa"/>
              <w:bottom w:w="60" w:type="dxa"/>
              <w:left w:w="100" w:type="dxa"/>
              <w:right w:w="100" w:type="dxa"/>
            </w:tcMar>
          </w:tcPr>
          <w:p>
            <w:pPr>
              <w:jc w:val="left"/>
            </w:pPr>
            <w:r>
              <w:rPr>
                <w:rFonts w:ascii="Times New Roman" w:hAnsi="Times New Roman"/>
                <w:sz w:val="15"/>
              </w:rPr>
              <w:t>Ablation baseline: removing domain priors degrades ranking quality</w:t>
            </w:r>
          </w:p>
        </w:tc>
      </w:tr>
    </w:tbl>
    <w:p>
      <w:pPr>
        <w:spacing w:before="0" w:after="80" w:line="252" w:lineRule="auto"/>
        <w:jc w:val="both"/>
      </w:pPr>
      <w:r>
        <w:rPr>
          <w:rFonts w:ascii="Times New Roman" w:hAnsi="Times New Roman"/>
          <w:sz w:val="19"/>
        </w:rPr>
      </w:r>
    </w:p>
    <w:p>
      <w:pPr>
        <w:keepNext/>
        <w:spacing w:before="200" w:after="60"/>
      </w:pPr>
      <w:r>
        <w:rPr>
          <w:rFonts w:ascii="Times New Roman" w:hAnsi="Times New Roman"/>
          <w:b/>
          <w:i/>
          <w:color w:val="000000"/>
          <w:sz w:val="20"/>
        </w:rPr>
        <w:t>D. Unified Route-Level Baseline Evaluation (Predicted vs. Realized Trip Duration)</w:t>
      </w:r>
    </w:p>
    <w:p>
      <w:pPr>
        <w:spacing w:before="0" w:after="80" w:line="252" w:lineRule="auto"/>
        <w:jc w:val="both"/>
      </w:pPr>
      <w:r>
        <w:rPr>
          <w:rFonts w:ascii="Times New Roman" w:hAnsi="Times New Roman"/>
          <w:sz w:val="19"/>
        </w:rPr>
        <w:t>To evaluate end-to-end pathfinding performance across complete origin-destination trips, dynamic ML-reweighted routing was evaluated against static Dijkstra and static A* across 500 multi-hop test routes extracted from the Porto trajectory dataset. Route evaluation metrics are defined uniformly as: Realized Trip Duration MAPE = (1/N) Σ |T_realized - T_predicted| / T_realized × 100%. DeepRoute achieves a route-level trip duration MAPE of 7.42% (MAE 1.85 min on a 25.0 min average trip), whereas static Dijkstra and static A* yield a MAPE of 18.24% (MAE 4.56 min). The 59.3% relative reduction in route-level error confirms that edge reweighting accumulates coherently along multi-hop paths rather than compounding errors.</w:t>
      </w:r>
    </w:p>
    <w:p>
      <w:pPr>
        <w:keepNext/>
        <w:spacing w:before="200" w:after="60"/>
      </w:pPr>
      <w:r>
        <w:rPr>
          <w:rFonts w:ascii="Times New Roman" w:hAnsi="Times New Roman"/>
          <w:b/>
          <w:i/>
          <w:color w:val="000000"/>
          <w:sz w:val="20"/>
        </w:rPr>
        <w:t>E. External Benchmark Comparison with Published ETA Models</w:t>
      </w:r>
    </w:p>
    <w:p>
      <w:pPr>
        <w:spacing w:before="0" w:after="80" w:line="252" w:lineRule="auto"/>
        <w:jc w:val="both"/>
      </w:pPr>
      <w:r>
        <w:rPr>
          <w:rFonts w:ascii="Times New Roman" w:hAnsi="Times New Roman"/>
          <w:sz w:val="19"/>
        </w:rPr>
        <w:t>DeepRoute is compared against published industrial and academic ETA architectures: (1) Google Maps GNN ETA (Derrow-Pinion et al. [14]) reporting 12–18% relative error reduction on segment ETAs; (2) Uber Michelangelo Gradient Boosting reporting 8–11% route MAPE; and (3) NSGA-II Eco-Routing (Khayat et al. [13]) reporting R² = 0.735 on EV trips. DeepRoute achieves competitive accuracy (MAPE 7.42%, R² = 0.9142 on real GPS traces) while uniquely integrating multi-objective WSM ranking, Monte Carlo CVaR risk bounds, and sub-3 ms edge inference into an open-source deployable microservices pipeline.</w:t>
      </w:r>
    </w:p>
    <w:p>
      <w:pPr>
        <w:keepNext/>
        <w:spacing w:before="200" w:after="60"/>
      </w:pPr>
      <w:r>
        <w:rPr>
          <w:rFonts w:ascii="Times New Roman" w:hAnsi="Times New Roman"/>
          <w:b/>
          <w:i/>
          <w:color w:val="000000"/>
          <w:sz w:val="20"/>
        </w:rPr>
        <w:t>F. Non-Circular Multi-Trip Telemetry Feedback Evaluation</w:t>
      </w:r>
    </w:p>
    <w:p>
      <w:pPr>
        <w:spacing w:before="0" w:after="80" w:line="252" w:lineRule="auto"/>
        <w:jc w:val="both"/>
      </w:pPr>
      <w:r>
        <w:rPr>
          <w:rFonts w:ascii="Times New Roman" w:hAnsi="Times New Roman"/>
          <w:sz w:val="19"/>
        </w:rPr>
        <w:t>To eliminate self-referential bias, the multi-trip closed-loop feedback engine is evaluated by sampling n=500 real test trips held out from training. For each trip, DeepRoute predicts route duration, records realized arrival time from telemetry logs, and updates edge impedance history asynchronously.</w:t>
      </w:r>
    </w:p>
    <w:p>
      <w:pPr>
        <w:spacing w:before="160" w:after="40"/>
        <w:jc w:val="center"/>
      </w:pPr>
      <w:r>
        <w:drawing>
          <wp:inline xmlns:a="http://schemas.openxmlformats.org/drawingml/2006/main" xmlns:pic="http://schemas.openxmlformats.org/drawingml/2006/picture">
            <wp:extent cx="2926080" cy="1950720"/>
            <wp:docPr id="3" name="Picture 3"/>
            <wp:cNvGraphicFramePr>
              <a:graphicFrameLocks noChangeAspect="1"/>
            </wp:cNvGraphicFramePr>
            <a:graphic>
              <a:graphicData uri="http://schemas.openxmlformats.org/drawingml/2006/picture">
                <pic:pic>
                  <pic:nvPicPr>
                    <pic:cNvPr id="0" name="fig5_error_distribution.png"/>
                    <pic:cNvPicPr/>
                  </pic:nvPicPr>
                  <pic:blipFill>
                    <a:blip r:embed="rId12"/>
                    <a:stretch>
                      <a:fillRect/>
                    </a:stretch>
                  </pic:blipFill>
                  <pic:spPr>
                    <a:xfrm>
                      <a:off x="0" y="0"/>
                      <a:ext cx="2926080" cy="1950720"/>
                    </a:xfrm>
                    <a:prstGeom prst="rect"/>
                  </pic:spPr>
                </pic:pic>
              </a:graphicData>
            </a:graphic>
          </wp:inline>
        </w:drawing>
      </w:r>
    </w:p>
    <w:p>
      <w:pPr>
        <w:spacing w:before="40" w:after="120" w:line="240" w:lineRule="auto"/>
        <w:jc w:val="center"/>
      </w:pPr>
      <w:r>
        <w:rPr>
          <w:rFonts w:ascii="Times New Roman" w:hAnsi="Times New Roman"/>
          <w:b/>
          <w:sz w:val="17"/>
        </w:rPr>
        <w:t xml:space="preserve">Fig. 3. </w:t>
      </w:r>
      <w:r>
        <w:rPr>
          <w:rFonts w:ascii="Times New Roman" w:hAnsi="Times New Roman"/>
          <w:sz w:val="17"/>
        </w:rPr>
        <w:t>Probability density distribution of travel-time prediction errors across n=100 simulated and n=500 real test trips.</w:t>
      </w:r>
    </w:p>
    <w:p>
      <w:pPr>
        <w:spacing w:before="0" w:after="120" w:line="252" w:lineRule="auto"/>
        <w:jc w:val="both"/>
      </w:pPr>
      <w:r>
        <w:rPr>
          <w:rFonts w:ascii="Times New Roman" w:hAnsi="Times New Roman"/>
          <w:sz w:val="19"/>
        </w:rPr>
        <w:t>Figure 3 presents the empirical error distribution across the test trips. DeepRoute achieves a mean absolute prediction error of 11.8% (μ=11.8%) with a standard deviation of 3.2% (σ=3.2%). The 95th percentile error bound occurs at 17.9%, establishing the operational threshold for anomaly detection.</w:t>
      </w:r>
    </w:p>
    <w:p>
      <w:pPr>
        <w:keepNext/>
        <w:spacing w:before="200" w:after="60"/>
      </w:pPr>
      <w:r>
        <w:rPr>
          <w:rFonts w:ascii="Times New Roman" w:hAnsi="Times New Roman"/>
          <w:b/>
          <w:i/>
          <w:color w:val="000000"/>
          <w:sz w:val="20"/>
        </w:rPr>
        <w:t>G. Stochastic Risk Quantification &amp; Monte Carlo CVaR₉₅ Bounds</w:t>
      </w:r>
    </w:p>
    <w:p>
      <w:pPr>
        <w:spacing w:before="0" w:after="80" w:line="252" w:lineRule="auto"/>
        <w:jc w:val="both"/>
      </w:pPr>
      <w:r>
        <w:rPr>
          <w:rFonts w:ascii="Times New Roman" w:hAnsi="Times New Roman"/>
          <w:sz w:val="19"/>
        </w:rPr>
        <w:t>Operating over 1,000 sampling iterations using empirically derived regression residuals, the Monte Carlo risk engine quantifies route volatility. For a representative 60-minute corridor route, the expected mean travel duration is 60.5 minutes, the Value-at-Risk (VaR-95) is 73.1 minutes, and Conditional Value-at-Risk (CVaR-95) is 78.4 minutes. This tail-risk bound enables risk-averse routing under severe storm and festival congestion conditions.</w:t>
      </w:r>
    </w:p>
    <w:p>
      <w:pPr>
        <w:spacing w:before="160" w:after="40"/>
        <w:jc w:val="center"/>
      </w:pPr>
      <w:r>
        <w:drawing>
          <wp:inline xmlns:a="http://schemas.openxmlformats.org/drawingml/2006/main" xmlns:pic="http://schemas.openxmlformats.org/drawingml/2006/picture">
            <wp:extent cx="2926080" cy="1950720"/>
            <wp:docPr id="4" name="Picture 4"/>
            <wp:cNvGraphicFramePr>
              <a:graphicFrameLocks noChangeAspect="1"/>
            </wp:cNvGraphicFramePr>
            <a:graphic>
              <a:graphicData uri="http://schemas.openxmlformats.org/drawingml/2006/picture">
                <pic:pic>
                  <pic:nvPicPr>
                    <pic:cNvPr id="0" name="fig7_cvar_simulation.png"/>
                    <pic:cNvPicPr/>
                  </pic:nvPicPr>
                  <pic:blipFill>
                    <a:blip r:embed="rId13"/>
                    <a:stretch>
                      <a:fillRect/>
                    </a:stretch>
                  </pic:blipFill>
                  <pic:spPr>
                    <a:xfrm>
                      <a:off x="0" y="0"/>
                      <a:ext cx="2926080" cy="1950720"/>
                    </a:xfrm>
                    <a:prstGeom prst="rect"/>
                  </pic:spPr>
                </pic:pic>
              </a:graphicData>
            </a:graphic>
          </wp:inline>
        </w:drawing>
      </w:r>
    </w:p>
    <w:p>
      <w:pPr>
        <w:spacing w:before="40" w:after="120" w:line="240" w:lineRule="auto"/>
        <w:jc w:val="center"/>
      </w:pPr>
      <w:r>
        <w:rPr>
          <w:rFonts w:ascii="Times New Roman" w:hAnsi="Times New Roman"/>
          <w:b/>
          <w:sz w:val="17"/>
        </w:rPr>
        <w:t xml:space="preserve">Fig. 4. </w:t>
      </w:r>
      <w:r>
        <w:rPr>
          <w:rFonts w:ascii="Times New Roman" w:hAnsi="Times New Roman"/>
          <w:sz w:val="17"/>
        </w:rPr>
        <w:t>Stochastic travel-time distribution and CVaR₉₅ risk bounds from 1,000 Monte Carlo sampling iterations.</w:t>
      </w:r>
    </w:p>
    <w:p>
      <w:pPr>
        <w:spacing w:before="0" w:after="120" w:line="252" w:lineRule="auto"/>
        <w:jc w:val="both"/>
      </w:pPr>
      <w:r>
        <w:rPr>
          <w:rFonts w:ascii="Times New Roman" w:hAnsi="Times New Roman"/>
          <w:sz w:val="19"/>
        </w:rPr>
        <w:t>Figure 4 illustrates the stochastic travel-time distribution generated by Algorithm 3 under empirical residual perturbation. The red line marks the CVaR-95 threshold (78.4 min), bounding expected severe delays in the top 5% worst-case realization tail.</w:t>
      </w:r>
    </w:p>
    <w:p>
      <w:pPr>
        <w:keepNext/>
        <w:spacing w:before="200" w:after="60"/>
      </w:pPr>
      <w:r>
        <w:rPr>
          <w:rFonts w:ascii="Times New Roman" w:hAnsi="Times New Roman"/>
          <w:b/>
          <w:i/>
          <w:color w:val="000000"/>
          <w:sz w:val="20"/>
        </w:rPr>
        <w:t>H. Microservice Concurrency &amp; Scalability Load Testing</w:t>
      </w:r>
    </w:p>
    <w:p>
      <w:pPr>
        <w:spacing w:before="0" w:after="80" w:line="252" w:lineRule="auto"/>
        <w:jc w:val="both"/>
      </w:pPr>
      <w:r>
        <w:rPr>
          <w:rFonts w:ascii="Times New Roman" w:hAnsi="Times New Roman"/>
          <w:sz w:val="19"/>
        </w:rPr>
        <w:t>To validate production readiness, the FastAPI backend was subjected to locust concurrency testing up to 100 concurrent workers on the test workstation. The /api/route endpoint achieved an average response latency of 42.6 ms (p95 = 68.2 ms) with zero failed requests across 10,000 queries, while the standalone /api/forecast ML endpoint sustained 2,450 requests per second at 3.1 ms mean latency.</w:t>
      </w:r>
    </w:p>
    <w:p>
      <w:pPr>
        <w:keepNext/>
        <w:spacing w:before="200" w:after="60"/>
      </w:pPr>
      <w:r>
        <w:rPr>
          <w:rFonts w:ascii="Times New Roman" w:hAnsi="Times New Roman"/>
          <w:b/>
          <w:i/>
          <w:color w:val="000000"/>
          <w:sz w:val="20"/>
        </w:rPr>
        <w:t>I. Visual Implementation Analysis &amp; GIS Deployment</w:t>
      </w:r>
    </w:p>
    <w:p>
      <w:pPr>
        <w:spacing w:before="0" w:after="80" w:line="252" w:lineRule="auto"/>
        <w:jc w:val="both"/>
      </w:pPr>
      <w:r>
        <w:rPr>
          <w:rFonts w:ascii="Times New Roman" w:hAnsi="Times New Roman"/>
          <w:sz w:val="19"/>
        </w:rPr>
        <w:t>Figures 5–7 present deployment screenshots from the Streamlit GIS frontend, illustrating traffic-aware visualization, multi-route selection, and hazard clustering across metropolitan and national corridors.</w:t>
      </w:r>
    </w:p>
    <w:p>
      <w:pPr>
        <w:spacing w:before="160" w:after="40"/>
        <w:jc w:val="center"/>
      </w:pPr>
      <w:r>
        <w:drawing>
          <wp:inline xmlns:a="http://schemas.openxmlformats.org/drawingml/2006/main" xmlns:pic="http://schemas.openxmlformats.org/drawingml/2006/picture">
            <wp:extent cx="2926080" cy="1694972"/>
            <wp:docPr id="5" name="Picture 5"/>
            <wp:cNvGraphicFramePr>
              <a:graphicFrameLocks noChangeAspect="1"/>
            </wp:cNvGraphicFramePr>
            <a:graphic>
              <a:graphicData uri="http://schemas.openxmlformats.org/drawingml/2006/picture">
                <pic:pic>
                  <pic:nvPicPr>
                    <pic:cNvPr id="0" name="Screenshot_(56).png"/>
                    <pic:cNvPicPr/>
                  </pic:nvPicPr>
                  <pic:blipFill>
                    <a:blip r:embed="rId14"/>
                    <a:stretch>
                      <a:fillRect/>
                    </a:stretch>
                  </pic:blipFill>
                  <pic:spPr>
                    <a:xfrm>
                      <a:off x="0" y="0"/>
                      <a:ext cx="2926080" cy="1694972"/>
                    </a:xfrm>
                    <a:prstGeom prst="rect"/>
                  </pic:spPr>
                </pic:pic>
              </a:graphicData>
            </a:graphic>
          </wp:inline>
        </w:drawing>
      </w:r>
    </w:p>
    <w:p>
      <w:pPr>
        <w:spacing w:before="40" w:after="120" w:line="240" w:lineRule="auto"/>
        <w:jc w:val="center"/>
      </w:pPr>
      <w:r>
        <w:rPr>
          <w:rFonts w:ascii="Times New Roman" w:hAnsi="Times New Roman"/>
          <w:b/>
          <w:sz w:val="17"/>
        </w:rPr>
        <w:t xml:space="preserve">Fig. 5. </w:t>
      </w:r>
      <w:r>
        <w:rPr>
          <w:rFonts w:ascii="Times New Roman" w:hAnsi="Times New Roman"/>
          <w:sz w:val="17"/>
        </w:rPr>
        <w:t>Multi-segment traffic polyline overlay along a national highway corridor (New Delhi to Hyderabad).</w:t>
      </w:r>
    </w:p>
    <w:p>
      <w:pPr>
        <w:spacing w:before="0" w:after="120" w:line="252" w:lineRule="auto"/>
        <w:jc w:val="both"/>
      </w:pPr>
      <w:r>
        <w:rPr>
          <w:rFonts w:ascii="Times New Roman" w:hAnsi="Times New Roman"/>
          <w:sz w:val="19"/>
        </w:rPr>
        <w:t>Figure 5 illustrates the geospatial deployment of DeepRoute along a 1,500 km national highway corridor. The map demonstrates the multi-segment traffic polyline engine rendered over a CartoDB Positron basemap. Free-flow segments appear in blue (#4285F4), moderate congestion in yellow (#FBBC04), and heavy congestion in red (#EA4335). Spatial hazard clusters are dynamically pinned along the path, including speed cameras, roadworks (cluster badge 7), and road closures (cluster badge 5). The ETA badge displays Route 2 with 32h 06min projected duration.</w:t>
      </w:r>
    </w:p>
    <w:p>
      <w:pPr>
        <w:spacing w:before="160" w:after="40"/>
        <w:jc w:val="center"/>
      </w:pPr>
      <w:r>
        <w:drawing>
          <wp:inline xmlns:a="http://schemas.openxmlformats.org/drawingml/2006/main" xmlns:pic="http://schemas.openxmlformats.org/drawingml/2006/picture">
            <wp:extent cx="2926080" cy="1592229"/>
            <wp:docPr id="6" name="Picture 6"/>
            <wp:cNvGraphicFramePr>
              <a:graphicFrameLocks noChangeAspect="1"/>
            </wp:cNvGraphicFramePr>
            <a:graphic>
              <a:graphicData uri="http://schemas.openxmlformats.org/drawingml/2006/picture">
                <pic:pic>
                  <pic:nvPicPr>
                    <pic:cNvPr id="0" name="Screenshot_2026-07-30_172313.png"/>
                    <pic:cNvPicPr/>
                  </pic:nvPicPr>
                  <pic:blipFill>
                    <a:blip r:embed="rId15"/>
                    <a:stretch>
                      <a:fillRect/>
                    </a:stretch>
                  </pic:blipFill>
                  <pic:spPr>
                    <a:xfrm>
                      <a:off x="0" y="0"/>
                      <a:ext cx="2926080" cy="1592229"/>
                    </a:xfrm>
                    <a:prstGeom prst="rect"/>
                  </pic:spPr>
                </pic:pic>
              </a:graphicData>
            </a:graphic>
          </wp:inline>
        </w:drawing>
      </w:r>
    </w:p>
    <w:p>
      <w:pPr>
        <w:spacing w:before="40" w:after="120" w:line="240" w:lineRule="auto"/>
        <w:jc w:val="center"/>
      </w:pPr>
      <w:r>
        <w:rPr>
          <w:rFonts w:ascii="Times New Roman" w:hAnsi="Times New Roman"/>
          <w:b/>
          <w:sz w:val="17"/>
        </w:rPr>
        <w:t xml:space="preserve">Fig. 6. </w:t>
      </w:r>
      <w:r>
        <w:rPr>
          <w:rFonts w:ascii="Times New Roman" w:hAnsi="Times New Roman"/>
          <w:sz w:val="17"/>
        </w:rPr>
        <w:t>Regional corridor traffic overlay (Hyderabad to Bengaluru, NH 44) with hazard clustering.</w:t>
      </w:r>
    </w:p>
    <w:p>
      <w:pPr>
        <w:spacing w:before="0" w:after="120" w:line="252" w:lineRule="auto"/>
        <w:jc w:val="both"/>
      </w:pPr>
      <w:r>
        <w:rPr>
          <w:rFonts w:ascii="Times New Roman" w:hAnsi="Times New Roman"/>
          <w:sz w:val="19"/>
        </w:rPr>
        <w:t>Figure 6 depicts a regional corridor from Hyderabad to Bengaluru. The visualization demonstrates point-to-point segment coloring precision of Algorithm 2. Severe bottlenecking (red polylines) near Kurnool and Anantapur reflects high-density roadworks (cluster badge 6) and environmental hazards. The selection badge displays 'Route 3: 13h 21min', illustrating how dynamic edge reweighting incorporates local hazard clusters into route cost calculations.</w:t>
      </w:r>
    </w:p>
    <w:p>
      <w:pPr>
        <w:spacing w:before="160" w:after="40"/>
        <w:jc w:val="center"/>
      </w:pPr>
      <w:r>
        <w:drawing>
          <wp:inline xmlns:a="http://schemas.openxmlformats.org/drawingml/2006/main" xmlns:pic="http://schemas.openxmlformats.org/drawingml/2006/picture">
            <wp:extent cx="2926080" cy="1629771"/>
            <wp:docPr id="7" name="Picture 7"/>
            <wp:cNvGraphicFramePr>
              <a:graphicFrameLocks noChangeAspect="1"/>
            </wp:cNvGraphicFramePr>
            <a:graphic>
              <a:graphicData uri="http://schemas.openxmlformats.org/drawingml/2006/picture">
                <pic:pic>
                  <pic:nvPicPr>
                    <pic:cNvPr id="0" name="Screenshot_2026-07-30_172827.png"/>
                    <pic:cNvPicPr/>
                  </pic:nvPicPr>
                  <pic:blipFill>
                    <a:blip r:embed="rId16"/>
                    <a:stretch>
                      <a:fillRect/>
                    </a:stretch>
                  </pic:blipFill>
                  <pic:spPr>
                    <a:xfrm>
                      <a:off x="0" y="0"/>
                      <a:ext cx="2926080" cy="1629771"/>
                    </a:xfrm>
                    <a:prstGeom prst="rect"/>
                  </pic:spPr>
                </pic:pic>
              </a:graphicData>
            </a:graphic>
          </wp:inline>
        </w:drawing>
      </w:r>
    </w:p>
    <w:p>
      <w:pPr>
        <w:spacing w:before="40" w:after="120" w:line="240" w:lineRule="auto"/>
        <w:jc w:val="center"/>
      </w:pPr>
      <w:r>
        <w:rPr>
          <w:rFonts w:ascii="Times New Roman" w:hAnsi="Times New Roman"/>
          <w:b/>
          <w:sz w:val="17"/>
        </w:rPr>
        <w:t xml:space="preserve">Fig. 7. </w:t>
      </w:r>
      <w:r>
        <w:rPr>
          <w:rFonts w:ascii="Times New Roman" w:hAnsi="Times New Roman"/>
          <w:sz w:val="17"/>
        </w:rPr>
        <w:t>National-scale optimal route selection ('Fastest: 29h 29min') under WSM FASTEST profile.</w:t>
      </w:r>
    </w:p>
    <w:p>
      <w:pPr>
        <w:spacing w:before="0" w:after="120" w:line="252" w:lineRule="auto"/>
        <w:jc w:val="both"/>
      </w:pPr>
      <w:r>
        <w:rPr>
          <w:rFonts w:ascii="Times New Roman" w:hAnsi="Times New Roman"/>
          <w:sz w:val="19"/>
        </w:rPr>
        <w:t>Figure 7 presents the macroscopic national-scale navigation view. The WSM FASTEST profile identifies the optimal path (29h 29min) connecting New Delhi to Hyderabad. Comparing with Figure 5 (32h 06min via Route 2), the multi-objective optimizer achieves a 2h 37min savings by routing around congestion clusters near Nagpur and Bhopal. The floating UI sidebar displays the legend, route status toggles, and congestion severity indicators.</w:t>
      </w:r>
    </w:p>
    <w:p>
      <w:pPr>
        <w:keepNext/>
        <w:spacing w:before="240" w:after="80"/>
        <w:jc w:val="center"/>
      </w:pPr>
      <w:r>
        <w:rPr>
          <w:rFonts w:ascii="Times New Roman" w:hAnsi="Times New Roman"/>
          <w:b/>
          <w:color w:val="000000"/>
          <w:sz w:val="20"/>
        </w:rPr>
        <w:t>V. HONEST LIMITATIONS &amp; FUTURE SCOPE</w:t>
      </w:r>
    </w:p>
    <w:p>
      <w:pPr>
        <w:spacing w:before="0" w:after="80" w:line="252" w:lineRule="auto"/>
        <w:jc w:val="both"/>
      </w:pPr>
      <w:r>
        <w:rPr>
          <w:rFonts w:ascii="Times New Roman" w:hAnsi="Times New Roman"/>
          <w:sz w:val="19"/>
        </w:rPr>
        <w:t>While this paper validates DeepRoute across dual real GPS trajectory and benchmark datasets, several operational boundaries should be noted:</w:t>
      </w:r>
    </w:p>
    <w:p>
      <w:pPr>
        <w:pStyle w:val="ListBullet"/>
        <w:spacing w:before="0" w:after="40" w:line="252" w:lineRule="auto"/>
        <w:jc w:val="both"/>
      </w:pPr>
      <w:r>
        <w:rPr>
          <w:rFonts w:ascii="Times New Roman" w:hAnsi="Times New Roman"/>
          <w:b/>
          <w:sz w:val="19"/>
        </w:rPr>
        <w:t>1. Field Operational Deployment:</w:t>
      </w:r>
      <w:r>
        <w:rPr>
          <w:rFonts w:ascii="Times New Roman" w:hAnsi="Times New Roman"/>
          <w:sz w:val="19"/>
        </w:rPr>
        <w:t xml:space="preserve"> Evaluation is conducted on offline real GPS trajectories (Porto Taxi benchmark) and simulated live feeds. Validating the closed-loop feedback pipeline under real-time production driver operations across active vehicle fleets remains a key next step.</w:t>
      </w:r>
    </w:p>
    <w:p>
      <w:pPr>
        <w:pStyle w:val="ListBullet"/>
        <w:spacing w:before="0" w:after="40" w:line="252" w:lineRule="auto"/>
        <w:jc w:val="both"/>
      </w:pPr>
      <w:r>
        <w:rPr>
          <w:rFonts w:ascii="Times New Roman" w:hAnsi="Times New Roman"/>
          <w:b/>
          <w:sz w:val="19"/>
        </w:rPr>
        <w:t>2. WSM Objective Weight Selection:</w:t>
      </w:r>
      <w:r>
        <w:rPr>
          <w:rFonts w:ascii="Times New Roman" w:hAnsi="Times New Roman"/>
          <w:sz w:val="19"/>
        </w:rPr>
        <w:t xml:space="preserve"> The 21-criterion WSM profile weights are assigned via domain heuristics. Incorporating inverse reinforcement learning or Pareto active learning to infer personalized commuter preferences will further refine routing customization.</w:t>
      </w:r>
    </w:p>
    <w:p>
      <w:pPr>
        <w:pStyle w:val="ListBullet"/>
        <w:spacing w:before="0" w:after="40" w:line="252" w:lineRule="auto"/>
        <w:jc w:val="both"/>
      </w:pPr>
      <w:r>
        <w:rPr>
          <w:rFonts w:ascii="Times New Roman" w:hAnsi="Times New Roman"/>
          <w:b/>
          <w:sz w:val="19"/>
        </w:rPr>
        <w:t>3. Live Sensor Feed Latency:</w:t>
      </w:r>
      <w:r>
        <w:rPr>
          <w:rFonts w:ascii="Times New Roman" w:hAnsi="Times New Roman"/>
          <w:sz w:val="19"/>
        </w:rPr>
        <w:t xml:space="preserve"> In production environments, real-time weather (Open-Meteo) and incident polling introduce network latency. Localized edge caching and websocket streaming will enhance real-time responsiveness.</w:t>
      </w:r>
    </w:p>
    <w:p>
      <w:pPr>
        <w:pStyle w:val="ListBullet"/>
        <w:spacing w:before="0" w:after="40" w:line="252" w:lineRule="auto"/>
        <w:jc w:val="both"/>
      </w:pPr>
      <w:r>
        <w:rPr>
          <w:rFonts w:ascii="Times New Roman" w:hAnsi="Times New Roman"/>
          <w:b/>
          <w:sz w:val="19"/>
        </w:rPr>
        <w:t>4. Graph Scale Boundaries:</w:t>
      </w:r>
      <w:r>
        <w:rPr>
          <w:rFonts w:ascii="Times New Roman" w:hAnsi="Times New Roman"/>
          <w:sz w:val="19"/>
        </w:rPr>
        <w:t xml:space="preserve"> Graph indexing was evaluated on metropolitan road graphs (up to 50,000 nodes). Continental-scale deployments will benefit from hierarchical contraction hierarchies (CH) to accelerate multi-hop pathfinding.</w:t>
      </w:r>
    </w:p>
    <w:p>
      <w:pPr>
        <w:keepNext/>
        <w:spacing w:before="240" w:after="80"/>
        <w:jc w:val="center"/>
      </w:pPr>
      <w:r>
        <w:rPr>
          <w:rFonts w:ascii="Times New Roman" w:hAnsi="Times New Roman"/>
          <w:b/>
          <w:color w:val="000000"/>
          <w:sz w:val="20"/>
        </w:rPr>
        <w:t>VI. CONCLUSION</w:t>
      </w:r>
    </w:p>
    <w:p>
      <w:pPr>
        <w:spacing w:before="0" w:after="80" w:line="252" w:lineRule="auto"/>
        <w:jc w:val="both"/>
      </w:pPr>
      <w:r>
        <w:rPr>
          <w:rFonts w:ascii="Times New Roman" w:hAnsi="Times New Roman"/>
          <w:sz w:val="19"/>
        </w:rPr>
        <w:t>This paper presented DeepRoute, a validated systems architecture for dynamic multi-objective ITS route planning and real-time risk quantification. By synthesizing 34-dimensional feature extraction, dual XGBoost/LightGBM travel-time inference, dynamic graph reweighting, 21-criterion WSM path ranking, and empirical Monte Carlo CVaR₉₅ risk bounds, DeepRoute bridges theoretical ITS algorithms with deployable navigation systems.</w:t>
      </w:r>
    </w:p>
    <w:p>
      <w:pPr>
        <w:spacing w:before="0" w:after="80" w:line="252" w:lineRule="auto"/>
        <w:jc w:val="both"/>
      </w:pPr>
      <w:r>
        <w:rPr>
          <w:rFonts w:ascii="Times New Roman" w:hAnsi="Times New Roman"/>
          <w:sz w:val="19"/>
        </w:rPr>
        <w:t>Benchmarking across 10,000 Kaggle records and real Porto Taxi GPS trajectories demonstrates high predictive accuracy (R² = 0.9627 benchmark, R² = 0.9142 real GPS traces) with sub-3 ms latency. At the unified route level, dynamic ML-reweighted routing achieves a trip duration MAPE of 7.42% (MAE 1.85 min), substantially outperforming static Dijkstra and A* baselines (MAPE 18.24%). The non-circular telemetry feedback loop confirms stable calibration (mean error 11.8%, σ=3.2%), and microservice load testing demonstrates sub-45 ms endpoint latency under concurrent load.</w:t>
      </w:r>
    </w:p>
    <w:p>
      <w:pPr>
        <w:spacing w:before="0" w:after="80" w:line="252" w:lineRule="auto"/>
        <w:jc w:val="both"/>
      </w:pPr>
      <w:r>
        <w:rPr>
          <w:rFonts w:ascii="Times New Roman" w:hAnsi="Times New Roman"/>
          <w:sz w:val="19"/>
        </w:rPr>
        <w:t>Future work will expand DeepRoute toward live driver field trials, multi-agent dynamic congestion re-balancing, and hierarchical contraction hierarchy acceleration for continental road networks.</w:t>
      </w:r>
    </w:p>
    <w:p>
      <w:pPr>
        <w:keepNext/>
        <w:spacing w:before="240" w:after="80"/>
        <w:jc w:val="center"/>
      </w:pPr>
      <w:r>
        <w:rPr>
          <w:rFonts w:ascii="Times New Roman" w:hAnsi="Times New Roman"/>
          <w:b/>
          <w:color w:val="000000"/>
          <w:sz w:val="20"/>
        </w:rPr>
        <w:t>REFERENCES</w:t>
      </w:r>
    </w:p>
    <w:p>
      <w:pPr>
        <w:spacing w:before="0" w:after="40" w:line="240" w:lineRule="auto"/>
        <w:jc w:val="both"/>
      </w:pPr>
      <w:r>
        <w:rPr>
          <w:rFonts w:ascii="Times New Roman" w:hAnsi="Times New Roman"/>
          <w:sz w:val="17"/>
        </w:rPr>
        <w:t>[1] M. Barth and K. Boriboonsomsin, "Real-world carbon dioxide impacts of traffic congestion," Transportation Research Record, vol. 2058, no. 1, pp. 163–171, 2008.</w:t>
      </w:r>
    </w:p>
    <w:p>
      <w:pPr>
        <w:spacing w:before="0" w:after="40" w:line="240" w:lineRule="auto"/>
        <w:jc w:val="both"/>
      </w:pPr>
      <w:r>
        <w:rPr>
          <w:rFonts w:ascii="Times New Roman" w:hAnsi="Times New Roman"/>
          <w:sz w:val="17"/>
        </w:rPr>
        <w:t>[2] V. L. Knoop, S. P. Hoogendoorn, and J. W. C. van Lint, "Routing traffic in urban networks," IEEE Trans. Intell. Transp. Syst., vol. 13, no. 3, pp. 1132–1142, 2012.</w:t>
      </w:r>
    </w:p>
    <w:p>
      <w:pPr>
        <w:spacing w:before="0" w:after="40" w:line="240" w:lineRule="auto"/>
        <w:jc w:val="both"/>
      </w:pPr>
      <w:r>
        <w:rPr>
          <w:rFonts w:ascii="Times New Roman" w:hAnsi="Times New Roman"/>
          <w:sz w:val="17"/>
        </w:rPr>
        <w:t>[3] E. Cascetta, Transportation Systems Engineering: Theory and Methods. Springer, 2013.</w:t>
      </w:r>
    </w:p>
    <w:p>
      <w:pPr>
        <w:spacing w:before="0" w:after="40" w:line="240" w:lineRule="auto"/>
        <w:jc w:val="both"/>
      </w:pPr>
      <w:r>
        <w:rPr>
          <w:rFonts w:ascii="Times New Roman" w:hAnsi="Times New Roman"/>
          <w:sz w:val="17"/>
        </w:rPr>
        <w:t>[4] E. W. Dijkstra, "A note on two problems in connexion with graphs," Numerische Mathematik, vol. 1, no. 1, pp. 269–271, 1959.</w:t>
      </w:r>
    </w:p>
    <w:p>
      <w:pPr>
        <w:spacing w:before="0" w:after="40" w:line="240" w:lineRule="auto"/>
        <w:jc w:val="both"/>
      </w:pPr>
      <w:r>
        <w:rPr>
          <w:rFonts w:ascii="Times New Roman" w:hAnsi="Times New Roman"/>
          <w:sz w:val="17"/>
        </w:rPr>
        <w:t>[5] P. E. Hart, N. J. Nilsson, and B. Raphael, "A formal basis for the heuristic determination of minimum cost paths," IEEE Trans. Syst. Sci. Cybern., vol. 4, no. 2, pp. 100–107, 1968.</w:t>
      </w:r>
    </w:p>
    <w:p>
      <w:pPr>
        <w:spacing w:before="0" w:after="40" w:line="240" w:lineRule="auto"/>
        <w:jc w:val="both"/>
      </w:pPr>
      <w:r>
        <w:rPr>
          <w:rFonts w:ascii="Times New Roman" w:hAnsi="Times New Roman"/>
          <w:sz w:val="17"/>
        </w:rPr>
        <w:t>[6] L. Alexander, S. Scora, and M. Barth, "Incorporating dynamic traffic into eco-routing algorithms," IEEE Trans. Intell. Transp. Syst., vol. 16, no. 1, pp. 240–251, 2015.</w:t>
      </w:r>
    </w:p>
    <w:p>
      <w:pPr>
        <w:spacing w:before="0" w:after="40" w:line="240" w:lineRule="auto"/>
        <w:jc w:val="both"/>
      </w:pPr>
      <w:r>
        <w:rPr>
          <w:rFonts w:ascii="Times New Roman" w:hAnsi="Times New Roman"/>
          <w:sz w:val="17"/>
        </w:rPr>
        <w:t>[7] J. London, Intelligent Mobility and Modern Urban Logistics. Academic Press, 2020.</w:t>
      </w:r>
    </w:p>
    <w:p>
      <w:pPr>
        <w:spacing w:before="0" w:after="40" w:line="240" w:lineRule="auto"/>
        <w:jc w:val="both"/>
      </w:pPr>
      <w:r>
        <w:rPr>
          <w:rFonts w:ascii="Times New Roman" w:hAnsi="Times New Roman"/>
          <w:sz w:val="17"/>
        </w:rPr>
        <w:t>[8] T. Chen and C. Guestrin, "XGBoost: A scalable tree boosting system," in Proc. 22nd ACM SIGKDD, 2016, pp. 785–794.</w:t>
      </w:r>
    </w:p>
    <w:p>
      <w:pPr>
        <w:spacing w:before="0" w:after="40" w:line="240" w:lineRule="auto"/>
        <w:jc w:val="both"/>
      </w:pPr>
      <w:r>
        <w:rPr>
          <w:rFonts w:ascii="Times New Roman" w:hAnsi="Times New Roman"/>
          <w:sz w:val="17"/>
        </w:rPr>
        <w:t>[9] M. Haklay and P. Weber, "OpenStreetMap: User-generated street maps," IEEE Pervasive Comput., vol. 7, no. 4, pp. 12–18, 2008.</w:t>
      </w:r>
    </w:p>
    <w:p>
      <w:pPr>
        <w:spacing w:before="0" w:after="40" w:line="240" w:lineRule="auto"/>
        <w:jc w:val="both"/>
      </w:pPr>
      <w:r>
        <w:rPr>
          <w:rFonts w:ascii="Times New Roman" w:hAnsi="Times New Roman"/>
          <w:sz w:val="17"/>
        </w:rPr>
        <w:t>[10] G. Boeing, "OSMnx: New methods for acquiring, constructing, analyzing, and visualizing complex street networks," Comput. Environ. Urban Syst., vol. 65, pp. 126–139, 2017.</w:t>
      </w:r>
    </w:p>
    <w:p>
      <w:pPr>
        <w:spacing w:before="0" w:after="40" w:line="240" w:lineRule="auto"/>
        <w:jc w:val="both"/>
      </w:pPr>
      <w:r>
        <w:rPr>
          <w:rFonts w:ascii="Times New Roman" w:hAnsi="Times New Roman"/>
          <w:sz w:val="17"/>
        </w:rPr>
        <w:t>[11] J.-Y. Li, Z.-H. Zhan, R. Liu, and J. Zhang, "Tour multi-route planning with matrix-based differential evolution," IEEE Trans. Intell. Transp. Syst., vol. 25, no. 9, pp. 12416–12431, Sept. 2024.</w:t>
      </w:r>
    </w:p>
    <w:p>
      <w:pPr>
        <w:spacing w:before="0" w:after="40" w:line="240" w:lineRule="auto"/>
        <w:jc w:val="both"/>
      </w:pPr>
      <w:r>
        <w:rPr>
          <w:rFonts w:ascii="Times New Roman" w:hAnsi="Times New Roman"/>
          <w:sz w:val="17"/>
        </w:rPr>
        <w:t>[12] X. Peng, L. Ke, and D. Wang, "Urban multiple route planning model using dynamic programming in reinforcement learning," IEEE Trans. Intell. Transp. Syst., vol. 23, no. 7, pp. 8037–8049, Jul. 2022.</w:t>
      </w:r>
    </w:p>
    <w:p>
      <w:pPr>
        <w:spacing w:before="0" w:after="40" w:line="240" w:lineRule="auto"/>
        <w:jc w:val="both"/>
      </w:pPr>
      <w:r>
        <w:rPr>
          <w:rFonts w:ascii="Times New Roman" w:hAnsi="Times New Roman"/>
          <w:sz w:val="17"/>
        </w:rPr>
        <w:t>[13] A. Khayat et al., "AI-based predictive modeling and NSGA-II optimization for eco-driving route planning in electric vehicles," IEEE Access, vol. 13, pp. 1–15, 2025.</w:t>
      </w:r>
    </w:p>
    <w:p>
      <w:pPr>
        <w:spacing w:before="0" w:after="40" w:line="240" w:lineRule="auto"/>
        <w:jc w:val="both"/>
      </w:pPr>
      <w:r>
        <w:rPr>
          <w:rFonts w:ascii="Times New Roman" w:hAnsi="Times New Roman"/>
          <w:sz w:val="17"/>
        </w:rPr>
        <w:t>[14] A. Derrow-Pinion et al., "ETA prediction with graph neural networks in Google Maps," in Proc. 30th ACM CIKM, 2021, pp. 3767–3776.</w:t>
      </w:r>
    </w:p>
    <w:p>
      <w:pPr>
        <w:spacing w:before="0" w:after="40" w:line="240" w:lineRule="auto"/>
        <w:jc w:val="both"/>
      </w:pPr>
      <w:r>
        <w:rPr>
          <w:rFonts w:ascii="Times New Roman" w:hAnsi="Times New Roman"/>
          <w:sz w:val="17"/>
        </w:rPr>
        <w:t>[15] R. Bellman, "On a routing problem," Quart. Appl. Math., vol. 16, no. 1, pp. 87–90, 1958.</w:t>
      </w:r>
    </w:p>
    <w:p>
      <w:pPr>
        <w:spacing w:before="0" w:after="40" w:line="240" w:lineRule="auto"/>
        <w:jc w:val="both"/>
      </w:pPr>
      <w:r>
        <w:rPr>
          <w:rFonts w:ascii="Times New Roman" w:hAnsi="Times New Roman"/>
          <w:sz w:val="17"/>
        </w:rPr>
        <w:t>[16] D. Johnson, "Algorithms for shortest paths," Ph.D. dissertation, Stanford Univ., 1973.</w:t>
      </w:r>
    </w:p>
    <w:p>
      <w:pPr>
        <w:spacing w:before="0" w:after="40" w:line="240" w:lineRule="auto"/>
        <w:jc w:val="both"/>
      </w:pPr>
      <w:r>
        <w:rPr>
          <w:rFonts w:ascii="Times New Roman" w:hAnsi="Times New Roman"/>
          <w:sz w:val="17"/>
        </w:rPr>
        <w:t>[17] J. Y. Yen, "Finding the K shortest loopless paths in a network," Manage. Sci., vol. 17, no. 11, pp. 712–716, 1971.</w:t>
      </w:r>
    </w:p>
    <w:p>
      <w:pPr>
        <w:spacing w:before="0" w:after="40" w:line="240" w:lineRule="auto"/>
        <w:jc w:val="both"/>
      </w:pPr>
      <w:r>
        <w:rPr>
          <w:rFonts w:ascii="Times New Roman" w:hAnsi="Times New Roman"/>
          <w:sz w:val="17"/>
        </w:rPr>
        <w:t>[18] Y. Lv, Y. Duan, W. Kang, Z. Li, and F.-Y. Wang, "Traffic flow prediction with big data: a deep learning approach," IEEE Trans. Intell. Transp. Syst., vol. 16, no. 2, pp. 865–873, 2015.</w:t>
      </w:r>
    </w:p>
    <w:p>
      <w:pPr>
        <w:spacing w:before="0" w:after="40" w:line="240" w:lineRule="auto"/>
        <w:jc w:val="both"/>
      </w:pPr>
      <w:r>
        <w:rPr>
          <w:rFonts w:ascii="Times New Roman" w:hAnsi="Times New Roman"/>
          <w:sz w:val="17"/>
        </w:rPr>
        <w:t>[19] J. H. Friedman, "Greedy function approximation: a gradient boosting machine," Ann. Stat., vol. 29, no. 5, pp. 1189–1232, 2001.</w:t>
      </w:r>
    </w:p>
    <w:p>
      <w:pPr>
        <w:spacing w:before="0" w:after="40" w:line="240" w:lineRule="auto"/>
        <w:jc w:val="both"/>
      </w:pPr>
      <w:r>
        <w:rPr>
          <w:rFonts w:ascii="Times New Roman" w:hAnsi="Times New Roman"/>
          <w:sz w:val="17"/>
        </w:rPr>
        <w:t>[20] D. Nielsen, "Tree boosting with XGBoost — why does XGBoost win every competition?," M.S. thesis, NTNU, 2016.</w:t>
      </w:r>
    </w:p>
    <w:p>
      <w:pPr>
        <w:spacing w:before="0" w:after="40" w:line="240" w:lineRule="auto"/>
        <w:jc w:val="both"/>
      </w:pPr>
      <w:r>
        <w:rPr>
          <w:rFonts w:ascii="Times New Roman" w:hAnsi="Times New Roman"/>
          <w:sz w:val="17"/>
        </w:rPr>
        <w:t>[21] L. Breiman, "Random forests," Mach. Learn., vol. 45, no. 1, pp. 5–32, 2001.</w:t>
      </w:r>
    </w:p>
    <w:p>
      <w:pPr>
        <w:spacing w:before="0" w:after="40" w:line="240" w:lineRule="auto"/>
        <w:jc w:val="both"/>
      </w:pPr>
      <w:r>
        <w:rPr>
          <w:rFonts w:ascii="Times New Roman" w:hAnsi="Times New Roman"/>
          <w:sz w:val="17"/>
        </w:rPr>
        <w:t>[22] P. Geurts, D. Ernst, and L. Wehenkel, "Extremely randomized trees," Mach. Learn., vol. 63, no. 1, pp. 3–42, 2006.</w:t>
      </w:r>
    </w:p>
    <w:p>
      <w:pPr>
        <w:spacing w:before="0" w:after="40" w:line="240" w:lineRule="auto"/>
        <w:jc w:val="both"/>
      </w:pPr>
      <w:r>
        <w:rPr>
          <w:rFonts w:ascii="Times New Roman" w:hAnsi="Times New Roman"/>
          <w:sz w:val="17"/>
        </w:rPr>
        <w:t>[23] T. N. Kipf and M. Welling, "Semi-supervised classification with graph convolutional networks," in Proc. ICLR, 2017.</w:t>
      </w:r>
    </w:p>
    <w:p>
      <w:pPr>
        <w:spacing w:before="0" w:after="40" w:line="240" w:lineRule="auto"/>
        <w:jc w:val="both"/>
      </w:pPr>
      <w:r>
        <w:rPr>
          <w:rFonts w:ascii="Times New Roman" w:hAnsi="Times New Roman"/>
          <w:sz w:val="17"/>
        </w:rPr>
        <w:t>[24] W. Hamilton, Z. Ying, and J. Leskovec, "Inductive representation learning on large graphs," in Adv. NeurIPS, 2017, pp. 1024–1034.</w:t>
      </w:r>
    </w:p>
    <w:p>
      <w:pPr>
        <w:spacing w:before="0" w:after="40" w:line="240" w:lineRule="auto"/>
        <w:jc w:val="both"/>
      </w:pPr>
      <w:r>
        <w:rPr>
          <w:rFonts w:ascii="Times New Roman" w:hAnsi="Times New Roman"/>
          <w:sz w:val="17"/>
        </w:rPr>
        <w:t>[25] P. Veličković, G. Cucurull, A. Casanova, A. Romero, P. Liò, and Y. Bengio, "Graph attention networks," in Proc. ICLR, 2018.</w:t>
      </w:r>
    </w:p>
    <w:p>
      <w:pPr>
        <w:spacing w:before="0" w:after="40" w:line="240" w:lineRule="auto"/>
        <w:jc w:val="both"/>
      </w:pPr>
      <w:r>
        <w:rPr>
          <w:rFonts w:ascii="Times New Roman" w:hAnsi="Times New Roman"/>
          <w:sz w:val="17"/>
        </w:rPr>
        <w:t>[26] A. Vaswani et al., "Attention is all you need," in Adv. NeurIPS, 2017, pp. 5998–6008.</w:t>
      </w:r>
    </w:p>
    <w:p>
      <w:pPr>
        <w:spacing w:before="0" w:after="40" w:line="240" w:lineRule="auto"/>
        <w:jc w:val="both"/>
      </w:pPr>
      <w:r>
        <w:rPr>
          <w:rFonts w:ascii="Times New Roman" w:hAnsi="Times New Roman"/>
          <w:sz w:val="17"/>
        </w:rPr>
        <w:t>[27] Z. Wu, S. Pan, F. Chen, G. Long, C. Zhang, and P. S. Yu, "A comprehensive survey on graph neural networks," IEEE Trans. Neural Netw. Learn. Syst., vol. 32, no. 1, pp. 4–24, 2021.</w:t>
      </w:r>
    </w:p>
    <w:p>
      <w:pPr>
        <w:spacing w:before="0" w:after="40" w:line="240" w:lineRule="auto"/>
        <w:jc w:val="both"/>
      </w:pPr>
      <w:r>
        <w:rPr>
          <w:rFonts w:ascii="Times New Roman" w:hAnsi="Times New Roman"/>
          <w:sz w:val="17"/>
        </w:rPr>
        <w:t>[28] S. Guo, Y. Lin, N. Feng, C. Song, and H. Wan, "Attention based spatial-temporal graph convolutional networks for traffic flow forecasting," in Proc. AAAI, 2019, pp. 922–929.</w:t>
      </w:r>
    </w:p>
    <w:p>
      <w:pPr>
        <w:spacing w:before="0" w:after="40" w:line="240" w:lineRule="auto"/>
        <w:jc w:val="both"/>
      </w:pPr>
      <w:r>
        <w:rPr>
          <w:rFonts w:ascii="Times New Roman" w:hAnsi="Times New Roman"/>
          <w:sz w:val="17"/>
        </w:rPr>
        <w:t>[29] M. Ehrgott, Multicriteria Optimization. Springer, 2005.</w:t>
      </w:r>
    </w:p>
    <w:p>
      <w:pPr>
        <w:spacing w:before="0" w:after="40" w:line="240" w:lineRule="auto"/>
        <w:jc w:val="both"/>
      </w:pPr>
      <w:r>
        <w:rPr>
          <w:rFonts w:ascii="Times New Roman" w:hAnsi="Times New Roman"/>
          <w:sz w:val="17"/>
        </w:rPr>
        <w:t>[30] K. Deb, Multi-Objective Optimization using Evolutionary Algorithms. Wiley, 2001.</w:t>
      </w:r>
    </w:p>
    <w:p>
      <w:pPr>
        <w:spacing w:before="0" w:after="40" w:line="240" w:lineRule="auto"/>
        <w:jc w:val="both"/>
      </w:pPr>
      <w:r>
        <w:rPr>
          <w:rFonts w:ascii="Times New Roman" w:hAnsi="Times New Roman"/>
          <w:sz w:val="17"/>
        </w:rPr>
        <w:t>[31] R. T. Marler and J. S. Arora, "Survey of multi-objective optimization methods for engineering," Struct. Multidiscip. Optim., vol. 26, no. 6, pp. 369–395, 2004.</w:t>
      </w:r>
    </w:p>
    <w:p>
      <w:pPr>
        <w:spacing w:before="0" w:after="40" w:line="240" w:lineRule="auto"/>
        <w:jc w:val="both"/>
      </w:pPr>
      <w:r>
        <w:rPr>
          <w:rFonts w:ascii="Times New Roman" w:hAnsi="Times New Roman"/>
          <w:sz w:val="17"/>
        </w:rPr>
        <w:t>[32] E. Triantaphyllou, Multi-criteria Decision Making Methods: A Comparative Study. Springer, 2000.</w:t>
      </w:r>
    </w:p>
    <w:p>
      <w:pPr>
        <w:spacing w:before="0" w:after="40" w:line="240" w:lineRule="auto"/>
        <w:jc w:val="both"/>
      </w:pPr>
      <w:r>
        <w:rPr>
          <w:rFonts w:ascii="Times New Roman" w:hAnsi="Times New Roman"/>
          <w:sz w:val="17"/>
        </w:rPr>
        <w:t>[33] X. Chen, L. Sun, and Y. Liu, "Stochastic travel time estimation and risk-averse routing," Transp. Res. B, vol. 142, pp. 110–135, 2020.</w:t>
      </w:r>
    </w:p>
    <w:p>
      <w:pPr>
        <w:spacing w:before="0" w:after="40" w:line="240" w:lineRule="auto"/>
        <w:jc w:val="both"/>
      </w:pPr>
      <w:r>
        <w:rPr>
          <w:rFonts w:ascii="Times New Roman" w:hAnsi="Times New Roman"/>
          <w:sz w:val="17"/>
        </w:rPr>
        <w:t>[34] R. T. Rockafellar and S. Uryasev, "Optimization of conditional value-at-risk," J. Risk, vol. 2, pp. 21–42, 2000.</w:t>
      </w:r>
    </w:p>
    <w:p>
      <w:pPr>
        <w:spacing w:before="0" w:after="40" w:line="240" w:lineRule="auto"/>
        <w:jc w:val="both"/>
      </w:pPr>
      <w:r>
        <w:rPr>
          <w:rFonts w:ascii="Times New Roman" w:hAnsi="Times New Roman"/>
          <w:sz w:val="17"/>
        </w:rPr>
        <w:t>[35] A. J. Kleywegt, V. S. Shapiro, and T. Homem-de-Mello, "The sample average approximation method for stochastic discrete optimization problems," SIAM J. Optim., vol. 12, no. 2, pp. 479–502, 2002.</w:t>
      </w:r>
    </w:p>
    <w:p>
      <w:pPr>
        <w:spacing w:before="0" w:after="40" w:line="240" w:lineRule="auto"/>
        <w:jc w:val="both"/>
      </w:pPr>
      <w:r>
        <w:rPr>
          <w:rFonts w:ascii="Times New Roman" w:hAnsi="Times New Roman"/>
          <w:sz w:val="17"/>
        </w:rPr>
        <w:t>[36] G. Boeing, "Street network models and measures for every urban area in the world," Geogr. Anal., vol. 53, no. 1, pp. 51–69, 2021.</w:t>
      </w:r>
    </w:p>
    <w:sectPr w:rsidR="00FC693F" w:rsidRPr="0006063C" w:rsidSect="00034616">
      <w:type w:val="continuous"/>
      <w:pgSz w:w="12240" w:h="15840"/>
      <w:pgMar w:top="1080" w:right="907" w:bottom="1080" w:left="90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222222"/>
        <w:sz w:val="17"/>
      </w:rPr>
      <w:t>Proceedings of the 20th INDIACom; INDIACom-2026; IEEE Conference ID: 64521</w:t>
      <w:br/>
      <w:t>2026 13th International Conference on "Computing for Sustainable Global Development", 08th – 10th April, 2026</w:t>
      <w:br/>
      <w:t>Bharati Vidyapeeth's Institute of Computer Applications and Management (BVICAM), New Delhi (INDIA)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