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C8A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Title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3B5C"/>
          <w:sz w:val="30"/>
          <w:szCs w:val="30"/>
        </w:rPr>
        <w:t xml:space="preserve">Forecasting District Health Outcomes in India: A Noise-Aware Out-of-Time Test on NFHS-6</w:t>
      </w:r>
    </w:p>
    <w:p>
      <w:pPr>
        <w:spacing w:after="5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</w:r>
    </w:p>
    <w:p>
      <w:pPr>
        <w:pBdr>
          <w:bottom w:val="single" w:color="2E5C8A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Team Members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Name: </w:t>
      </w:r>
      <w:r>
        <w:rPr>
          <w:rFonts w:ascii="Calibri" w:cs="Calibri" w:eastAsia="Calibri" w:hAnsi="Calibri"/>
          <w:sz w:val="20"/>
          <w:szCs w:val="20"/>
        </w:rPr>
        <w:t xml:space="preserve">CodeFlow</w:t>
      </w:r>
    </w:p>
    <w:tbl>
      <w:tblPr>
        <w:tblW w:type="dxa" w:w="990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BBBBBB" w:sz="2"/>
          <w:insideV w:val="single" w:color="BBBBBB" w:sz="2"/>
        </w:tblBorders>
      </w:tblPr>
      <w:tblGrid>
        <w:gridCol w:w="5400"/>
        <w:gridCol w:w="4506"/>
      </w:tblGrid>
      <w:tr>
        <w:tc>
          <w:tcPr>
            <w:tcW w:type="dxa" w:w="5400"/>
            <w:shd w:fill="E8EEF5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506"/>
            <w:shd w:fill="E8EEF5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SRN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Saurav S</w:t>
            </w:r>
          </w:p>
        </w:tc>
        <w:tc>
          <w:tcPr>
            <w:tcW w:type="dxa" w:w="450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PES1UG24AM398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Shikshith V</w:t>
            </w:r>
          </w:p>
        </w:tc>
        <w:tc>
          <w:tcPr>
            <w:tcW w:type="dxa" w:w="450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PES1UG24AM400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Thijl Thejaswi MN</w:t>
            </w:r>
          </w:p>
        </w:tc>
        <w:tc>
          <w:tcPr>
            <w:tcW w:type="dxa" w:w="450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PES1UG24AM412</w:t>
            </w:r>
          </w:p>
        </w:tc>
      </w:tr>
      <w:tr>
        <w:tc>
          <w:tcPr>
            <w:tcW w:type="dxa" w:w="54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Vishwas V Angadi</w:t>
            </w:r>
          </w:p>
        </w:tc>
        <w:tc>
          <w:tcPr>
            <w:tcW w:type="dxa" w:w="4506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PES1UG24AM416</w:t>
            </w:r>
          </w:p>
        </w:tc>
      </w:tr>
    </w:tbl>
    <w:p>
      <w:pPr>
        <w:pBdr>
          <w:bottom w:val="single" w:color="2E5C8A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Project Summary</w:t>
      </w:r>
    </w:p>
    <w:p>
      <w:p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District health planning in India relies on NFHS rounds that arrive every 3–4 years, and each district estimate rests on a small sample. Past studies describe change between rounds; we found none that forecast a later round and test it. We train on NFHS-4→NFHS-5, freeze the models, and predict the newly released NFHS-6 district values for 20–25 indicators common to all three rounds.</w:t>
      </w:r>
    </w:p>
    <w:p>
      <w:pPr>
        <w:spacing w:after="50" w:line="264"/>
      </w:pPr>
      <w:r>
        <w:rPr>
          <w:rFonts w:ascii="Calibri" w:cs="Calibri" w:eastAsia="Calibri" w:hAnsi="Calibri"/>
          <w:sz w:val="20"/>
          <w:szCs w:val="20"/>
        </w:rPr>
        <w:t xml:space="preserve">We measure how much of each indicator is forecastable once sampling noise is accounted for, whether ML beats persistence and statistical shrinkage, whether prediction intervals hold under shift (COVID-era fieldwork), and which districts are genuine over- or under-performers rather than noise.</w:t>
      </w:r>
    </w:p>
    <w:p>
      <w:pPr>
        <w:pBdr>
          <w:bottom w:val="single" w:color="2E5C8A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Possible Datasets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NFHS-4 (2015–16) and NFHS-5 (2019–21) district fact sheets: </w:t>
      </w:r>
      <w:r>
        <w:rPr>
          <w:rFonts w:ascii="Calibri" w:cs="Calibri" w:eastAsia="Calibri" w:hAnsi="Calibri"/>
          <w:sz w:val="20"/>
          <w:szCs w:val="20"/>
        </w:rPr>
        <w:t xml:space="preserve">public, with a Census-code crosswalk and district GeoJSON.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NFHS-6 (2023–24): </w:t>
      </w:r>
      <w:r>
        <w:rPr>
          <w:rFonts w:ascii="Calibri" w:cs="Calibri" w:eastAsia="Calibri" w:hAnsi="Calibri"/>
          <w:sz w:val="20"/>
          <w:szCs w:val="20"/>
        </w:rPr>
        <w:t xml:space="preserve">state fact sheets (May 2026) and district compendiums (Aug 2026, 715 districts, Manipur excluded). Provisional; community-parsed CSVs audited against the official PDFs. Anaemia was not measured, so we use indicators defined consistently across rounds.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Aspirational Districts list (112 districts): </w:t>
      </w:r>
      <w:r>
        <w:rPr>
          <w:rFonts w:ascii="Calibri" w:cs="Calibri" w:eastAsia="Calibri" w:hAnsi="Calibri"/>
          <w:sz w:val="20"/>
          <w:szCs w:val="20"/>
        </w:rPr>
        <w:t xml:space="preserve">for a descriptive programme comparison.</w:t>
      </w:r>
    </w:p>
    <w:p>
      <w:pPr>
        <w:pBdr>
          <w:bottom w:val="single" w:color="2E5C8A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Novelty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Forecast on a third round: </w:t>
      </w:r>
      <w:r>
        <w:rPr>
          <w:rFonts w:ascii="Calibri" w:cs="Calibri" w:eastAsia="Calibri" w:hAnsi="Calibri"/>
          <w:sz w:val="20"/>
          <w:szCs w:val="20"/>
        </w:rPr>
        <w:t xml:space="preserve">prior NFHS work describes change between two rounds; we predict NFHS-6 and measure a noise ceiling per indicator.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Coverage under shift: </w:t>
      </w:r>
      <w:r>
        <w:rPr>
          <w:rFonts w:ascii="Calibri" w:cs="Calibri" w:eastAsia="Calibri" w:hAnsi="Calibri"/>
          <w:sz w:val="20"/>
          <w:szCs w:val="20"/>
        </w:rPr>
        <w:t xml:space="preserve">conformal intervals are tested across NFHS-4→5 and NFHS-5→6, not assumed to hold.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Real vs. noisy surprises: </w:t>
      </w:r>
      <w:r>
        <w:rPr>
          <w:rFonts w:ascii="Calibri" w:cs="Calibri" w:eastAsia="Calibri" w:hAnsi="Calibri"/>
          <w:sz w:val="20"/>
          <w:szCs w:val="20"/>
        </w:rPr>
        <w:t xml:space="preserve">false-discovery-rate control separates genuine over- and under-performing districts from sampling noise.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Beyond single-indicator forecasting: </w:t>
      </w:r>
      <w:r>
        <w:rPr>
          <w:rFonts w:ascii="Calibri" w:cs="Calibri" w:eastAsia="Calibri" w:hAnsi="Calibri"/>
          <w:sz w:val="20"/>
          <w:szCs w:val="20"/>
        </w:rPr>
        <w:t xml:space="preserve">existing district forecasting work (e.g. Indonesian stunting) covers one indicator in one country; we cover many indicators in India.</w:t>
      </w:r>
    </w:p>
    <w:p>
      <w:pPr>
        <w:pBdr>
          <w:bottom w:val="single" w:color="2E5C8A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2E5C8A"/>
          <w:sz w:val="23"/>
          <w:szCs w:val="23"/>
        </w:rPr>
        <w:t xml:space="preserve">Expected Learnings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Small-area estimation and shrinkage (empirical Bayes, Fay-Herriot) for noisy survey data.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Time-aware validation: frozen protocols, leakage control, leave-one-state-out testing.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Uncertainty quantification with conformal prediction under distribution shift.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Multiple-testing control (FDR) for outlier and anomaly detection.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Harmonising indicators and district boundaries across survey rounds in a reproducible pipeline.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Calibri" w:cs="Calibri" w:eastAsia="Calibri" w:hAnsi="Calibri"/>
          <w:sz w:val="20"/>
          <w:szCs w:val="20"/>
        </w:rPr>
        <w:t xml:space="preserve">Reporting honestly when simple baselines win.</w:t>
      </w:r>
    </w:p>
    <w:sectPr>
      <w:pgSz w:w="11906" w:h="16838" w:orient="portrait"/>
      <w:pgMar w:top="8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2026-10-02T13:19:14.656Z</dcterms:created>
  <dcterms:modified xsi:type="dcterms:W3CDTF">2026-10-02T13:19:14.662Z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