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79CB5" w14:textId="111C53F9" w:rsidR="00484BF5" w:rsidRDefault="00484BF5" w:rsidP="00484BF5">
      <w:pPr>
        <w:rPr>
          <w:rFonts w:ascii="Times New Roman" w:hAnsi="Times New Roman" w:cs="Times New Roman"/>
          <w:b/>
          <w:bCs/>
          <w:color w:val="000000"/>
          <w:sz w:val="16"/>
          <w:szCs w:val="16"/>
          <w:lang w:val="de-DE"/>
        </w:rPr>
      </w:pPr>
      <w:r>
        <w:rPr>
          <w:rFonts w:ascii="Times New Roman" w:hAnsi="Times New Roman" w:cs="Times New Roman"/>
          <w:b/>
          <w:bCs/>
          <w:color w:val="000000"/>
          <w:sz w:val="16"/>
          <w:szCs w:val="16"/>
          <w:lang w:val="de-DE"/>
        </w:rPr>
        <w:t xml:space="preserve">Praktikum Mess- und </w:t>
      </w:r>
      <w:proofErr w:type="spellStart"/>
      <w:r>
        <w:rPr>
          <w:rFonts w:ascii="Times New Roman" w:hAnsi="Times New Roman" w:cs="Times New Roman"/>
          <w:b/>
          <w:bCs/>
          <w:color w:val="000000"/>
          <w:sz w:val="16"/>
          <w:szCs w:val="16"/>
          <w:lang w:val="de-DE"/>
        </w:rPr>
        <w:t>regelungstechnik</w:t>
      </w:r>
      <w:proofErr w:type="spellEnd"/>
      <w:r>
        <w:rPr>
          <w:rFonts w:ascii="Times New Roman" w:hAnsi="Times New Roman" w:cs="Times New Roman"/>
          <w:b/>
          <w:bCs/>
          <w:color w:val="000000"/>
          <w:sz w:val="16"/>
          <w:szCs w:val="16"/>
          <w:lang w:val="de-DE"/>
        </w:rPr>
        <w:t xml:space="preserve"> Versuch 1</w:t>
      </w:r>
    </w:p>
    <w:p w14:paraId="2F183B93" w14:textId="623708C7" w:rsidR="00484BF5" w:rsidRDefault="00484BF5" w:rsidP="00484BF5">
      <w:pPr>
        <w:rPr>
          <w:rFonts w:ascii="Times New Roman" w:hAnsi="Times New Roman" w:cs="Times New Roman"/>
          <w:b/>
          <w:bCs/>
          <w:color w:val="000000"/>
          <w:sz w:val="16"/>
          <w:szCs w:val="16"/>
          <w:lang w:val="de-DE"/>
        </w:rPr>
      </w:pPr>
      <w:r>
        <w:rPr>
          <w:rFonts w:ascii="Times New Roman" w:hAnsi="Times New Roman" w:cs="Times New Roman"/>
          <w:b/>
          <w:bCs/>
          <w:color w:val="000000"/>
          <w:sz w:val="16"/>
          <w:szCs w:val="16"/>
          <w:lang w:val="de-DE"/>
        </w:rPr>
        <w:t>Gruppe 9:</w:t>
      </w:r>
    </w:p>
    <w:p w14:paraId="7FAEC828" w14:textId="40001FA5" w:rsidR="00484BF5" w:rsidRPr="00484BF5" w:rsidRDefault="00484BF5" w:rsidP="00484BF5">
      <w:pPr>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Teilnehmer:</w:t>
      </w:r>
      <w:r w:rsidRPr="00484BF5">
        <w:rPr>
          <w:rFonts w:ascii="Times New Roman" w:hAnsi="Times New Roman" w:cs="Times New Roman"/>
          <w:color w:val="000000"/>
          <w:sz w:val="16"/>
          <w:szCs w:val="16"/>
          <w:lang w:val="de-DE"/>
        </w:rPr>
        <w:tab/>
      </w:r>
      <w:r>
        <w:rPr>
          <w:rFonts w:ascii="Times New Roman" w:hAnsi="Times New Roman" w:cs="Times New Roman"/>
          <w:color w:val="000000"/>
          <w:sz w:val="16"/>
          <w:szCs w:val="16"/>
          <w:lang w:val="de-DE"/>
        </w:rPr>
        <w:tab/>
      </w:r>
      <w:proofErr w:type="spellStart"/>
      <w:r w:rsidRPr="00484BF5">
        <w:rPr>
          <w:rFonts w:ascii="Times New Roman" w:hAnsi="Times New Roman" w:cs="Times New Roman"/>
          <w:color w:val="000000"/>
          <w:sz w:val="16"/>
          <w:szCs w:val="16"/>
          <w:lang w:val="de-DE"/>
        </w:rPr>
        <w:t>Ximan</w:t>
      </w:r>
      <w:proofErr w:type="spellEnd"/>
      <w:r w:rsidRPr="00484BF5">
        <w:rPr>
          <w:rFonts w:ascii="Times New Roman" w:hAnsi="Times New Roman" w:cs="Times New Roman"/>
          <w:color w:val="000000"/>
          <w:sz w:val="16"/>
          <w:szCs w:val="16"/>
          <w:lang w:val="de-DE"/>
        </w:rPr>
        <w:t xml:space="preserve"> Hong</w:t>
      </w:r>
      <w:r w:rsidRPr="00484BF5">
        <w:rPr>
          <w:rFonts w:ascii="Times New Roman" w:hAnsi="Times New Roman" w:cs="Times New Roman"/>
          <w:color w:val="000000"/>
          <w:sz w:val="16"/>
          <w:szCs w:val="16"/>
          <w:lang w:val="de-DE"/>
        </w:rPr>
        <w:tab/>
        <w:t>606915</w:t>
      </w:r>
    </w:p>
    <w:p w14:paraId="33846C56" w14:textId="1077E5BA" w:rsidR="00484BF5" w:rsidRPr="00484BF5" w:rsidRDefault="00484BF5" w:rsidP="00484BF5">
      <w:pPr>
        <w:ind w:left="840"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Haotian Zheng</w:t>
      </w:r>
      <w:r w:rsidRPr="00484BF5">
        <w:rPr>
          <w:rFonts w:ascii="Times New Roman" w:hAnsi="Times New Roman" w:cs="Times New Roman"/>
          <w:color w:val="000000"/>
          <w:sz w:val="16"/>
          <w:szCs w:val="16"/>
          <w:lang w:val="de-DE"/>
        </w:rPr>
        <w:tab/>
        <w:t>606848</w:t>
      </w:r>
    </w:p>
    <w:p w14:paraId="4BDD5183" w14:textId="70F8AFF9" w:rsidR="00484BF5" w:rsidRPr="00484BF5" w:rsidRDefault="00484BF5" w:rsidP="00484BF5">
      <w:pPr>
        <w:ind w:left="840" w:firstLine="420"/>
        <w:rPr>
          <w:rFonts w:ascii="Times New Roman" w:hAnsi="Times New Roman" w:cs="Times New Roman"/>
          <w:color w:val="000000"/>
          <w:sz w:val="16"/>
          <w:szCs w:val="16"/>
          <w:lang w:val="de-DE"/>
        </w:rPr>
      </w:pPr>
      <w:proofErr w:type="spellStart"/>
      <w:r w:rsidRPr="00484BF5">
        <w:rPr>
          <w:rFonts w:ascii="Times New Roman" w:hAnsi="Times New Roman" w:cs="Times New Roman"/>
          <w:color w:val="000000"/>
          <w:sz w:val="16"/>
          <w:szCs w:val="16"/>
          <w:lang w:val="de-DE"/>
        </w:rPr>
        <w:t>Junhong</w:t>
      </w:r>
      <w:proofErr w:type="spellEnd"/>
      <w:r w:rsidRPr="00484BF5">
        <w:rPr>
          <w:rFonts w:ascii="Times New Roman" w:hAnsi="Times New Roman" w:cs="Times New Roman"/>
          <w:color w:val="000000"/>
          <w:sz w:val="16"/>
          <w:szCs w:val="16"/>
          <w:lang w:val="de-DE"/>
        </w:rPr>
        <w:t xml:space="preserve"> Zhou</w:t>
      </w:r>
      <w:r w:rsidRPr="00484BF5">
        <w:rPr>
          <w:rFonts w:ascii="Times New Roman" w:hAnsi="Times New Roman" w:cs="Times New Roman"/>
          <w:color w:val="000000"/>
          <w:sz w:val="16"/>
          <w:szCs w:val="16"/>
          <w:lang w:val="de-DE"/>
        </w:rPr>
        <w:tab/>
        <w:t>606797</w:t>
      </w:r>
    </w:p>
    <w:p w14:paraId="4F6602B0" w14:textId="091A5A96" w:rsidR="00484BF5" w:rsidRPr="00484BF5" w:rsidRDefault="00484BF5" w:rsidP="00484BF5">
      <w:pPr>
        <w:ind w:left="840"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Shilian Shen</w:t>
      </w:r>
      <w:r w:rsidRPr="00484BF5">
        <w:rPr>
          <w:rFonts w:ascii="Times New Roman" w:hAnsi="Times New Roman" w:cs="Times New Roman"/>
          <w:color w:val="000000"/>
          <w:sz w:val="16"/>
          <w:szCs w:val="16"/>
          <w:lang w:val="de-DE"/>
        </w:rPr>
        <w:tab/>
        <w:t>606903</w:t>
      </w:r>
    </w:p>
    <w:p w14:paraId="6E9F0C37" w14:textId="207343DE" w:rsidR="00484BF5" w:rsidRPr="00484BF5" w:rsidRDefault="00484BF5" w:rsidP="00484BF5">
      <w:pPr>
        <w:ind w:left="840"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Yinding Cheng</w:t>
      </w:r>
      <w:r w:rsidRPr="00484BF5">
        <w:rPr>
          <w:rFonts w:ascii="Times New Roman" w:hAnsi="Times New Roman" w:cs="Times New Roman"/>
          <w:color w:val="000000"/>
          <w:sz w:val="16"/>
          <w:szCs w:val="16"/>
          <w:lang w:val="de-DE"/>
        </w:rPr>
        <w:tab/>
        <w:t>606916</w:t>
      </w:r>
    </w:p>
    <w:p w14:paraId="1DE292F0" w14:textId="26259E4B" w:rsidR="00C63B68" w:rsidRPr="00484BF5" w:rsidRDefault="00484BF5" w:rsidP="00484BF5">
      <w:pPr>
        <w:rPr>
          <w:rFonts w:ascii="Times New Roman" w:hAnsi="Times New Roman" w:cs="Times New Roman"/>
          <w:b/>
          <w:bCs/>
          <w:color w:val="000000"/>
          <w:sz w:val="16"/>
          <w:szCs w:val="16"/>
          <w:lang w:val="de-DE"/>
        </w:rPr>
      </w:pPr>
      <w:r w:rsidRPr="00484BF5">
        <w:rPr>
          <w:rFonts w:ascii="Times New Roman" w:hAnsi="Times New Roman" w:cs="Times New Roman"/>
          <w:b/>
          <w:bCs/>
          <w:color w:val="000000"/>
          <w:sz w:val="16"/>
          <w:szCs w:val="16"/>
          <w:lang w:val="de-DE"/>
        </w:rPr>
        <w:t>1.Einleitung</w:t>
      </w:r>
      <w:r w:rsidR="00C63B68" w:rsidRPr="00484BF5">
        <w:rPr>
          <w:rFonts w:ascii="Times New Roman" w:hAnsi="Times New Roman" w:cs="Times New Roman"/>
          <w:b/>
          <w:bCs/>
          <w:color w:val="000000"/>
          <w:sz w:val="16"/>
          <w:szCs w:val="16"/>
          <w:lang w:val="de-DE"/>
        </w:rPr>
        <w:t>:</w:t>
      </w:r>
    </w:p>
    <w:p w14:paraId="01AD5A3B" w14:textId="6AF0254E" w:rsidR="00C63B68" w:rsidRPr="00484BF5" w:rsidRDefault="00C63B68" w:rsidP="00484BF5">
      <w:pPr>
        <w:ind w:firstLine="420"/>
        <w:rPr>
          <w:rFonts w:ascii="Times New Roman" w:hAnsi="Times New Roman" w:cs="Times New Roman"/>
          <w:color w:val="000000"/>
          <w:sz w:val="16"/>
          <w:szCs w:val="16"/>
        </w:rPr>
      </w:pPr>
      <w:r w:rsidRPr="00484BF5">
        <w:rPr>
          <w:rFonts w:ascii="Times New Roman" w:hAnsi="Times New Roman" w:cs="Times New Roman"/>
          <w:color w:val="000000"/>
          <w:sz w:val="16"/>
          <w:szCs w:val="16"/>
          <w:lang w:val="de-DE"/>
        </w:rPr>
        <w:t>Dieses Praktikum zielt darauf ab, die Eigenschaften grundlegender Übertragungselemente (wie P, I, PT1 und PT2) in Regelsystemen zu verstehen. Mithilfe von MATLAB und Simulink werden das Zeitverhalten (auf Stufen- und Sinussignale) sowie das Frequenzverhalten analysiert. Durch die Untersuchung relevanter Parameter, Bode-Diagramme und Pol-Nullstellen-Dia</w:t>
      </w:r>
      <w:r w:rsidRPr="00484BF5">
        <w:rPr>
          <w:rFonts w:ascii="Times New Roman" w:hAnsi="Times New Roman" w:cs="Times New Roman"/>
          <w:color w:val="000000"/>
          <w:sz w:val="16"/>
          <w:szCs w:val="16"/>
          <w:lang w:val="de-DE"/>
        </w:rPr>
        <w:t xml:space="preserve">verschiedene elementare </w:t>
      </w:r>
      <w:proofErr w:type="spellStart"/>
      <w:r w:rsidRPr="00484BF5">
        <w:rPr>
          <w:rFonts w:ascii="Times New Roman" w:hAnsi="Times New Roman" w:cs="Times New Roman"/>
          <w:color w:val="000000"/>
          <w:sz w:val="16"/>
          <w:szCs w:val="16"/>
          <w:lang w:val="de-DE"/>
        </w:rPr>
        <w:t>gramme</w:t>
      </w:r>
      <w:proofErr w:type="spellEnd"/>
      <w:r w:rsidRPr="00484BF5">
        <w:rPr>
          <w:rFonts w:ascii="Times New Roman" w:hAnsi="Times New Roman" w:cs="Times New Roman"/>
          <w:color w:val="000000"/>
          <w:sz w:val="16"/>
          <w:szCs w:val="16"/>
          <w:lang w:val="de-DE"/>
        </w:rPr>
        <w:t xml:space="preserve"> wird die Stabilität und Dynamik der Systeme bewertet. Dies bildet eine essenzielle Grundlage für die praktische Auslegung von Regelkreisen.</w:t>
      </w:r>
    </w:p>
    <w:p w14:paraId="5B6DCA19" w14:textId="77777777" w:rsidR="00C63B68" w:rsidRPr="00484BF5" w:rsidRDefault="00C63B68" w:rsidP="00484BF5">
      <w:pPr>
        <w:rPr>
          <w:rFonts w:ascii="Times New Roman" w:hAnsi="Times New Roman" w:cs="Times New Roman"/>
          <w:color w:val="000000"/>
          <w:sz w:val="16"/>
          <w:szCs w:val="16"/>
          <w:lang w:val="de-DE"/>
        </w:rPr>
      </w:pPr>
    </w:p>
    <w:p w14:paraId="78CBAB79" w14:textId="79E193F4" w:rsidR="00C63B68" w:rsidRPr="00484BF5" w:rsidRDefault="00484BF5" w:rsidP="00484BF5">
      <w:pPr>
        <w:rPr>
          <w:rFonts w:ascii="Times New Roman" w:hAnsi="Times New Roman" w:cs="Times New Roman"/>
          <w:b/>
          <w:bCs/>
          <w:color w:val="000000"/>
          <w:sz w:val="16"/>
          <w:szCs w:val="16"/>
          <w:lang w:val="de-DE"/>
        </w:rPr>
      </w:pPr>
      <w:r w:rsidRPr="00484BF5">
        <w:rPr>
          <w:rFonts w:ascii="Times New Roman" w:hAnsi="Times New Roman" w:cs="Times New Roman"/>
          <w:b/>
          <w:bCs/>
          <w:color w:val="000000"/>
          <w:sz w:val="16"/>
          <w:szCs w:val="16"/>
          <w:lang w:val="de-DE"/>
        </w:rPr>
        <w:t>2.</w:t>
      </w:r>
      <w:r w:rsidR="00C63B68" w:rsidRPr="00484BF5">
        <w:rPr>
          <w:rFonts w:ascii="Times New Roman" w:hAnsi="Times New Roman" w:cs="Times New Roman"/>
          <w:b/>
          <w:bCs/>
          <w:color w:val="000000"/>
          <w:sz w:val="16"/>
          <w:szCs w:val="16"/>
          <w:lang w:val="de-DE"/>
        </w:rPr>
        <w:t>Versuchaufbau:</w:t>
      </w:r>
    </w:p>
    <w:p w14:paraId="539E3D28" w14:textId="5A710ECC" w:rsidR="00C63B68" w:rsidRPr="00484BF5" w:rsidRDefault="00C63B68" w:rsidP="00484BF5">
      <w:pPr>
        <w:ind w:firstLine="420"/>
        <w:rPr>
          <w:rFonts w:ascii="Times New Roman" w:hAnsi="Times New Roman" w:cs="Times New Roman"/>
          <w:color w:val="000000"/>
          <w:sz w:val="16"/>
          <w:szCs w:val="16"/>
          <w:lang w:val="de-DE"/>
        </w:rPr>
      </w:pPr>
      <w:r w:rsidRPr="00484BF5">
        <w:rPr>
          <w:rFonts w:ascii="Times New Roman" w:eastAsiaTheme="minorEastAsia" w:hAnsi="Times New Roman" w:cs="Times New Roman"/>
          <w:color w:val="000000"/>
          <w:kern w:val="2"/>
          <w:sz w:val="16"/>
          <w:szCs w:val="16"/>
          <w:lang w:val="de-DE"/>
          <w14:ligatures w14:val="standardContextual"/>
        </w:rPr>
        <w:t>Der Aufbau und die Durchführung des Versuchs erfolgen hauptsächlich mithilfe der Software-Tools MATLAB und Simulink.</w:t>
      </w:r>
    </w:p>
    <w:p w14:paraId="58E585E1" w14:textId="0AEE4EF2" w:rsidR="00C63B68" w:rsidRPr="00484BF5" w:rsidRDefault="00C63B68" w:rsidP="00484BF5">
      <w:pPr>
        <w:ind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 xml:space="preserve">In Simulink-Modell werden </w:t>
      </w:r>
      <w:r w:rsidR="00F070BF" w:rsidRPr="00484BF5">
        <w:rPr>
          <w:rFonts w:ascii="Times New Roman" w:hAnsi="Times New Roman" w:cs="Times New Roman"/>
          <w:color w:val="000000"/>
          <w:sz w:val="16"/>
          <w:szCs w:val="16"/>
          <w:lang w:val="de-DE"/>
        </w:rPr>
        <w:t>Übertragungsglieder (P-, I-, PT1- und PT2-Glieder) mit spezifischen Parametern (wie</w:t>
      </w:r>
      <w:r w:rsidR="00F070BF" w:rsidRPr="00484BF5">
        <w:rPr>
          <w:rFonts w:ascii="Times New Roman" w:hAnsi="Times New Roman" w:cs="Times New Roman"/>
          <w:sz w:val="16"/>
          <w:szCs w:val="16"/>
          <w:lang w:val="de-DE"/>
        </w:rPr>
        <w:t> </w:t>
      </w:r>
      <m:oMath>
        <m:sSub>
          <m:sSubPr>
            <m:ctrlPr>
              <w:rPr>
                <w:rFonts w:ascii="Cambria Math" w:eastAsiaTheme="minorEastAsia" w:hAnsi="Cambria Math" w:cs="Times New Roman"/>
                <w:color w:val="000000"/>
                <w:sz w:val="16"/>
                <w:szCs w:val="16"/>
                <w:lang w:val="de-DE"/>
              </w:rPr>
            </m:ctrlPr>
          </m:sSubPr>
          <m:e>
            <m:r>
              <m:rPr>
                <m:sty m:val="p"/>
              </m:rPr>
              <w:rPr>
                <w:rFonts w:ascii="Cambria Math" w:hAnsi="Cambria Math" w:cs="Times New Roman"/>
                <w:color w:val="000000"/>
                <w:sz w:val="16"/>
                <w:szCs w:val="16"/>
                <w:lang w:val="de-DE"/>
              </w:rPr>
              <m:t>K</m:t>
            </m:r>
          </m:e>
          <m:sub>
            <m:r>
              <m:rPr>
                <m:sty m:val="p"/>
              </m:rPr>
              <w:rPr>
                <w:rFonts w:ascii="Cambria Math" w:hAnsi="Cambria Math" w:cs="Times New Roman"/>
                <w:color w:val="000000"/>
                <w:sz w:val="16"/>
                <w:szCs w:val="16"/>
                <w:lang w:val="de-DE"/>
              </w:rPr>
              <m:t>P</m:t>
            </m:r>
          </m:sub>
        </m:sSub>
        <m:r>
          <m:rPr>
            <m:sty m:val="p"/>
          </m:rPr>
          <w:rPr>
            <w:rFonts w:ascii="Cambria Math" w:hAnsi="Cambria Math" w:cs="Times New Roman"/>
            <w:color w:val="000000"/>
            <w:sz w:val="16"/>
            <w:szCs w:val="16"/>
            <w:lang w:val="de-DE"/>
          </w:rPr>
          <m:t>=2</m:t>
        </m:r>
      </m:oMath>
      <w:r w:rsidR="00F070BF" w:rsidRPr="00484BF5">
        <w:rPr>
          <w:rFonts w:ascii="Times New Roman" w:hAnsi="Times New Roman" w:cs="Times New Roman"/>
          <w:color w:val="000000"/>
          <w:sz w:val="16"/>
          <w:szCs w:val="16"/>
          <w:lang w:val="de-DE"/>
        </w:rPr>
        <w:t>,</w:t>
      </w:r>
      <w:r w:rsidR="00F070BF" w:rsidRPr="00484BF5">
        <w:rPr>
          <w:rFonts w:ascii="Times New Roman" w:hAnsi="Times New Roman" w:cs="Times New Roman"/>
          <w:sz w:val="16"/>
          <w:szCs w:val="16"/>
          <w:lang w:val="de-DE"/>
        </w:rPr>
        <w:t> </w:t>
      </w:r>
      <m:oMath>
        <m:r>
          <m:rPr>
            <m:sty m:val="p"/>
          </m:rPr>
          <w:rPr>
            <w:rFonts w:ascii="Cambria Math" w:hAnsi="Cambria Math" w:cs="Times New Roman"/>
            <w:color w:val="000000"/>
            <w:sz w:val="16"/>
            <w:szCs w:val="16"/>
            <w:lang w:val="de-DE"/>
          </w:rPr>
          <m:t>T1=0.5s</m:t>
        </m:r>
      </m:oMath>
      <w:r w:rsidR="00F070BF" w:rsidRPr="00484BF5">
        <w:rPr>
          <w:rFonts w:ascii="Times New Roman" w:hAnsi="Times New Roman" w:cs="Times New Roman"/>
          <w:color w:val="000000"/>
          <w:sz w:val="16"/>
          <w:szCs w:val="16"/>
          <w:lang w:val="de-DE"/>
        </w:rPr>
        <w:t>,</w:t>
      </w:r>
      <w:r w:rsidR="00F070BF" w:rsidRPr="00484BF5">
        <w:rPr>
          <w:rFonts w:ascii="Times New Roman" w:hAnsi="Times New Roman" w:cs="Times New Roman"/>
          <w:sz w:val="16"/>
          <w:szCs w:val="16"/>
          <w:lang w:val="de-DE"/>
        </w:rPr>
        <w:t> </w:t>
      </w:r>
      <m:oMath>
        <m:r>
          <m:rPr>
            <m:sty m:val="p"/>
          </m:rPr>
          <w:rPr>
            <w:rFonts w:ascii="Cambria Math" w:hAnsi="Cambria Math" w:cs="Times New Roman"/>
            <w:color w:val="000000"/>
            <w:sz w:val="16"/>
            <w:szCs w:val="16"/>
            <w:lang w:val="de-DE"/>
          </w:rPr>
          <m:t>T2=0.5s</m:t>
        </m:r>
      </m:oMath>
      <w:r w:rsidR="00F070BF" w:rsidRPr="00484BF5">
        <w:rPr>
          <w:rFonts w:ascii="Times New Roman" w:hAnsi="Times New Roman" w:cs="Times New Roman"/>
          <w:color w:val="000000"/>
          <w:sz w:val="16"/>
          <w:szCs w:val="16"/>
          <w:lang w:val="de-DE"/>
        </w:rPr>
        <w:t>) implementiert, um deren Sprungantworten zu erzeugen.</w:t>
      </w:r>
    </w:p>
    <w:p w14:paraId="6A40097E" w14:textId="77777777" w:rsidR="00F070BF" w:rsidRPr="00484BF5" w:rsidRDefault="00F070BF" w:rsidP="00484BF5">
      <w:pPr>
        <w:rPr>
          <w:rFonts w:ascii="Times New Roman" w:hAnsi="Times New Roman" w:cs="Times New Roman"/>
          <w:color w:val="000000"/>
          <w:sz w:val="16"/>
          <w:szCs w:val="16"/>
          <w:lang w:val="de-DE"/>
        </w:rPr>
      </w:pPr>
    </w:p>
    <w:p w14:paraId="19AEE6CA" w14:textId="01756592" w:rsidR="00F070BF" w:rsidRPr="00484BF5" w:rsidRDefault="00484BF5" w:rsidP="00484BF5">
      <w:pPr>
        <w:rPr>
          <w:rFonts w:ascii="Times New Roman" w:hAnsi="Times New Roman" w:cs="Times New Roman"/>
          <w:b/>
          <w:bCs/>
          <w:color w:val="000000"/>
          <w:sz w:val="16"/>
          <w:szCs w:val="16"/>
          <w:lang w:val="de-DE"/>
        </w:rPr>
      </w:pPr>
      <w:r w:rsidRPr="00484BF5">
        <w:rPr>
          <w:rFonts w:ascii="Times New Roman" w:hAnsi="Times New Roman" w:cs="Times New Roman"/>
          <w:b/>
          <w:bCs/>
          <w:color w:val="000000"/>
          <w:sz w:val="16"/>
          <w:szCs w:val="16"/>
          <w:lang w:val="de-DE"/>
        </w:rPr>
        <w:t>3</w:t>
      </w:r>
      <w:r w:rsidR="00F070BF" w:rsidRPr="00484BF5">
        <w:rPr>
          <w:rFonts w:ascii="Times New Roman" w:hAnsi="Times New Roman" w:cs="Times New Roman"/>
          <w:b/>
          <w:bCs/>
          <w:color w:val="000000"/>
          <w:sz w:val="16"/>
          <w:szCs w:val="16"/>
          <w:lang w:val="de-DE"/>
        </w:rPr>
        <w:t>Versuchdurchfürgung</w:t>
      </w:r>
      <w:r>
        <w:rPr>
          <w:rFonts w:ascii="Times New Roman" w:hAnsi="Times New Roman" w:cs="Times New Roman"/>
          <w:b/>
          <w:bCs/>
          <w:color w:val="000000"/>
          <w:sz w:val="16"/>
          <w:szCs w:val="16"/>
          <w:lang w:val="de-DE"/>
        </w:rPr>
        <w:t>:</w:t>
      </w:r>
    </w:p>
    <w:p w14:paraId="54E0395F" w14:textId="0640E12D" w:rsidR="00F070BF" w:rsidRPr="00484BF5" w:rsidRDefault="00F070BF" w:rsidP="00484BF5">
      <w:pPr>
        <w:ind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 xml:space="preserve">Mit </w:t>
      </w:r>
      <w:proofErr w:type="spellStart"/>
      <w:r w:rsidRPr="00484BF5">
        <w:rPr>
          <w:rFonts w:ascii="Times New Roman" w:hAnsi="Times New Roman" w:cs="Times New Roman"/>
          <w:color w:val="000000"/>
          <w:sz w:val="16"/>
          <w:szCs w:val="16"/>
          <w:lang w:val="de-DE"/>
        </w:rPr>
        <w:t>hilfe</w:t>
      </w:r>
      <w:proofErr w:type="spellEnd"/>
      <w:r w:rsidRPr="00484BF5">
        <w:rPr>
          <w:rFonts w:ascii="Times New Roman" w:hAnsi="Times New Roman" w:cs="Times New Roman"/>
          <w:color w:val="000000"/>
          <w:sz w:val="16"/>
          <w:szCs w:val="16"/>
          <w:lang w:val="de-DE"/>
        </w:rPr>
        <w:t xml:space="preserve"> von der MATLAB Simulink </w:t>
      </w:r>
      <w:r w:rsidRPr="00484BF5">
        <w:rPr>
          <w:rFonts w:ascii="Times New Roman" w:hAnsi="Times New Roman" w:cs="Times New Roman"/>
          <w:color w:val="000000"/>
          <w:sz w:val="16"/>
          <w:szCs w:val="16"/>
          <w:lang w:val="de-DE"/>
        </w:rPr>
        <w:t>werden die Sprungantworten der folgenden</w:t>
      </w:r>
      <w:r w:rsidRPr="00484BF5">
        <w:rPr>
          <w:rFonts w:ascii="Times New Roman" w:hAnsi="Times New Roman" w:cs="Times New Roman"/>
          <w:color w:val="000000"/>
          <w:sz w:val="16"/>
          <w:szCs w:val="16"/>
          <w:lang w:val="de-DE"/>
        </w:rPr>
        <w:t xml:space="preserve"> </w:t>
      </w:r>
      <w:r w:rsidRPr="00484BF5">
        <w:rPr>
          <w:rFonts w:ascii="Times New Roman" w:hAnsi="Times New Roman" w:cs="Times New Roman"/>
          <w:color w:val="000000"/>
          <w:sz w:val="16"/>
          <w:szCs w:val="16"/>
          <w:lang w:val="de-DE"/>
        </w:rPr>
        <w:t>elementaren Übertragungsglieder erstellt.</w:t>
      </w:r>
    </w:p>
    <w:p w14:paraId="03383902" w14:textId="4F4CB265" w:rsidR="00F070BF" w:rsidRDefault="00F070BF" w:rsidP="00484BF5">
      <w:pPr>
        <w:ind w:firstLine="420"/>
        <w:rPr>
          <w:rFonts w:ascii="Times New Roman" w:eastAsiaTheme="minorEastAsia" w:hAnsi="Times New Roman" w:cs="Times New Roman"/>
          <w:color w:val="000000"/>
          <w:kern w:val="2"/>
          <w:sz w:val="16"/>
          <w:szCs w:val="16"/>
          <w:lang w:val="de-DE"/>
          <w14:ligatures w14:val="standardContextual"/>
        </w:rPr>
      </w:pPr>
      <w:r w:rsidRPr="00484BF5">
        <w:rPr>
          <w:rFonts w:ascii="Times New Roman" w:hAnsi="Times New Roman" w:cs="Times New Roman"/>
          <w:color w:val="000000"/>
          <w:sz w:val="16"/>
          <w:szCs w:val="16"/>
          <w:lang w:val="de-DE"/>
        </w:rPr>
        <w:t>D</w:t>
      </w:r>
      <w:r w:rsidRPr="00484BF5">
        <w:rPr>
          <w:rFonts w:ascii="Times New Roman" w:eastAsiaTheme="minorEastAsia" w:hAnsi="Times New Roman" w:cs="Times New Roman"/>
          <w:color w:val="000000"/>
          <w:kern w:val="2"/>
          <w:sz w:val="16"/>
          <w:szCs w:val="16"/>
          <w:lang w:val="de-DE"/>
          <w14:ligatures w14:val="standardContextual"/>
        </w:rPr>
        <w:t>ie Simulation der Sprungantworten elementarer Übertragungsglieder (mit den Parametern</w:t>
      </w:r>
      <w:r w:rsidRPr="00484BF5">
        <w:rPr>
          <w:rFonts w:ascii="Times New Roman" w:eastAsiaTheme="minorEastAsia" w:hAnsi="Times New Roman" w:cs="Times New Roman"/>
          <w:kern w:val="2"/>
          <w:sz w:val="16"/>
          <w:szCs w:val="16"/>
          <w:lang w:val="de-DE"/>
          <w14:ligatures w14:val="standardContextual"/>
        </w:rPr>
        <w:t> </w:t>
      </w:r>
      <m:oMath>
        <m:sSub>
          <m:sSubPr>
            <m:ctrlPr>
              <w:rPr>
                <w:rFonts w:ascii="Cambria Math" w:eastAsiaTheme="minorEastAsia" w:hAnsi="Cambria Math" w:cs="Times New Roman"/>
                <w:color w:val="000000"/>
                <w:kern w:val="2"/>
                <w:sz w:val="16"/>
                <w:szCs w:val="16"/>
                <w:lang w:val="de-DE"/>
                <w14:ligatures w14:val="standardContextual"/>
              </w:rPr>
            </m:ctrlPr>
          </m:sSubPr>
          <m:e>
            <m:r>
              <m:rPr>
                <m:sty m:val="p"/>
              </m:rPr>
              <w:rPr>
                <w:rFonts w:ascii="Cambria Math" w:hAnsi="Cambria Math" w:cs="Times New Roman"/>
                <w:color w:val="000000"/>
                <w:sz w:val="16"/>
                <w:szCs w:val="16"/>
                <w:lang w:val="de-DE"/>
              </w:rPr>
              <m:t>K</m:t>
            </m:r>
          </m:e>
          <m:sub>
            <m:r>
              <m:rPr>
                <m:sty m:val="p"/>
              </m:rPr>
              <w:rPr>
                <w:rFonts w:ascii="Cambria Math" w:hAnsi="Cambria Math" w:cs="Times New Roman"/>
                <w:color w:val="000000"/>
                <w:sz w:val="16"/>
                <w:szCs w:val="16"/>
                <w:lang w:val="de-DE"/>
              </w:rPr>
              <m:t>P</m:t>
            </m:r>
          </m:sub>
        </m:sSub>
        <m:r>
          <m:rPr>
            <m:sty m:val="p"/>
          </m:rPr>
          <w:rPr>
            <w:rFonts w:ascii="Cambria Math" w:hAnsi="Cambria Math" w:cs="Times New Roman"/>
            <w:color w:val="000000"/>
            <w:sz w:val="16"/>
            <w:szCs w:val="16"/>
            <w:lang w:val="de-DE"/>
          </w:rPr>
          <m:t>=2</m:t>
        </m:r>
      </m:oMath>
      <w:r w:rsidRPr="00484BF5">
        <w:rPr>
          <w:rFonts w:ascii="Times New Roman" w:eastAsiaTheme="minorEastAsia" w:hAnsi="Times New Roman" w:cs="Times New Roman"/>
          <w:color w:val="000000"/>
          <w:kern w:val="2"/>
          <w:sz w:val="16"/>
          <w:szCs w:val="16"/>
          <w:lang w:val="de-DE"/>
          <w14:ligatures w14:val="standardContextual"/>
        </w:rPr>
        <w:t>,</w:t>
      </w:r>
      <w:r w:rsidRPr="00484BF5">
        <w:rPr>
          <w:rFonts w:ascii="Times New Roman" w:eastAsiaTheme="minorEastAsia" w:hAnsi="Times New Roman" w:cs="Times New Roman"/>
          <w:kern w:val="2"/>
          <w:sz w:val="16"/>
          <w:szCs w:val="16"/>
          <w:lang w:val="de-DE"/>
          <w14:ligatures w14:val="standardContextual"/>
        </w:rPr>
        <w:t> </w:t>
      </w:r>
      <m:oMath>
        <m:sSub>
          <m:sSubPr>
            <m:ctrlPr>
              <w:rPr>
                <w:rFonts w:ascii="Cambria Math" w:eastAsiaTheme="minorEastAsia" w:hAnsi="Cambria Math" w:cs="Times New Roman"/>
                <w:color w:val="000000"/>
                <w:kern w:val="2"/>
                <w:sz w:val="16"/>
                <w:szCs w:val="16"/>
                <w:lang w:val="de-DE"/>
                <w14:ligatures w14:val="standardContextual"/>
              </w:rPr>
            </m:ctrlPr>
          </m:sSubPr>
          <m:e>
            <m:r>
              <m:rPr>
                <m:sty m:val="p"/>
              </m:rPr>
              <w:rPr>
                <w:rFonts w:ascii="Cambria Math" w:hAnsi="Cambria Math" w:cs="Times New Roman"/>
                <w:color w:val="000000"/>
                <w:sz w:val="16"/>
                <w:szCs w:val="16"/>
                <w:lang w:val="de-DE"/>
              </w:rPr>
              <m:t>T</m:t>
            </m:r>
          </m:e>
          <m:sub>
            <m:r>
              <m:rPr>
                <m:sty m:val="p"/>
              </m:rPr>
              <w:rPr>
                <w:rFonts w:ascii="Cambria Math" w:hAnsi="Cambria Math" w:cs="Times New Roman"/>
                <w:color w:val="000000"/>
                <w:sz w:val="16"/>
                <w:szCs w:val="16"/>
                <w:lang w:val="de-DE"/>
              </w:rPr>
              <m:t>1</m:t>
            </m:r>
          </m:sub>
        </m:sSub>
        <m:r>
          <m:rPr>
            <m:sty m:val="p"/>
          </m:rPr>
          <w:rPr>
            <w:rFonts w:ascii="Cambria Math" w:hAnsi="Cambria Math" w:cs="Times New Roman"/>
            <w:color w:val="000000"/>
            <w:sz w:val="16"/>
            <w:szCs w:val="16"/>
            <w:lang w:val="de-DE"/>
          </w:rPr>
          <m:t>=0.5</m:t>
        </m:r>
        <m:r>
          <m:rPr>
            <m:nor/>
          </m:rPr>
          <w:rPr>
            <w:rFonts w:ascii="Times New Roman" w:eastAsiaTheme="minorEastAsia" w:hAnsi="Times New Roman" w:cs="Times New Roman"/>
            <w:color w:val="000000"/>
            <w:kern w:val="2"/>
            <w:sz w:val="16"/>
            <w:szCs w:val="16"/>
            <w:lang w:val="de-DE"/>
            <w14:ligatures w14:val="standardContextual"/>
          </w:rPr>
          <m:t> s</m:t>
        </m:r>
      </m:oMath>
      <w:r w:rsidRPr="00484BF5">
        <w:rPr>
          <w:rFonts w:ascii="Times New Roman" w:eastAsiaTheme="minorEastAsia" w:hAnsi="Times New Roman" w:cs="Times New Roman"/>
          <w:kern w:val="2"/>
          <w:sz w:val="16"/>
          <w:szCs w:val="16"/>
          <w:lang w:val="de-DE"/>
          <w14:ligatures w14:val="standardContextual"/>
        </w:rPr>
        <w:t> </w:t>
      </w:r>
      <w:r w:rsidRPr="00484BF5">
        <w:rPr>
          <w:rFonts w:ascii="Times New Roman" w:eastAsiaTheme="minorEastAsia" w:hAnsi="Times New Roman" w:cs="Times New Roman"/>
          <w:color w:val="000000"/>
          <w:kern w:val="2"/>
          <w:sz w:val="16"/>
          <w:szCs w:val="16"/>
          <w:lang w:val="de-DE"/>
          <w14:ligatures w14:val="standardContextual"/>
        </w:rPr>
        <w:t>und</w:t>
      </w:r>
      <w:r w:rsidRPr="00484BF5">
        <w:rPr>
          <w:rFonts w:ascii="Times New Roman" w:eastAsiaTheme="minorEastAsia" w:hAnsi="Times New Roman" w:cs="Times New Roman"/>
          <w:kern w:val="2"/>
          <w:sz w:val="16"/>
          <w:szCs w:val="16"/>
          <w:lang w:val="de-DE"/>
          <w14:ligatures w14:val="standardContextual"/>
        </w:rPr>
        <w:t> </w:t>
      </w:r>
      <m:oMath>
        <m:sSub>
          <m:sSubPr>
            <m:ctrlPr>
              <w:rPr>
                <w:rFonts w:ascii="Cambria Math" w:eastAsiaTheme="minorEastAsia" w:hAnsi="Cambria Math" w:cs="Times New Roman"/>
                <w:color w:val="000000"/>
                <w:kern w:val="2"/>
                <w:sz w:val="16"/>
                <w:szCs w:val="16"/>
                <w:lang w:val="de-DE"/>
                <w14:ligatures w14:val="standardContextual"/>
              </w:rPr>
            </m:ctrlPr>
          </m:sSubPr>
          <m:e>
            <m:r>
              <m:rPr>
                <m:sty m:val="p"/>
              </m:rPr>
              <w:rPr>
                <w:rFonts w:ascii="Cambria Math" w:hAnsi="Cambria Math" w:cs="Times New Roman"/>
                <w:color w:val="000000"/>
                <w:sz w:val="16"/>
                <w:szCs w:val="16"/>
                <w:lang w:val="de-DE"/>
              </w:rPr>
              <m:t>T</m:t>
            </m:r>
          </m:e>
          <m:sub>
            <m:r>
              <m:rPr>
                <m:sty m:val="p"/>
              </m:rPr>
              <w:rPr>
                <w:rFonts w:ascii="Cambria Math" w:hAnsi="Cambria Math" w:cs="Times New Roman"/>
                <w:color w:val="000000"/>
                <w:sz w:val="16"/>
                <w:szCs w:val="16"/>
                <w:lang w:val="de-DE"/>
              </w:rPr>
              <m:t>2</m:t>
            </m:r>
          </m:sub>
        </m:sSub>
        <m:r>
          <m:rPr>
            <m:sty m:val="p"/>
          </m:rPr>
          <w:rPr>
            <w:rFonts w:ascii="Cambria Math" w:hAnsi="Cambria Math" w:cs="Times New Roman"/>
            <w:color w:val="000000"/>
            <w:sz w:val="16"/>
            <w:szCs w:val="16"/>
            <w:lang w:val="de-DE"/>
          </w:rPr>
          <m:t>=0.5</m:t>
        </m:r>
        <m:r>
          <m:rPr>
            <m:nor/>
          </m:rPr>
          <w:rPr>
            <w:rFonts w:ascii="Times New Roman" w:eastAsiaTheme="minorEastAsia" w:hAnsi="Times New Roman" w:cs="Times New Roman"/>
            <w:color w:val="000000"/>
            <w:kern w:val="2"/>
            <w:sz w:val="16"/>
            <w:szCs w:val="16"/>
            <w:lang w:val="de-DE"/>
            <w14:ligatures w14:val="standardContextual"/>
          </w:rPr>
          <m:t> s</m:t>
        </m:r>
      </m:oMath>
      <w:r w:rsidRPr="00484BF5">
        <w:rPr>
          <w:rFonts w:ascii="Times New Roman" w:eastAsiaTheme="minorEastAsia" w:hAnsi="Times New Roman" w:cs="Times New Roman"/>
          <w:color w:val="000000"/>
          <w:kern w:val="2"/>
          <w:sz w:val="16"/>
          <w:szCs w:val="16"/>
          <w:lang w:val="de-DE"/>
          <w14:ligatures w14:val="standardContextual"/>
        </w:rPr>
        <w:t xml:space="preserve">) erfolgt in MATLAB-Simulink. Um das dynamische Verhalten der verschiedenen Systeme direkt und übersichtlich vergleichen zu können, werden alle Ausgangssignale mithilfe eines </w:t>
      </w:r>
      <w:proofErr w:type="spellStart"/>
      <w:r w:rsidRPr="00484BF5">
        <w:rPr>
          <w:rFonts w:ascii="Times New Roman" w:eastAsiaTheme="minorEastAsia" w:hAnsi="Times New Roman" w:cs="Times New Roman"/>
          <w:color w:val="000000"/>
          <w:kern w:val="2"/>
          <w:sz w:val="16"/>
          <w:szCs w:val="16"/>
          <w:lang w:val="de-DE"/>
          <w14:ligatures w14:val="standardContextual"/>
        </w:rPr>
        <w:t>Mux</w:t>
      </w:r>
      <w:proofErr w:type="spellEnd"/>
      <w:r w:rsidRPr="00484BF5">
        <w:rPr>
          <w:rFonts w:ascii="Times New Roman" w:eastAsiaTheme="minorEastAsia" w:hAnsi="Times New Roman" w:cs="Times New Roman"/>
          <w:color w:val="000000"/>
          <w:kern w:val="2"/>
          <w:sz w:val="16"/>
          <w:szCs w:val="16"/>
          <w:lang w:val="de-DE"/>
          <w14:ligatures w14:val="standardContextual"/>
        </w:rPr>
        <w:t>-Blocks zusammengeführt und gemeinsam auf einem einzigen Scope (Oszilloskop) visualisiert.</w:t>
      </w:r>
    </w:p>
    <w:p w14:paraId="4DEACED8" w14:textId="77777777" w:rsidR="00484BF5" w:rsidRPr="00484BF5" w:rsidRDefault="00484BF5" w:rsidP="00484BF5">
      <w:pPr>
        <w:rPr>
          <w:rFonts w:ascii="Times New Roman" w:eastAsiaTheme="minorEastAsia" w:hAnsi="Times New Roman" w:cs="Times New Roman"/>
          <w:color w:val="000000"/>
          <w:kern w:val="2"/>
          <w:sz w:val="16"/>
          <w:szCs w:val="16"/>
          <w:lang w:val="de-DE"/>
          <w14:ligatures w14:val="standardContextual"/>
        </w:rPr>
      </w:pPr>
    </w:p>
    <w:p w14:paraId="4618B79C" w14:textId="54694288" w:rsidR="00484BF5" w:rsidRPr="00484BF5" w:rsidRDefault="00484BF5" w:rsidP="00484BF5">
      <w:pPr>
        <w:rPr>
          <w:rFonts w:ascii="Times New Roman" w:hAnsi="Times New Roman" w:cs="Times New Roman"/>
          <w:b/>
          <w:bCs/>
          <w:color w:val="000000"/>
          <w:sz w:val="16"/>
          <w:szCs w:val="16"/>
          <w:lang w:val="de-DE"/>
        </w:rPr>
      </w:pPr>
      <w:r w:rsidRPr="00484BF5">
        <w:rPr>
          <w:rFonts w:ascii="Times New Roman" w:hAnsi="Times New Roman" w:cs="Times New Roman"/>
          <w:b/>
          <w:bCs/>
          <w:color w:val="000000"/>
          <w:sz w:val="16"/>
          <w:szCs w:val="16"/>
          <w:lang w:val="de-DE"/>
        </w:rPr>
        <w:t>4.Versuchdürchführung</w:t>
      </w:r>
    </w:p>
    <w:p w14:paraId="4ED40888" w14:textId="3AC34D16" w:rsidR="0001264D" w:rsidRPr="00484BF5" w:rsidRDefault="003704A9" w:rsidP="00484BF5">
      <w:pPr>
        <w:rPr>
          <w:rFonts w:ascii="Times New Roman" w:hAnsi="Times New Roman" w:cs="Times New Roman"/>
          <w:b/>
          <w:bCs/>
          <w:color w:val="000000"/>
          <w:sz w:val="16"/>
          <w:szCs w:val="16"/>
          <w:lang w:val="de-DE"/>
        </w:rPr>
      </w:pPr>
      <w:r w:rsidRPr="00484BF5">
        <w:rPr>
          <w:rFonts w:ascii="Times New Roman" w:hAnsi="Times New Roman" w:cs="Times New Roman"/>
          <w:b/>
          <w:bCs/>
          <w:color w:val="000000"/>
          <w:sz w:val="16"/>
          <w:szCs w:val="16"/>
          <w:lang w:val="de-DE"/>
        </w:rPr>
        <w:t xml:space="preserve">4.1 </w:t>
      </w:r>
      <w:r w:rsidR="0001264D" w:rsidRPr="00484BF5">
        <w:rPr>
          <w:rFonts w:ascii="Times New Roman" w:hAnsi="Times New Roman" w:cs="Times New Roman"/>
          <w:b/>
          <w:bCs/>
          <w:color w:val="000000"/>
          <w:sz w:val="16"/>
          <w:szCs w:val="16"/>
          <w:lang w:val="de-DE"/>
        </w:rPr>
        <w:t>Vergleich</w:t>
      </w:r>
    </w:p>
    <w:p w14:paraId="0C3C48EA" w14:textId="2D110ADF" w:rsidR="0001264D" w:rsidRPr="00484BF5" w:rsidRDefault="0001264D" w:rsidP="00484BF5">
      <w:pPr>
        <w:widowControl w:val="0"/>
        <w:spacing w:after="16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P-Glied</w:t>
      </w:r>
    </w:p>
    <w:p w14:paraId="7FC5EC2E" w14:textId="77777777" w:rsidR="0001264D" w:rsidRPr="00484BF5" w:rsidRDefault="0001264D" w:rsidP="00484BF5">
      <w:pPr>
        <w:widowControl w:val="0"/>
        <w:spacing w:after="160"/>
        <w:ind w:firstLine="42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Bei Einheitssprung: Das System reagiert sofort auf die Änderung des Eingangssprungs und erreicht seinen stationären Endwert ganz ohne Verzögerung.</w:t>
      </w:r>
    </w:p>
    <w:p w14:paraId="6B3D1EAB" w14:textId="77777777" w:rsidR="0001264D" w:rsidRPr="00484BF5" w:rsidRDefault="0001264D" w:rsidP="00484BF5">
      <w:pPr>
        <w:widowControl w:val="0"/>
        <w:spacing w:after="16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Bei sinusförmigem Eingang: Es liefert ein verstärktes Ausgangssignal ohne jegliche Phasenverschiebung, da das Signal lediglich proportional verstärkt wird.</w:t>
      </w:r>
    </w:p>
    <w:p w14:paraId="660CE674" w14:textId="656D30E7" w:rsidR="0001264D" w:rsidRPr="00484BF5" w:rsidRDefault="0001264D" w:rsidP="00484BF5">
      <w:pPr>
        <w:widowControl w:val="0"/>
        <w:spacing w:after="16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I-Glied</w:t>
      </w:r>
    </w:p>
    <w:p w14:paraId="17F1E82E" w14:textId="77777777" w:rsidR="0001264D" w:rsidRPr="00484BF5" w:rsidRDefault="0001264D" w:rsidP="00484BF5">
      <w:pPr>
        <w:widowControl w:val="0"/>
        <w:spacing w:after="160"/>
        <w:ind w:firstLine="42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Bei Einheitssprung: Das System zeigt eine linear ansteigende Ausgangsgröße, da es das Eingangssignal über die Zeit integriert. Diese lineare Steigung ist das charakteristische Merkmal von Integrationssystemen.</w:t>
      </w:r>
    </w:p>
    <w:p w14:paraId="56E823E2" w14:textId="1BEB4DB6" w:rsidR="0001264D" w:rsidRPr="00484BF5" w:rsidRDefault="0001264D" w:rsidP="00484BF5">
      <w:pPr>
        <w:widowControl w:val="0"/>
        <w:spacing w:after="16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PT1-Glied</w:t>
      </w:r>
    </w:p>
    <w:p w14:paraId="22B58738" w14:textId="6B828990" w:rsidR="0001264D" w:rsidRPr="00484BF5" w:rsidRDefault="0001264D" w:rsidP="00484BF5">
      <w:pPr>
        <w:widowControl w:val="0"/>
        <w:spacing w:after="160"/>
        <w:ind w:firstLine="42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Bei Einheitssprung: Das System erreicht nach einer Einschwingzeit einen stationären Endwert. Es nähert sich diesem Endwert exponentiell an, wobei die Verzögerung von der Zeitkonstante </w:t>
      </w:r>
      <m:oMath>
        <m:r>
          <m:rPr>
            <m:sty m:val="p"/>
          </m:rPr>
          <w:rPr>
            <w:rFonts w:ascii="Cambria Math" w:hAnsi="Cambria Math" w:cs="Times New Roman"/>
            <w:color w:val="000000"/>
            <w:sz w:val="16"/>
            <w:szCs w:val="16"/>
            <w:lang w:val="de-DE"/>
          </w:rPr>
          <m:t>T</m:t>
        </m:r>
      </m:oMath>
      <w:r w:rsidRPr="00484BF5">
        <w:rPr>
          <w:rFonts w:ascii="Times New Roman" w:eastAsiaTheme="minorEastAsia" w:hAnsi="Times New Roman" w:cs="Times New Roman"/>
          <w:color w:val="000000"/>
          <w:kern w:val="2"/>
          <w:sz w:val="16"/>
          <w:szCs w:val="16"/>
          <w:lang w:val="de-DE"/>
          <w14:ligatures w14:val="standardContextual"/>
        </w:rPr>
        <w:t> abhängt.</w:t>
      </w:r>
    </w:p>
    <w:p w14:paraId="151D99AD" w14:textId="77777777" w:rsidR="0001264D" w:rsidRPr="00484BF5" w:rsidRDefault="0001264D" w:rsidP="00484BF5">
      <w:pPr>
        <w:widowControl w:val="0"/>
        <w:spacing w:after="16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lastRenderedPageBreak/>
        <w:t>Bei sinusförmigem Eingang: Es zeigt – im Gegensatz zum P-Glied – eine Phasenverschiebung sowie eine reduzierte Amplitude, was typisch für Systeme mit speicherndem Verhalten ist.</w:t>
      </w:r>
    </w:p>
    <w:p w14:paraId="48476C02" w14:textId="28FA0DAC" w:rsidR="0001264D" w:rsidRPr="00484BF5" w:rsidRDefault="0001264D" w:rsidP="00484BF5">
      <w:pPr>
        <w:widowControl w:val="0"/>
        <w:spacing w:after="16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PT2-Glied</w:t>
      </w:r>
    </w:p>
    <w:p w14:paraId="770753CD" w14:textId="77777777" w:rsidR="0001264D" w:rsidRPr="00484BF5" w:rsidRDefault="0001264D" w:rsidP="00484BF5">
      <w:pPr>
        <w:widowControl w:val="0"/>
        <w:spacing w:after="160"/>
        <w:ind w:firstLine="42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 xml:space="preserve">Bei Einheitssprung: Dieses Glied reagiert am </w:t>
      </w:r>
      <w:proofErr w:type="spellStart"/>
      <w:r w:rsidRPr="00484BF5">
        <w:rPr>
          <w:rFonts w:ascii="Times New Roman" w:eastAsiaTheme="minorEastAsia" w:hAnsi="Times New Roman" w:cs="Times New Roman"/>
          <w:color w:val="000000"/>
          <w:kern w:val="2"/>
          <w:sz w:val="16"/>
          <w:szCs w:val="16"/>
          <w:lang w:val="de-DE"/>
          <w14:ligatures w14:val="standardContextual"/>
        </w:rPr>
        <w:t>trägesten</w:t>
      </w:r>
      <w:proofErr w:type="spellEnd"/>
      <w:r w:rsidRPr="00484BF5">
        <w:rPr>
          <w:rFonts w:ascii="Times New Roman" w:eastAsiaTheme="minorEastAsia" w:hAnsi="Times New Roman" w:cs="Times New Roman"/>
          <w:color w:val="000000"/>
          <w:kern w:val="2"/>
          <w:sz w:val="16"/>
          <w:szCs w:val="16"/>
          <w:lang w:val="de-DE"/>
          <w14:ligatures w14:val="standardContextual"/>
        </w:rPr>
        <w:t>. Es nähert sich dem stationären Endwert nur langsam an und kann, abhängig von der vorhandenen Dämpfung, auch ein leichtes Überschwingen aufweisen.</w:t>
      </w:r>
    </w:p>
    <w:p w14:paraId="41658156" w14:textId="77777777" w:rsidR="0001264D" w:rsidRPr="00484BF5" w:rsidRDefault="0001264D" w:rsidP="00484BF5">
      <w:pPr>
        <w:widowControl w:val="0"/>
        <w:spacing w:after="160"/>
        <w:rPr>
          <w:rFonts w:ascii="Times New Roman" w:eastAsiaTheme="minorEastAsia" w:hAnsi="Times New Roman" w:cs="Times New Roman"/>
          <w:color w:val="000000"/>
          <w:kern w:val="2"/>
          <w:sz w:val="16"/>
          <w:szCs w:val="16"/>
          <w:lang w:val="de-DE"/>
          <w14:ligatures w14:val="standardContextual"/>
        </w:rPr>
      </w:pPr>
      <w:r w:rsidRPr="00484BF5">
        <w:rPr>
          <w:rFonts w:ascii="Times New Roman" w:eastAsiaTheme="minorEastAsia" w:hAnsi="Times New Roman" w:cs="Times New Roman"/>
          <w:color w:val="000000"/>
          <w:kern w:val="2"/>
          <w:sz w:val="16"/>
          <w:szCs w:val="16"/>
          <w:lang w:val="de-DE"/>
          <w14:ligatures w14:val="standardContextual"/>
        </w:rPr>
        <w:t>Bei sinusförmigem Eingang: Wie beim PT1-Glied treten Phasenverschiebungen und reduzierte Amplituden auf. Aufgrund der höheren Systemordnung ist die Verzögerung und Dämpfung hier jedoch noch stärker ausgeprägt als beim PT1-Glied.</w:t>
      </w:r>
    </w:p>
    <w:p w14:paraId="71ECB287" w14:textId="77777777" w:rsidR="00F070BF" w:rsidRPr="00484BF5" w:rsidRDefault="00F070BF" w:rsidP="00484BF5">
      <w:pPr>
        <w:rPr>
          <w:rFonts w:ascii="Times New Roman" w:hAnsi="Times New Roman" w:cs="Times New Roman"/>
          <w:color w:val="000000"/>
          <w:sz w:val="16"/>
          <w:szCs w:val="16"/>
          <w:lang w:val="de-DE"/>
        </w:rPr>
      </w:pPr>
    </w:p>
    <w:p w14:paraId="221FDFC9" w14:textId="7A0EAD26" w:rsidR="003704A9" w:rsidRPr="00484BF5" w:rsidRDefault="003704A9" w:rsidP="00484BF5">
      <w:pPr>
        <w:rPr>
          <w:rFonts w:ascii="Times New Roman" w:hAnsi="Times New Roman" w:cs="Times New Roman"/>
          <w:b/>
          <w:bCs/>
          <w:color w:val="000000"/>
          <w:sz w:val="16"/>
          <w:szCs w:val="16"/>
          <w:lang w:val="de-DE"/>
        </w:rPr>
      </w:pPr>
      <w:r w:rsidRPr="00484BF5">
        <w:rPr>
          <w:rFonts w:ascii="Times New Roman" w:hAnsi="Times New Roman" w:cs="Times New Roman"/>
          <w:b/>
          <w:bCs/>
          <w:color w:val="000000"/>
          <w:sz w:val="16"/>
          <w:szCs w:val="16"/>
          <w:lang w:val="de-DE"/>
        </w:rPr>
        <w:t xml:space="preserve">4.2 Zeichnung des </w:t>
      </w:r>
      <w:proofErr w:type="spellStart"/>
      <w:r w:rsidRPr="00484BF5">
        <w:rPr>
          <w:rFonts w:ascii="Times New Roman" w:hAnsi="Times New Roman" w:cs="Times New Roman"/>
          <w:b/>
          <w:bCs/>
          <w:color w:val="000000"/>
          <w:sz w:val="16"/>
          <w:szCs w:val="16"/>
          <w:lang w:val="de-DE"/>
        </w:rPr>
        <w:t>Spurungsantworten</w:t>
      </w:r>
      <w:proofErr w:type="spellEnd"/>
    </w:p>
    <w:p w14:paraId="797A8089" w14:textId="47ECDFAA" w:rsidR="003704A9" w:rsidRPr="00484BF5" w:rsidRDefault="003704A9" w:rsidP="00484BF5">
      <w:pPr>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4.2.</w:t>
      </w:r>
      <w:r w:rsidRPr="00484BF5">
        <w:rPr>
          <w:rFonts w:ascii="Times New Roman" w:hAnsi="Times New Roman" w:cs="Times New Roman"/>
          <w:color w:val="000000"/>
          <w:sz w:val="16"/>
          <w:szCs w:val="16"/>
          <w:lang w:val="de-DE"/>
        </w:rPr>
        <w:t>1</w:t>
      </w:r>
      <w:r w:rsidRPr="00484BF5">
        <w:rPr>
          <w:rFonts w:ascii="Times New Roman" w:hAnsi="Times New Roman" w:cs="Times New Roman"/>
          <w:color w:val="000000"/>
          <w:sz w:val="16"/>
          <w:szCs w:val="16"/>
          <w:lang w:val="de-DE"/>
        </w:rPr>
        <w:t>.</w:t>
      </w:r>
      <w:r w:rsidRPr="00484BF5">
        <w:rPr>
          <w:rFonts w:ascii="Times New Roman" w:hAnsi="Times New Roman" w:cs="Times New Roman"/>
          <w:color w:val="000000"/>
          <w:sz w:val="16"/>
          <w:szCs w:val="16"/>
          <w:lang w:val="de-DE"/>
        </w:rPr>
        <w:t xml:space="preserve"> Versuchsziel und Anforderungen</w:t>
      </w:r>
    </w:p>
    <w:p w14:paraId="6BA1F96F" w14:textId="7A231059" w:rsidR="003704A9" w:rsidRPr="00484BF5" w:rsidRDefault="003704A9" w:rsidP="00484BF5">
      <w:pPr>
        <w:ind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Das Hauptziel dieses Versuchsteils ist die Untersuchung des Verhaltens verschiedener PT2-Glieder (Verzögerungsglieder 2. Ordnung) auf ein Einheitssprungsignal. Mit Hilfe eines MATLAB-Skripts werden die entsprechenden Übertragungsfunktionen definiert und die Sprungantworten simuliert. Dabei sollen die Eigenfrequenz (</w:t>
      </w:r>
      <m:oMath>
        <m:r>
          <m:rPr>
            <m:sty m:val="p"/>
          </m:rPr>
          <w:rPr>
            <w:rFonts w:ascii="Cambria Math" w:eastAsiaTheme="minorEastAsia" w:hAnsi="Cambria Math" w:cs="Times New Roman"/>
            <w:color w:val="000000"/>
            <w:sz w:val="16"/>
            <w:szCs w:val="16"/>
            <w:lang w:val="de-DE"/>
          </w:rPr>
          <m:t>ω</m:t>
        </m:r>
      </m:oMath>
      <w:r w:rsidRPr="00484BF5">
        <w:rPr>
          <w:rFonts w:ascii="Times New Roman" w:hAnsi="Times New Roman" w:cs="Times New Roman"/>
          <w:color w:val="000000"/>
          <w:sz w:val="16"/>
          <w:szCs w:val="16"/>
          <w:lang w:val="de-DE"/>
        </w:rPr>
        <w:t>) und der Dämpfungsfaktor (</w:t>
      </w:r>
      <m:oMath>
        <m:r>
          <m:rPr>
            <m:sty m:val="p"/>
          </m:rPr>
          <w:rPr>
            <w:rFonts w:ascii="Cambria Math" w:eastAsiaTheme="minorEastAsia" w:hAnsi="Cambria Math" w:cs="Times New Roman"/>
            <w:color w:val="000000"/>
            <w:sz w:val="16"/>
            <w:szCs w:val="16"/>
            <w:lang w:val="de-DE"/>
          </w:rPr>
          <m:t>D</m:t>
        </m:r>
      </m:oMath>
      <w:r w:rsidRPr="00484BF5">
        <w:rPr>
          <w:rFonts w:ascii="Times New Roman" w:hAnsi="Times New Roman" w:cs="Times New Roman"/>
          <w:color w:val="000000"/>
          <w:sz w:val="16"/>
          <w:szCs w:val="16"/>
          <w:lang w:val="de-DE"/>
        </w:rPr>
        <w:t>) bestimmt und deren Einfluss auf das dynamische Verhalten (Reaktionsgeschwindigkeit, Überschwingen, Einschwingzeit) analysiert werden.</w:t>
      </w:r>
    </w:p>
    <w:p w14:paraId="3FEB064B" w14:textId="55C28E26" w:rsidR="003704A9" w:rsidRPr="00484BF5" w:rsidRDefault="00484BF5" w:rsidP="00484BF5">
      <w:pPr>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4.2.</w:t>
      </w:r>
      <w:r w:rsidR="003704A9" w:rsidRPr="00484BF5">
        <w:rPr>
          <w:rFonts w:ascii="Times New Roman" w:hAnsi="Times New Roman" w:cs="Times New Roman"/>
          <w:color w:val="000000"/>
          <w:sz w:val="16"/>
          <w:szCs w:val="16"/>
          <w:lang w:val="de-DE"/>
        </w:rPr>
        <w:t>2. Vergleich der Ergebnisse (Einfluss der Parameter)</w:t>
      </w:r>
    </w:p>
    <w:p w14:paraId="365D4589" w14:textId="46746162" w:rsidR="003704A9" w:rsidRPr="00484BF5" w:rsidRDefault="003704A9" w:rsidP="00484BF5">
      <w:pPr>
        <w:ind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Einfluss des Dämpfungsfaktors</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D</m:t>
        </m:r>
      </m:oMath>
      <w:r w:rsidRPr="00484BF5">
        <w:rPr>
          <w:rFonts w:ascii="Times New Roman" w:hAnsi="Times New Roman" w:cs="Times New Roman"/>
          <w:sz w:val="16"/>
          <w:szCs w:val="16"/>
          <w:lang w:val="de-DE"/>
        </w:rPr>
        <w:t> </w:t>
      </w:r>
      <w:r w:rsidRPr="00484BF5">
        <w:rPr>
          <w:rFonts w:ascii="Times New Roman" w:hAnsi="Times New Roman" w:cs="Times New Roman"/>
          <w:color w:val="000000"/>
          <w:sz w:val="16"/>
          <w:szCs w:val="16"/>
          <w:lang w:val="de-DE"/>
        </w:rPr>
        <w:t>(bei konstanter Eigenfrequenz</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ω</m:t>
        </m:r>
      </m:oMath>
      <w:r w:rsidRPr="00484BF5">
        <w:rPr>
          <w:rFonts w:ascii="Times New Roman" w:hAnsi="Times New Roman" w:cs="Times New Roman"/>
          <w:color w:val="000000"/>
          <w:sz w:val="16"/>
          <w:szCs w:val="16"/>
          <w:lang w:val="de-DE"/>
        </w:rPr>
        <w:t>):</w:t>
      </w:r>
    </w:p>
    <w:p w14:paraId="33416DE4" w14:textId="467EF1D1" w:rsidR="003704A9" w:rsidRPr="00484BF5" w:rsidRDefault="00484BF5" w:rsidP="00484BF5">
      <w:pPr>
        <w:rPr>
          <w:rFonts w:ascii="Times New Roman" w:hAnsi="Times New Roman" w:cs="Times New Roman"/>
          <w:color w:val="000000"/>
          <w:sz w:val="16"/>
          <w:szCs w:val="16"/>
          <w:lang w:val="de-DE"/>
        </w:rPr>
      </w:pPr>
      <m:oMath>
        <m:r>
          <m:rPr>
            <m:sty m:val="p"/>
          </m:rPr>
          <w:rPr>
            <w:rFonts w:ascii="Cambria Math" w:eastAsiaTheme="minorEastAsia" w:hAnsi="Cambria Math" w:cs="Times New Roman"/>
            <w:color w:val="000000"/>
            <w:sz w:val="16"/>
            <w:szCs w:val="16"/>
            <w:lang w:val="de-DE"/>
          </w:rPr>
          <m:t>D=0</m:t>
        </m:r>
      </m:oMath>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(ungedämpft):</w:t>
      </w:r>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Das System zeigt eine Dauerschwingung mit konstanter Amplitude und kommt nie zur Ruhe.</w:t>
      </w:r>
    </w:p>
    <w:p w14:paraId="7021847D" w14:textId="3924E1AA" w:rsidR="003704A9" w:rsidRPr="00484BF5" w:rsidRDefault="00484BF5" w:rsidP="00484BF5">
      <w:pPr>
        <w:rPr>
          <w:rFonts w:ascii="Times New Roman" w:hAnsi="Times New Roman" w:cs="Times New Roman"/>
          <w:color w:val="000000"/>
          <w:sz w:val="16"/>
          <w:szCs w:val="16"/>
          <w:lang w:val="de-DE"/>
        </w:rPr>
      </w:pPr>
      <m:oMath>
        <m:r>
          <m:rPr>
            <m:sty m:val="p"/>
          </m:rPr>
          <w:rPr>
            <w:rFonts w:ascii="Cambria Math" w:eastAsiaTheme="minorEastAsia" w:hAnsi="Cambria Math" w:cs="Times New Roman"/>
            <w:color w:val="000000"/>
            <w:sz w:val="16"/>
            <w:szCs w:val="16"/>
            <w:lang w:val="de-DE"/>
          </w:rPr>
          <m:t>0&lt;D&lt;1</m:t>
        </m:r>
      </m:oMath>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(schwach gedämpft / unterdämpft):</w:t>
      </w:r>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Das System schwingt über, aber die Amplitude nimmt im Laufe der Zeit ab, bis der stationäre Endwert erreicht ist.</w:t>
      </w:r>
    </w:p>
    <w:p w14:paraId="50E4A63F" w14:textId="5FCA6521" w:rsidR="003704A9" w:rsidRPr="00484BF5" w:rsidRDefault="00484BF5" w:rsidP="00484BF5">
      <w:pPr>
        <w:rPr>
          <w:rFonts w:ascii="Times New Roman" w:hAnsi="Times New Roman" w:cs="Times New Roman"/>
          <w:color w:val="000000"/>
          <w:sz w:val="16"/>
          <w:szCs w:val="16"/>
          <w:lang w:val="de-DE"/>
        </w:rPr>
      </w:pPr>
      <m:oMath>
        <m:r>
          <m:rPr>
            <m:sty m:val="p"/>
          </m:rPr>
          <w:rPr>
            <w:rFonts w:ascii="Cambria Math" w:eastAsiaTheme="minorEastAsia" w:hAnsi="Cambria Math" w:cs="Times New Roman"/>
            <w:color w:val="000000"/>
            <w:sz w:val="16"/>
            <w:szCs w:val="16"/>
            <w:lang w:val="de-DE"/>
          </w:rPr>
          <m:t>D=1</m:t>
        </m:r>
      </m:oMath>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(aperiodischer Grenzfall):</w:t>
      </w:r>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 xml:space="preserve">Das System erreicht den stationären Endwert so schnell wie möglich, ohne dabei zu schwingen oder </w:t>
      </w:r>
      <w:proofErr w:type="spellStart"/>
      <w:r w:rsidR="003704A9" w:rsidRPr="00484BF5">
        <w:rPr>
          <w:rFonts w:ascii="Times New Roman" w:hAnsi="Times New Roman" w:cs="Times New Roman"/>
          <w:color w:val="000000"/>
          <w:sz w:val="16"/>
          <w:szCs w:val="16"/>
          <w:lang w:val="de-DE"/>
        </w:rPr>
        <w:t>überzuschwingen</w:t>
      </w:r>
      <w:proofErr w:type="spellEnd"/>
      <w:r w:rsidR="003704A9" w:rsidRPr="00484BF5">
        <w:rPr>
          <w:rFonts w:ascii="Times New Roman" w:hAnsi="Times New Roman" w:cs="Times New Roman"/>
          <w:color w:val="000000"/>
          <w:sz w:val="16"/>
          <w:szCs w:val="16"/>
          <w:lang w:val="de-DE"/>
        </w:rPr>
        <w:t>.</w:t>
      </w:r>
    </w:p>
    <w:p w14:paraId="6ECA9BDF" w14:textId="1B532C85" w:rsidR="003704A9" w:rsidRPr="00484BF5" w:rsidRDefault="00484BF5" w:rsidP="00484BF5">
      <w:pPr>
        <w:rPr>
          <w:rFonts w:ascii="Times New Roman" w:hAnsi="Times New Roman" w:cs="Times New Roman"/>
          <w:color w:val="000000"/>
          <w:sz w:val="16"/>
          <w:szCs w:val="16"/>
          <w:lang w:val="de-DE"/>
        </w:rPr>
      </w:pPr>
      <m:oMath>
        <m:r>
          <m:rPr>
            <m:sty m:val="p"/>
          </m:rPr>
          <w:rPr>
            <w:rFonts w:ascii="Cambria Math" w:eastAsiaTheme="minorEastAsia" w:hAnsi="Cambria Math" w:cs="Times New Roman"/>
            <w:color w:val="000000"/>
            <w:sz w:val="16"/>
            <w:szCs w:val="16"/>
            <w:lang w:val="de-DE"/>
          </w:rPr>
          <m:t>D&gt;1</m:t>
        </m:r>
      </m:oMath>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(stark gedämpft / überdämpft):</w:t>
      </w:r>
      <w:r w:rsidR="003704A9" w:rsidRPr="00484BF5">
        <w:rPr>
          <w:rFonts w:ascii="Times New Roman" w:hAnsi="Times New Roman" w:cs="Times New Roman"/>
          <w:sz w:val="16"/>
          <w:szCs w:val="16"/>
          <w:lang w:val="de-DE"/>
        </w:rPr>
        <w:t> </w:t>
      </w:r>
      <w:r w:rsidR="003704A9" w:rsidRPr="00484BF5">
        <w:rPr>
          <w:rFonts w:ascii="Times New Roman" w:hAnsi="Times New Roman" w:cs="Times New Roman"/>
          <w:color w:val="000000"/>
          <w:sz w:val="16"/>
          <w:szCs w:val="16"/>
          <w:lang w:val="de-DE"/>
        </w:rPr>
        <w:t>Es treten keine Schwingungen auf, jedoch reagiert das System sehr träge und benötigt deutlich mehr Zeit, um den stationären Endwert zu erreichen.</w:t>
      </w:r>
    </w:p>
    <w:p w14:paraId="6DCAA3CF" w14:textId="54A29E18" w:rsidR="003704A9" w:rsidRPr="00484BF5" w:rsidRDefault="003704A9" w:rsidP="00484BF5">
      <w:pPr>
        <w:ind w:firstLine="420"/>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Einfluss der Eigenfrequenz</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ω</m:t>
        </m:r>
      </m:oMath>
      <w:r w:rsidRPr="00484BF5">
        <w:rPr>
          <w:rFonts w:ascii="Times New Roman" w:hAnsi="Times New Roman" w:cs="Times New Roman"/>
          <w:sz w:val="16"/>
          <w:szCs w:val="16"/>
          <w:lang w:val="de-DE"/>
        </w:rPr>
        <w:t> </w:t>
      </w:r>
      <w:r w:rsidRPr="00484BF5">
        <w:rPr>
          <w:rFonts w:ascii="Times New Roman" w:hAnsi="Times New Roman" w:cs="Times New Roman"/>
          <w:color w:val="000000"/>
          <w:sz w:val="16"/>
          <w:szCs w:val="16"/>
          <w:lang w:val="de-DE"/>
        </w:rPr>
        <w:t>(bei konstantem Dämpfungsfaktor</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D</m:t>
        </m:r>
      </m:oMath>
      <w:r w:rsidRPr="00484BF5">
        <w:rPr>
          <w:rFonts w:ascii="Times New Roman" w:hAnsi="Times New Roman" w:cs="Times New Roman"/>
          <w:color w:val="000000"/>
          <w:sz w:val="16"/>
          <w:szCs w:val="16"/>
          <w:lang w:val="de-DE"/>
        </w:rPr>
        <w:t>):</w:t>
      </w:r>
    </w:p>
    <w:p w14:paraId="11FB2853" w14:textId="48BCF0B2" w:rsidR="003704A9" w:rsidRPr="00484BF5" w:rsidRDefault="003704A9" w:rsidP="00484BF5">
      <w:pPr>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Erhöhung von</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ω</m:t>
        </m:r>
      </m:oMath>
      <w:r w:rsidRPr="00484BF5">
        <w:rPr>
          <w:rFonts w:ascii="Times New Roman" w:hAnsi="Times New Roman" w:cs="Times New Roman"/>
          <w:color w:val="000000"/>
          <w:sz w:val="16"/>
          <w:szCs w:val="16"/>
          <w:lang w:val="de-DE"/>
        </w:rPr>
        <w:t>:</w:t>
      </w:r>
      <w:r w:rsidRPr="00484BF5">
        <w:rPr>
          <w:rFonts w:ascii="Times New Roman" w:hAnsi="Times New Roman" w:cs="Times New Roman"/>
          <w:sz w:val="16"/>
          <w:szCs w:val="16"/>
          <w:lang w:val="de-DE"/>
        </w:rPr>
        <w:t> </w:t>
      </w:r>
      <w:r w:rsidRPr="00484BF5">
        <w:rPr>
          <w:rFonts w:ascii="Times New Roman" w:hAnsi="Times New Roman" w:cs="Times New Roman"/>
          <w:color w:val="000000"/>
          <w:sz w:val="16"/>
          <w:szCs w:val="16"/>
          <w:lang w:val="de-DE"/>
        </w:rPr>
        <w:t>Unabhängig vom Dämpfungsfaktor reagiert das System deutlich schneller und erreicht den Gleichgewichtszustand in kürzerer Zeit.</w:t>
      </w:r>
    </w:p>
    <w:p w14:paraId="6B46AFD2" w14:textId="7DEE5B4B" w:rsidR="003704A9" w:rsidRPr="00484BF5" w:rsidRDefault="003704A9" w:rsidP="00484BF5">
      <w:pPr>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Verringerung von</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ω</m:t>
        </m:r>
      </m:oMath>
      <w:r w:rsidRPr="00484BF5">
        <w:rPr>
          <w:rFonts w:ascii="Times New Roman" w:hAnsi="Times New Roman" w:cs="Times New Roman"/>
          <w:color w:val="000000"/>
          <w:sz w:val="16"/>
          <w:szCs w:val="16"/>
          <w:lang w:val="de-DE"/>
        </w:rPr>
        <w:t>:</w:t>
      </w:r>
      <w:r w:rsidRPr="00484BF5">
        <w:rPr>
          <w:rFonts w:ascii="Times New Roman" w:hAnsi="Times New Roman" w:cs="Times New Roman"/>
          <w:sz w:val="16"/>
          <w:szCs w:val="16"/>
          <w:lang w:val="de-DE"/>
        </w:rPr>
        <w:t> </w:t>
      </w:r>
      <w:r w:rsidRPr="00484BF5">
        <w:rPr>
          <w:rFonts w:ascii="Times New Roman" w:hAnsi="Times New Roman" w:cs="Times New Roman"/>
          <w:color w:val="000000"/>
          <w:sz w:val="16"/>
          <w:szCs w:val="16"/>
          <w:lang w:val="de-DE"/>
        </w:rPr>
        <w:t xml:space="preserve">Das System reagiert langsamer, ist </w:t>
      </w:r>
      <w:proofErr w:type="spellStart"/>
      <w:r w:rsidRPr="00484BF5">
        <w:rPr>
          <w:rFonts w:ascii="Times New Roman" w:hAnsi="Times New Roman" w:cs="Times New Roman"/>
          <w:color w:val="000000"/>
          <w:sz w:val="16"/>
          <w:szCs w:val="16"/>
          <w:lang w:val="de-DE"/>
        </w:rPr>
        <w:t>träger</w:t>
      </w:r>
      <w:proofErr w:type="spellEnd"/>
      <w:r w:rsidRPr="00484BF5">
        <w:rPr>
          <w:rFonts w:ascii="Times New Roman" w:hAnsi="Times New Roman" w:cs="Times New Roman"/>
          <w:color w:val="000000"/>
          <w:sz w:val="16"/>
          <w:szCs w:val="16"/>
          <w:lang w:val="de-DE"/>
        </w:rPr>
        <w:t xml:space="preserve"> und (falls vorhanden) nimmt die Schwingungsfrequenz ab.</w:t>
      </w:r>
    </w:p>
    <w:p w14:paraId="11D409EC" w14:textId="551CAB85" w:rsidR="003704A9" w:rsidRPr="00484BF5" w:rsidRDefault="003704A9" w:rsidP="00484BF5">
      <w:pPr>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4.2.</w:t>
      </w:r>
      <w:r w:rsidRPr="00484BF5">
        <w:rPr>
          <w:rFonts w:ascii="Times New Roman" w:hAnsi="Times New Roman" w:cs="Times New Roman"/>
          <w:color w:val="000000"/>
          <w:sz w:val="16"/>
          <w:szCs w:val="16"/>
          <w:lang w:val="de-DE"/>
        </w:rPr>
        <w:t>3. Fazit</w:t>
      </w:r>
    </w:p>
    <w:p w14:paraId="0E8D552A" w14:textId="4AD93625" w:rsidR="003704A9" w:rsidRPr="00484BF5" w:rsidRDefault="003704A9" w:rsidP="00484BF5">
      <w:pPr>
        <w:rPr>
          <w:rFonts w:ascii="Times New Roman" w:hAnsi="Times New Roman" w:cs="Times New Roman"/>
          <w:color w:val="000000"/>
          <w:sz w:val="16"/>
          <w:szCs w:val="16"/>
          <w:lang w:val="de-DE"/>
        </w:rPr>
      </w:pPr>
      <w:r w:rsidRPr="00484BF5">
        <w:rPr>
          <w:rFonts w:ascii="Times New Roman" w:hAnsi="Times New Roman" w:cs="Times New Roman"/>
          <w:color w:val="000000"/>
          <w:sz w:val="16"/>
          <w:szCs w:val="16"/>
          <w:lang w:val="de-DE"/>
        </w:rPr>
        <w:t>Zusammenfassend lässt sich sagen, dass sich das Einschwingverhalten eines PT2-Systems maßgeblich durch die Parameter</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ω</m:t>
        </m:r>
      </m:oMath>
      <w:r w:rsidRPr="00484BF5">
        <w:rPr>
          <w:rFonts w:ascii="Times New Roman" w:hAnsi="Times New Roman" w:cs="Times New Roman"/>
          <w:sz w:val="16"/>
          <w:szCs w:val="16"/>
          <w:lang w:val="de-DE"/>
        </w:rPr>
        <w:t> </w:t>
      </w:r>
      <w:r w:rsidRPr="00484BF5">
        <w:rPr>
          <w:rFonts w:ascii="Times New Roman" w:hAnsi="Times New Roman" w:cs="Times New Roman"/>
          <w:color w:val="000000"/>
          <w:sz w:val="16"/>
          <w:szCs w:val="16"/>
          <w:lang w:val="de-DE"/>
        </w:rPr>
        <w:t>und</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D</m:t>
        </m:r>
      </m:oMath>
      <w:r w:rsidRPr="00484BF5">
        <w:rPr>
          <w:rFonts w:ascii="Times New Roman" w:hAnsi="Times New Roman" w:cs="Times New Roman"/>
          <w:sz w:val="16"/>
          <w:szCs w:val="16"/>
          <w:lang w:val="de-DE"/>
        </w:rPr>
        <w:t> </w:t>
      </w:r>
      <w:r w:rsidRPr="00484BF5">
        <w:rPr>
          <w:rFonts w:ascii="Times New Roman" w:hAnsi="Times New Roman" w:cs="Times New Roman"/>
          <w:color w:val="000000"/>
          <w:sz w:val="16"/>
          <w:szCs w:val="16"/>
          <w:lang w:val="de-DE"/>
        </w:rPr>
        <w:t>charakterisieren lässt. Die Eigenfrequenz</w:t>
      </w:r>
      <w:r w:rsidRPr="00484BF5">
        <w:rPr>
          <w:rFonts w:ascii="Times New Roman" w:hAnsi="Times New Roman" w:cs="Times New Roman"/>
          <w:sz w:val="16"/>
          <w:szCs w:val="16"/>
          <w:lang w:val="de-DE"/>
        </w:rPr>
        <w:t> </w:t>
      </w:r>
      <m:oMath>
        <m:r>
          <m:rPr>
            <m:sty m:val="p"/>
          </m:rPr>
          <w:rPr>
            <w:rFonts w:ascii="Cambria Math" w:eastAsiaTheme="minorEastAsia" w:hAnsi="Cambria Math" w:cs="Times New Roman"/>
            <w:color w:val="000000"/>
            <w:sz w:val="16"/>
            <w:szCs w:val="16"/>
            <w:lang w:val="de-DE"/>
          </w:rPr>
          <m:t>ω</m:t>
        </m:r>
      </m:oMath>
      <w:r w:rsidRPr="00484BF5">
        <w:rPr>
          <w:rFonts w:ascii="Times New Roman" w:hAnsi="Times New Roman" w:cs="Times New Roman"/>
          <w:sz w:val="16"/>
          <w:szCs w:val="16"/>
          <w:lang w:val="de-DE"/>
        </w:rPr>
        <w:t> </w:t>
      </w:r>
      <w:r w:rsidRPr="00484BF5">
        <w:rPr>
          <w:rFonts w:ascii="Times New Roman" w:hAnsi="Times New Roman" w:cs="Times New Roman"/>
          <w:color w:val="000000"/>
          <w:sz w:val="16"/>
          <w:szCs w:val="16"/>
          <w:lang w:val="de-DE"/>
        </w:rPr>
        <w:t>bestimmt in erster Linie die Reaktionsgeschwindigkeit, während der Dämpfungsfaktor </w:t>
      </w:r>
      <m:oMath>
        <m:r>
          <m:rPr>
            <m:sty m:val="p"/>
          </m:rPr>
          <w:rPr>
            <w:rFonts w:ascii="Cambria Math" w:eastAsiaTheme="minorEastAsia" w:hAnsi="Cambria Math" w:cs="Times New Roman"/>
            <w:color w:val="000000"/>
            <w:sz w:val="16"/>
            <w:szCs w:val="16"/>
            <w:lang w:val="de-DE"/>
          </w:rPr>
          <m:t>D</m:t>
        </m:r>
      </m:oMath>
      <w:r w:rsidRPr="00484BF5">
        <w:rPr>
          <w:rFonts w:ascii="Times New Roman" w:hAnsi="Times New Roman" w:cs="Times New Roman"/>
          <w:color w:val="000000"/>
          <w:sz w:val="16"/>
          <w:szCs w:val="16"/>
          <w:lang w:val="de-DE"/>
        </w:rPr>
        <w:t> für die Stabilität und die Neigung zu Schwingungen bzw. Überschwingern verantwortlich ist.</w:t>
      </w:r>
    </w:p>
    <w:p w14:paraId="0620886C" w14:textId="77777777" w:rsidR="003704A9" w:rsidRPr="00484BF5" w:rsidRDefault="003704A9" w:rsidP="00484BF5">
      <w:pPr>
        <w:rPr>
          <w:rFonts w:ascii="Times New Roman" w:hAnsi="Times New Roman" w:cs="Times New Roman"/>
          <w:color w:val="000000"/>
          <w:sz w:val="16"/>
          <w:szCs w:val="16"/>
          <w:lang w:val="de-DE"/>
        </w:rPr>
      </w:pPr>
    </w:p>
    <w:p w14:paraId="49ED8AF1" w14:textId="6C43F7F6" w:rsidR="00484BF5" w:rsidRPr="00484BF5" w:rsidRDefault="00484BF5" w:rsidP="00484BF5">
      <w:pPr>
        <w:rPr>
          <w:rFonts w:ascii="Times New Roman" w:hAnsi="Times New Roman" w:cs="Times New Roman"/>
          <w:b/>
          <w:bCs/>
          <w:color w:val="000000"/>
          <w:sz w:val="16"/>
          <w:szCs w:val="16"/>
          <w:lang w:val="de-DE"/>
        </w:rPr>
      </w:pPr>
      <w:r w:rsidRPr="00484BF5">
        <w:rPr>
          <w:rFonts w:ascii="Times New Roman" w:hAnsi="Times New Roman" w:cs="Times New Roman"/>
          <w:b/>
          <w:bCs/>
          <w:color w:val="000000"/>
          <w:sz w:val="16"/>
          <w:szCs w:val="16"/>
          <w:lang w:val="de-DE"/>
        </w:rPr>
        <w:t>4.3 Bode-Diagramms</w:t>
      </w:r>
    </w:p>
    <w:p w14:paraId="5ACBAA87" w14:textId="50ECEAD8" w:rsidR="00484BF5" w:rsidRPr="00484BF5" w:rsidRDefault="00484BF5" w:rsidP="00484BF5">
      <w:pPr>
        <w:ind w:firstLine="420"/>
        <w:rPr>
          <w:rFonts w:ascii="Times New Roman" w:hAnsi="Times New Roman" w:cs="Times New Roman"/>
          <w:color w:val="000000"/>
          <w:sz w:val="16"/>
          <w:szCs w:val="16"/>
          <w:lang w:val="de-DE"/>
        </w:rPr>
      </w:pPr>
      <w:r w:rsidRPr="00484BF5">
        <w:rPr>
          <w:rFonts w:ascii="Times New Roman" w:hAnsi="Times New Roman" w:cs="Times New Roman"/>
          <w:sz w:val="16"/>
          <w:szCs w:val="16"/>
          <w:lang w:val="de-DE"/>
        </w:rPr>
        <w:t>Das Bode-Diagramm zeigt den typischen Verlauf für das System: Unterhalb der Resonanzfrequenz steigt die Amplitudenverstärkung zunächst allmählich an und fällt nach Erreichen der Resonanzfrequenz wieder ab</w:t>
      </w:r>
      <w:r w:rsidRPr="00484BF5">
        <w:rPr>
          <w:rFonts w:ascii="Times New Roman" w:hAnsi="Times New Roman" w:cs="Times New Roman"/>
          <w:color w:val="000000"/>
          <w:sz w:val="16"/>
          <w:szCs w:val="16"/>
          <w:lang w:val="de-DE"/>
        </w:rPr>
        <w:t>.</w:t>
      </w:r>
      <w:r w:rsidRPr="00484BF5">
        <w:rPr>
          <w:rFonts w:ascii="Times New Roman" w:hAnsi="Times New Roman" w:cs="Times New Roman"/>
          <w:sz w:val="16"/>
          <w:szCs w:val="16"/>
          <w:lang w:val="de-DE"/>
        </w:rPr>
        <w:t> Der Phasengang beginnt bei 0° und nimmt mit steigender Frequenz langsam ab</w:t>
      </w:r>
      <w:r w:rsidRPr="00484BF5">
        <w:rPr>
          <w:rFonts w:ascii="Times New Roman" w:hAnsi="Times New Roman" w:cs="Times New Roman"/>
          <w:color w:val="000000"/>
          <w:sz w:val="16"/>
          <w:szCs w:val="16"/>
          <w:lang w:val="de-DE"/>
        </w:rPr>
        <w:t>.</w:t>
      </w:r>
      <w:r w:rsidRPr="00484BF5">
        <w:rPr>
          <w:rFonts w:ascii="Times New Roman" w:hAnsi="Times New Roman" w:cs="Times New Roman"/>
          <w:sz w:val="16"/>
          <w:szCs w:val="16"/>
          <w:lang w:val="de-DE"/>
        </w:rPr>
        <w:t> Bei Erreichen der Eigenfrequenz (</w:t>
      </w:r>
      <m:oMath>
        <m:sSub>
          <m:sSubPr>
            <m:ctrlPr>
              <w:rPr>
                <w:rFonts w:ascii="Cambria Math" w:eastAsiaTheme="minorEastAsia" w:hAnsi="Cambria Math" w:cs="Times New Roman"/>
                <w:color w:val="000000"/>
                <w:sz w:val="16"/>
                <w:szCs w:val="16"/>
                <w:lang w:val="de-DE"/>
              </w:rPr>
            </m:ctrlPr>
          </m:sSubPr>
          <m:e>
            <m:r>
              <m:rPr>
                <m:sty m:val="p"/>
              </m:rPr>
              <w:rPr>
                <w:rFonts w:ascii="Cambria Math" w:eastAsiaTheme="minorEastAsia" w:hAnsi="Cambria Math" w:cs="Times New Roman"/>
                <w:color w:val="000000"/>
                <w:sz w:val="16"/>
                <w:szCs w:val="16"/>
                <w:lang w:val="de-DE"/>
              </w:rPr>
              <m:t>ω</m:t>
            </m:r>
          </m:e>
          <m:sub>
            <m:r>
              <m:rPr>
                <m:sty m:val="p"/>
              </m:rPr>
              <w:rPr>
                <w:rFonts w:ascii="Cambria Math" w:eastAsiaTheme="minorEastAsia" w:hAnsi="Cambria Math" w:cs="Times New Roman"/>
                <w:color w:val="000000"/>
                <w:sz w:val="16"/>
                <w:szCs w:val="16"/>
                <w:lang w:val="de-DE"/>
              </w:rPr>
              <m:t>n</m:t>
            </m:r>
          </m:sub>
        </m:sSub>
      </m:oMath>
      <w:r w:rsidRPr="00484BF5">
        <w:rPr>
          <w:rFonts w:ascii="Times New Roman" w:hAnsi="Times New Roman" w:cs="Times New Roman"/>
          <w:sz w:val="16"/>
          <w:szCs w:val="16"/>
          <w:lang w:val="de-DE"/>
        </w:rPr>
        <w:t>) liegt die Phase bei etwa -90</w:t>
      </w:r>
      <w:proofErr w:type="gramStart"/>
      <w:r w:rsidRPr="00484BF5">
        <w:rPr>
          <w:rFonts w:ascii="Times New Roman" w:hAnsi="Times New Roman" w:cs="Times New Roman"/>
          <w:sz w:val="16"/>
          <w:szCs w:val="16"/>
          <w:lang w:val="de-DE"/>
        </w:rPr>
        <w:t>° ,</w:t>
      </w:r>
      <w:proofErr w:type="gramEnd"/>
      <w:r w:rsidRPr="00484BF5">
        <w:rPr>
          <w:rFonts w:ascii="Times New Roman" w:hAnsi="Times New Roman" w:cs="Times New Roman"/>
          <w:sz w:val="16"/>
          <w:szCs w:val="16"/>
          <w:lang w:val="de-DE"/>
        </w:rPr>
        <w:t xml:space="preserve"> und bei sehr hohen Frequenzen nähert sie sich schließlich dem Wert von -180° an</w:t>
      </w:r>
      <w:r w:rsidRPr="00484BF5">
        <w:rPr>
          <w:rFonts w:ascii="Times New Roman" w:hAnsi="Times New Roman" w:cs="Times New Roman"/>
          <w:color w:val="000000"/>
          <w:sz w:val="16"/>
          <w:szCs w:val="16"/>
          <w:lang w:val="de-DE"/>
        </w:rPr>
        <w:t>.</w:t>
      </w:r>
    </w:p>
    <w:p w14:paraId="797B894C" w14:textId="2D4338B3" w:rsidR="00484BF5" w:rsidRPr="00484BF5" w:rsidRDefault="00484BF5" w:rsidP="00484BF5">
      <w:pPr>
        <w:rPr>
          <w:rFonts w:ascii="Times New Roman" w:hAnsi="Times New Roman" w:cs="Times New Roman"/>
          <w:sz w:val="16"/>
          <w:szCs w:val="16"/>
          <w:lang w:val="de-DE"/>
        </w:rPr>
      </w:pPr>
      <w:r w:rsidRPr="00484BF5">
        <w:rPr>
          <w:rFonts w:ascii="Times New Roman" w:hAnsi="Times New Roman" w:cs="Times New Roman"/>
          <w:color w:val="000000"/>
          <w:sz w:val="16"/>
          <w:szCs w:val="16"/>
          <w:lang w:val="de-DE"/>
        </w:rPr>
        <w:t>4</w:t>
      </w:r>
      <w:r w:rsidRPr="00484BF5">
        <w:rPr>
          <w:rFonts w:ascii="Times New Roman" w:hAnsi="Times New Roman" w:cs="Times New Roman"/>
          <w:sz w:val="16"/>
          <w:szCs w:val="16"/>
          <w:lang w:val="de-DE"/>
        </w:rPr>
        <w:t>.3.1 Eigenschaften der Versuchsobjekte</w:t>
      </w:r>
    </w:p>
    <w:p w14:paraId="1E1B9E2C" w14:textId="4EEC9813" w:rsidR="00484BF5" w:rsidRPr="00484BF5" w:rsidRDefault="00484BF5" w:rsidP="00484BF5">
      <w:pPr>
        <w:ind w:firstLine="420"/>
        <w:rPr>
          <w:rFonts w:ascii="Times New Roman" w:hAnsi="Times New Roman" w:cs="Times New Roman"/>
          <w:sz w:val="16"/>
          <w:szCs w:val="16"/>
          <w:lang w:val="de-DE"/>
        </w:rPr>
      </w:pPr>
      <w:r w:rsidRPr="00484BF5">
        <w:rPr>
          <w:rFonts w:ascii="Times New Roman" w:hAnsi="Times New Roman" w:cs="Times New Roman"/>
          <w:sz w:val="16"/>
          <w:szCs w:val="16"/>
          <w:lang w:val="de-DE"/>
        </w:rPr>
        <w:t>Die Versuchsobjekte sind verschiedene PT2-Übertragungsglieder, deren Frequenzverhalten durch das Zeichnen von Bode-Diagrammen (Amplituden- und Phasenantwort) simuliert und dargestellt wird. Die Objekte werden in zwei Gruppen unterteilt, um das Verhalten der Kurven bei Variation der Dämpfung einerseits und der Eigenfrequenz andererseits systematisch zu analysieren.</w:t>
      </w:r>
    </w:p>
    <w:p w14:paraId="387A60A1" w14:textId="26A6148D" w:rsidR="00484BF5" w:rsidRPr="00484BF5" w:rsidRDefault="00484BF5" w:rsidP="00484BF5">
      <w:pPr>
        <w:rPr>
          <w:rFonts w:ascii="Times New Roman" w:hAnsi="Times New Roman" w:cs="Times New Roman"/>
          <w:sz w:val="16"/>
          <w:szCs w:val="16"/>
          <w:lang w:val="de-DE"/>
        </w:rPr>
      </w:pPr>
      <w:r w:rsidRPr="00484BF5">
        <w:rPr>
          <w:rFonts w:ascii="Times New Roman" w:hAnsi="Times New Roman" w:cs="Times New Roman"/>
          <w:sz w:val="16"/>
          <w:szCs w:val="16"/>
          <w:lang w:val="de-DE"/>
        </w:rPr>
        <w:lastRenderedPageBreak/>
        <w:t>4.3.2 Erklärung für die erste Gruppe</w:t>
      </w:r>
    </w:p>
    <w:p w14:paraId="40A8A0BB" w14:textId="77777777"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Bei der ersten Gruppe wird die Dämpfung (D) bei einer festen Eigenfrequenz variiert.</w:t>
      </w:r>
    </w:p>
    <w:p w14:paraId="2A86B8EB" w14:textId="77777777"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Amplitude: Eine geringere Dämpfung führt zu höheren Spitzen (Resonanzüberhöhung) und deutlicheren Schwingungen bei der eingestellten Frequenz. Mit zunehmender Dämpfung wird die Reaktionskurve glatter, die Spitzenbildung geht zurück und das System geht schneller in den höheren Frequenzbereich über.</w:t>
      </w:r>
    </w:p>
    <w:p w14:paraId="5D4FB9FB" w14:textId="20DD6775" w:rsidR="00484BF5" w:rsidRPr="00484BF5" w:rsidRDefault="00484BF5" w:rsidP="00484BF5">
      <w:pPr>
        <w:ind w:firstLine="420"/>
        <w:rPr>
          <w:rFonts w:ascii="Times New Roman" w:hAnsi="Times New Roman" w:cs="Times New Roman"/>
          <w:sz w:val="16"/>
          <w:szCs w:val="16"/>
          <w:lang w:val="de-DE"/>
        </w:rPr>
      </w:pPr>
      <w:r w:rsidRPr="00484BF5">
        <w:rPr>
          <w:rFonts w:ascii="Times New Roman" w:eastAsiaTheme="minorEastAsia" w:hAnsi="Times New Roman" w:cs="Times New Roman"/>
          <w:kern w:val="2"/>
          <w:sz w:val="16"/>
          <w:szCs w:val="16"/>
          <w:lang w:val="de-DE"/>
          <w14:ligatures w14:val="standardContextual"/>
        </w:rPr>
        <w:t>Phase: Mit zunehmender Dämpfung erhöht sich die Änderungsrate der Phase. Das bedeutet, dass die Phasenverzögerung bei ein und derselben Frequenz geringer ausfällt.</w:t>
      </w:r>
    </w:p>
    <w:p w14:paraId="021CAF98" w14:textId="53D73E1D" w:rsidR="00484BF5" w:rsidRPr="00484BF5" w:rsidRDefault="00484BF5" w:rsidP="00484BF5">
      <w:pPr>
        <w:widowControl w:val="0"/>
        <w:spacing w:after="160"/>
        <w:rPr>
          <w:rFonts w:ascii="Times New Roman" w:eastAsiaTheme="minorEastAsia" w:hAnsi="Times New Roman" w:cs="Times New Roman"/>
          <w:kern w:val="2"/>
          <w:sz w:val="16"/>
          <w:szCs w:val="16"/>
          <w:lang w:val="de-DE"/>
          <w14:ligatures w14:val="standardContextual"/>
        </w:rPr>
      </w:pPr>
      <w:r w:rsidRPr="00484BF5">
        <w:rPr>
          <w:rFonts w:ascii="Times New Roman" w:hAnsi="Times New Roman" w:cs="Times New Roman"/>
          <w:sz w:val="16"/>
          <w:szCs w:val="16"/>
          <w:lang w:val="de-DE"/>
        </w:rPr>
        <w:t>4</w:t>
      </w:r>
      <w:r w:rsidRPr="00484BF5">
        <w:rPr>
          <w:rFonts w:ascii="Times New Roman" w:eastAsiaTheme="minorEastAsia" w:hAnsi="Times New Roman" w:cs="Times New Roman"/>
          <w:kern w:val="2"/>
          <w:sz w:val="16"/>
          <w:szCs w:val="16"/>
          <w:lang w:val="de-DE"/>
          <w14:ligatures w14:val="standardContextual"/>
        </w:rPr>
        <w:t xml:space="preserve">.3.3 </w:t>
      </w:r>
      <w:r w:rsidRPr="00484BF5">
        <w:rPr>
          <w:rFonts w:ascii="Times New Roman" w:eastAsiaTheme="minorEastAsia" w:hAnsi="Times New Roman" w:cs="Times New Roman"/>
          <w:kern w:val="2"/>
          <w:sz w:val="16"/>
          <w:szCs w:val="16"/>
          <w:lang w:val="de-DE"/>
          <w14:ligatures w14:val="standardContextual"/>
        </w:rPr>
        <w:t xml:space="preserve">Erklärung für die </w:t>
      </w:r>
      <w:r w:rsidRPr="00484BF5">
        <w:rPr>
          <w:rFonts w:ascii="Times New Roman" w:eastAsiaTheme="minorEastAsia" w:hAnsi="Times New Roman" w:cs="Times New Roman"/>
          <w:kern w:val="2"/>
          <w:sz w:val="16"/>
          <w:szCs w:val="16"/>
          <w:lang w:val="de-DE"/>
          <w14:ligatures w14:val="standardContextual"/>
        </w:rPr>
        <w:t xml:space="preserve">zweite </w:t>
      </w:r>
      <w:r w:rsidRPr="00484BF5">
        <w:rPr>
          <w:rFonts w:ascii="Times New Roman" w:eastAsiaTheme="minorEastAsia" w:hAnsi="Times New Roman" w:cs="Times New Roman"/>
          <w:kern w:val="2"/>
          <w:sz w:val="16"/>
          <w:szCs w:val="16"/>
          <w:lang w:val="de-DE"/>
          <w14:ligatures w14:val="standardContextual"/>
        </w:rPr>
        <w:t>Gruppe</w:t>
      </w:r>
    </w:p>
    <w:p w14:paraId="768A3591" w14:textId="3C113E0D"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Bei der zweiten Gruppe wird die Eigenfrequenz (</w:t>
      </w:r>
      <m:oMath>
        <m:r>
          <m:rPr>
            <m:sty m:val="p"/>
          </m:rPr>
          <w:rPr>
            <w:rFonts w:ascii="Cambria Math" w:eastAsiaTheme="minorEastAsia" w:hAnsi="Cambria Math" w:cs="Times New Roman"/>
            <w:kern w:val="2"/>
            <w:sz w:val="16"/>
            <w:szCs w:val="16"/>
            <w:lang w:val="de-DE"/>
            <w14:ligatures w14:val="standardContextual"/>
          </w:rPr>
          <m:t>ω</m:t>
        </m:r>
      </m:oMath>
      <w:r w:rsidRPr="00484BF5">
        <w:rPr>
          <w:rFonts w:ascii="Times New Roman" w:eastAsiaTheme="minorEastAsia" w:hAnsi="Times New Roman" w:cs="Times New Roman"/>
          <w:kern w:val="2"/>
          <w:sz w:val="16"/>
          <w:szCs w:val="16"/>
          <w:lang w:val="de-DE"/>
          <w14:ligatures w14:val="standardContextual"/>
        </w:rPr>
        <w:t>) bei einem festen Dämpfungsfaktor (D) verändert.</w:t>
      </w:r>
    </w:p>
    <w:p w14:paraId="44494147" w14:textId="4503B38D"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Amplitude: Mit zunehmendem </w:t>
      </w:r>
      <m:oMath>
        <m:r>
          <w:rPr>
            <w:rFonts w:ascii="Cambria Math" w:eastAsiaTheme="minorEastAsia" w:hAnsi="Cambria Math" w:cs="Times New Roman"/>
            <w:kern w:val="2"/>
            <w:sz w:val="16"/>
            <w:szCs w:val="16"/>
            <w:lang w:val="de-DE"/>
            <w14:ligatures w14:val="standardContextual"/>
          </w:rPr>
          <m:t>ω</m:t>
        </m:r>
      </m:oMath>
      <w:r w:rsidRPr="00484BF5">
        <w:rPr>
          <w:rFonts w:ascii="Times New Roman" w:eastAsiaTheme="minorEastAsia" w:hAnsi="Times New Roman" w:cs="Times New Roman"/>
          <w:kern w:val="2"/>
          <w:sz w:val="16"/>
          <w:szCs w:val="16"/>
          <w:lang w:val="de-DE"/>
          <w14:ligatures w14:val="standardContextual"/>
        </w:rPr>
        <w:t> verschiebt sich die Resonanzfrequenz des Systems im Diagramm nach rechts. Folglich verschiebt sich auch die Amplitudenspitze in diese Richtung, wobei deren Höhe und Form weiterhin vom festen Dämpfungsfaktor abhängen.</w:t>
      </w:r>
    </w:p>
    <w:p w14:paraId="22838C8D" w14:textId="77061085"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Phase: Analog zur Amplitude verschiebt sich mit zunehmender Eigenfrequenz (</w:t>
      </w:r>
      <m:oMath>
        <m:r>
          <w:rPr>
            <w:rFonts w:ascii="Cambria Math" w:eastAsiaTheme="minorEastAsia" w:hAnsi="Cambria Math" w:cs="Times New Roman"/>
            <w:kern w:val="2"/>
            <w:sz w:val="16"/>
            <w:szCs w:val="16"/>
            <w:lang w:val="de-DE"/>
            <w14:ligatures w14:val="standardContextual"/>
          </w:rPr>
          <m:t>ω</m:t>
        </m:r>
      </m:oMath>
      <w:r w:rsidRPr="00484BF5">
        <w:rPr>
          <w:rFonts w:ascii="Times New Roman" w:eastAsiaTheme="minorEastAsia" w:hAnsi="Times New Roman" w:cs="Times New Roman"/>
          <w:kern w:val="2"/>
          <w:sz w:val="16"/>
          <w:szCs w:val="16"/>
          <w:lang w:val="de-DE"/>
          <w14:ligatures w14:val="standardContextual"/>
        </w:rPr>
        <w:t>) auch der Wendepunkt der Phasenänderung hin zu höheren Frequenzen.</w:t>
      </w:r>
    </w:p>
    <w:p w14:paraId="042DE7BE" w14:textId="77777777" w:rsidR="00484BF5" w:rsidRPr="00484BF5" w:rsidRDefault="00484BF5" w:rsidP="00484BF5">
      <w:pPr>
        <w:widowControl w:val="0"/>
        <w:spacing w:after="160"/>
        <w:rPr>
          <w:rFonts w:ascii="Times New Roman" w:eastAsiaTheme="minorEastAsia" w:hAnsi="Times New Roman" w:cs="Times New Roman"/>
          <w:kern w:val="2"/>
          <w:sz w:val="16"/>
          <w:szCs w:val="16"/>
          <w:lang w:val="de-DE"/>
          <w14:ligatures w14:val="standardContextual"/>
        </w:rPr>
      </w:pPr>
    </w:p>
    <w:p w14:paraId="1CB07E77" w14:textId="405E7D3F" w:rsidR="00484BF5" w:rsidRPr="00484BF5" w:rsidRDefault="00484BF5" w:rsidP="00484BF5">
      <w:pPr>
        <w:widowControl w:val="0"/>
        <w:spacing w:after="160"/>
        <w:rPr>
          <w:rFonts w:ascii="Times New Roman" w:eastAsiaTheme="minorEastAsia" w:hAnsi="Times New Roman" w:cs="Times New Roman"/>
          <w:b/>
          <w:bCs/>
          <w:kern w:val="2"/>
          <w:sz w:val="16"/>
          <w:szCs w:val="16"/>
          <w:lang w:val="de-DE"/>
          <w14:ligatures w14:val="standardContextual"/>
        </w:rPr>
      </w:pPr>
      <w:r w:rsidRPr="00484BF5">
        <w:rPr>
          <w:rFonts w:ascii="Times New Roman" w:eastAsiaTheme="minorEastAsia" w:hAnsi="Times New Roman" w:cs="Times New Roman"/>
          <w:b/>
          <w:bCs/>
          <w:kern w:val="2"/>
          <w:sz w:val="16"/>
          <w:szCs w:val="16"/>
          <w:lang w:val="de-DE"/>
          <w14:ligatures w14:val="standardContextual"/>
        </w:rPr>
        <w:t>4.4Pol-Null-Diagramm</w:t>
      </w:r>
    </w:p>
    <w:p w14:paraId="61B2925E" w14:textId="597ED741" w:rsidR="00484BF5" w:rsidRPr="00484BF5" w:rsidRDefault="00484BF5" w:rsidP="00484BF5">
      <w:pPr>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4.4.</w:t>
      </w:r>
      <w:r w:rsidRPr="00484BF5">
        <w:rPr>
          <w:rFonts w:ascii="Times New Roman" w:eastAsiaTheme="minorEastAsia" w:hAnsi="Times New Roman" w:cs="Times New Roman"/>
          <w:kern w:val="2"/>
          <w:sz w:val="16"/>
          <w:szCs w:val="16"/>
          <w:lang w:val="de-DE"/>
          <w14:ligatures w14:val="standardContextual"/>
        </w:rPr>
        <w:t>1. Aufbau und Merkmale des Pol-Nullstellen-Diagramms</w:t>
      </w:r>
    </w:p>
    <w:p w14:paraId="1AA60D19" w14:textId="669CF508"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Das Pol-Nullstellen-Diagramm stellt die Singularitäten der Systemübertragungsfunktion geometrisch in der komplexen </w:t>
      </w:r>
      <m:oMath>
        <m:r>
          <w:rPr>
            <w:rFonts w:ascii="Cambria Math" w:eastAsiaTheme="minorEastAsia" w:hAnsi="Cambria Math" w:cs="Times New Roman"/>
            <w:kern w:val="2"/>
            <w:sz w:val="16"/>
            <w:szCs w:val="16"/>
            <w:lang w:val="de-DE"/>
            <w14:ligatures w14:val="standardContextual"/>
          </w:rPr>
          <m:t>s</m:t>
        </m:r>
      </m:oMath>
      <w:r w:rsidRPr="00484BF5">
        <w:rPr>
          <w:rFonts w:ascii="Times New Roman" w:eastAsiaTheme="minorEastAsia" w:hAnsi="Times New Roman" w:cs="Times New Roman"/>
          <w:kern w:val="2"/>
          <w:sz w:val="16"/>
          <w:szCs w:val="16"/>
          <w:lang w:val="de-DE"/>
          <w14:ligatures w14:val="standardContextual"/>
        </w:rPr>
        <w:t>-Ebene (</w:t>
      </w:r>
      <m:oMath>
        <m:sSub>
          <m:sSubPr>
            <m:ctrlPr>
              <w:rPr>
                <w:rFonts w:ascii="Cambria Math" w:eastAsiaTheme="minorEastAsia" w:hAnsi="Cambria Math" w:cs="Times New Roman"/>
                <w:kern w:val="2"/>
                <w:sz w:val="16"/>
                <w:szCs w:val="16"/>
                <w:lang w:val="de-DE"/>
                <w14:ligatures w14:val="standardContextual"/>
              </w:rPr>
            </m:ctrlPr>
          </m:sSubPr>
          <m:e>
            <m:r>
              <m:rPr>
                <m:sty m:val="p"/>
              </m:rPr>
              <w:rPr>
                <w:rFonts w:ascii="Cambria Math" w:eastAsiaTheme="minorEastAsia" w:hAnsi="Cambria Math" w:cs="Times New Roman"/>
                <w:kern w:val="2"/>
                <w:sz w:val="16"/>
                <w:szCs w:val="16"/>
                <w:lang w:val="de-DE"/>
                <w14:ligatures w14:val="standardContextual"/>
              </w:rPr>
              <m:t>\</m:t>
            </m:r>
            <m:r>
              <w:rPr>
                <w:rFonts w:ascii="Cambria Math" w:eastAsiaTheme="minorEastAsia" w:hAnsi="Cambria Math" w:cs="Times New Roman"/>
                <w:kern w:val="2"/>
                <w:sz w:val="16"/>
                <w:szCs w:val="16"/>
                <w:lang w:val="de-DE"/>
                <w14:ligatures w14:val="standardContextual"/>
              </w:rPr>
              <m:t>s</m:t>
            </m:r>
          </m:e>
          <m:sub>
            <m:r>
              <w:rPr>
                <w:rFonts w:ascii="Cambria Math" w:eastAsiaTheme="minorEastAsia" w:hAnsi="Cambria Math" w:cs="Times New Roman"/>
                <w:kern w:val="2"/>
                <w:sz w:val="16"/>
                <w:szCs w:val="16"/>
                <w:lang w:val="de-DE"/>
                <w14:ligatures w14:val="standardContextual"/>
              </w:rPr>
              <m:t>s</m:t>
            </m:r>
          </m:sub>
        </m:sSub>
        <m:r>
          <m:rPr>
            <m:sty m:val="p"/>
          </m:rPr>
          <w:rPr>
            <w:rFonts w:ascii="Cambria Math" w:eastAsiaTheme="minorEastAsia" w:hAnsi="Cambria Math" w:cs="Times New Roman"/>
            <w:kern w:val="2"/>
            <w:sz w:val="16"/>
            <w:szCs w:val="16"/>
            <w:lang w:val="de-DE"/>
            <w14:ligatures w14:val="standardContextual"/>
          </w:rPr>
          <m:t>=</m:t>
        </m:r>
        <m:r>
          <w:rPr>
            <w:rFonts w:ascii="Cambria Math" w:eastAsiaTheme="minorEastAsia" w:hAnsi="Cambria Math" w:cs="Times New Roman"/>
            <w:kern w:val="2"/>
            <w:sz w:val="16"/>
            <w:szCs w:val="16"/>
            <w:lang w:val="de-DE"/>
            <w14:ligatures w14:val="standardContextual"/>
          </w:rPr>
          <m:t>σ</m:t>
        </m:r>
        <m:r>
          <m:rPr>
            <m:sty m:val="p"/>
          </m:rPr>
          <w:rPr>
            <w:rFonts w:ascii="Cambria Math" w:eastAsiaTheme="minorEastAsia" w:hAnsi="Cambria Math" w:cs="Times New Roman"/>
            <w:kern w:val="2"/>
            <w:sz w:val="16"/>
            <w:szCs w:val="16"/>
            <w:lang w:val="de-DE"/>
            <w14:ligatures w14:val="standardContextual"/>
          </w:rPr>
          <m:t>+</m:t>
        </m:r>
        <m:r>
          <w:rPr>
            <w:rFonts w:ascii="Cambria Math" w:eastAsiaTheme="minorEastAsia" w:hAnsi="Cambria Math" w:cs="Times New Roman"/>
            <w:kern w:val="2"/>
            <w:sz w:val="16"/>
            <w:szCs w:val="16"/>
            <w:lang w:val="de-DE"/>
            <w14:ligatures w14:val="standardContextual"/>
          </w:rPr>
          <m:t>j</m:t>
        </m:r>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d</m:t>
            </m:r>
          </m:sub>
        </m:sSub>
      </m:oMath>
      <w:r w:rsidRPr="00484BF5">
        <w:rPr>
          <w:rFonts w:ascii="Times New Roman" w:eastAsiaTheme="minorEastAsia" w:hAnsi="Times New Roman" w:cs="Times New Roman"/>
          <w:kern w:val="2"/>
          <w:sz w:val="16"/>
          <w:szCs w:val="16"/>
          <w:lang w:val="de-DE"/>
          <w14:ligatures w14:val="standardContextual"/>
        </w:rPr>
        <w:t>) dar. Ein klassisches PT2-Glied besitzt genau zwei Pole (die Nullstellen des Nennerpolynoms) und keine Nullstellen im Zähler. Die geometrische Lage dieser Pole bestimmt fundamental das Stabilitäts- und Einschwingverhalten des Systems:</w:t>
      </w:r>
    </w:p>
    <w:p w14:paraId="6F512F9A" w14:textId="3BB2ADD8"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Stabilität: Da sich die Pole in der linken Halbebene (</w:t>
      </w:r>
      <m:oMath>
        <m:r>
          <w:rPr>
            <w:rFonts w:ascii="Cambria Math" w:eastAsiaTheme="minorEastAsia" w:hAnsi="Cambria Math" w:cs="Times New Roman"/>
            <w:kern w:val="2"/>
            <w:sz w:val="16"/>
            <w:szCs w:val="16"/>
            <w:lang w:val="de-DE"/>
            <w14:ligatures w14:val="standardContextual"/>
          </w:rPr>
          <m:t>σ</m:t>
        </m:r>
        <m:r>
          <m:rPr>
            <m:sty m:val="p"/>
          </m:rPr>
          <w:rPr>
            <w:rFonts w:ascii="Cambria Math" w:eastAsiaTheme="minorEastAsia" w:hAnsi="Cambria Math" w:cs="Times New Roman"/>
            <w:kern w:val="2"/>
            <w:sz w:val="16"/>
            <w:szCs w:val="16"/>
            <w:lang w:val="de-DE"/>
            <w14:ligatures w14:val="standardContextual"/>
          </w:rPr>
          <m:t>&lt;0</m:t>
        </m:r>
      </m:oMath>
      <w:r w:rsidRPr="00484BF5">
        <w:rPr>
          <w:rFonts w:ascii="Times New Roman" w:eastAsiaTheme="minorEastAsia" w:hAnsi="Times New Roman" w:cs="Times New Roman"/>
          <w:kern w:val="2"/>
          <w:sz w:val="16"/>
          <w:szCs w:val="16"/>
          <w:lang w:val="de-DE"/>
          <w14:ligatures w14:val="standardContextual"/>
        </w:rPr>
        <w:t>) befinden, ist das System absolut stabil.</w:t>
      </w:r>
    </w:p>
    <w:p w14:paraId="189C17A4" w14:textId="69F283A0"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Realteil (</w:t>
      </w:r>
      <m:oMath>
        <m:r>
          <w:rPr>
            <w:rFonts w:ascii="Cambria Math" w:eastAsiaTheme="minorEastAsia" w:hAnsi="Cambria Math" w:cs="Times New Roman"/>
            <w:kern w:val="2"/>
            <w:sz w:val="16"/>
            <w:szCs w:val="16"/>
            <w:lang w:val="de-DE"/>
            <w14:ligatures w14:val="standardContextual"/>
          </w:rPr>
          <m:t>σ</m:t>
        </m:r>
        <m:r>
          <m:rPr>
            <m:sty m:val="p"/>
          </m:rPr>
          <w:rPr>
            <w:rFonts w:ascii="Cambria Math" w:eastAsiaTheme="minorEastAsia" w:hAnsi="Cambria Math" w:cs="Times New Roman"/>
            <w:kern w:val="2"/>
            <w:sz w:val="16"/>
            <w:szCs w:val="16"/>
            <w:lang w:val="de-DE"/>
            <w14:ligatures w14:val="standardContextual"/>
          </w:rPr>
          <m:t>=-</m:t>
        </m:r>
        <m:r>
          <w:rPr>
            <w:rFonts w:ascii="Cambria Math" w:eastAsiaTheme="minorEastAsia" w:hAnsi="Cambria Math" w:cs="Times New Roman"/>
            <w:kern w:val="2"/>
            <w:sz w:val="16"/>
            <w:szCs w:val="16"/>
            <w:lang w:val="de-DE"/>
            <w14:ligatures w14:val="standardContextual"/>
          </w:rPr>
          <m:t>D</m:t>
        </m:r>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Er bestimmt die Abklinggeschwindigkeit des Ausgleichsvorgangs. Je negativer der Realteil, desto schneller klingt die Schwingung ab.</w:t>
      </w:r>
    </w:p>
    <w:p w14:paraId="3743A93F" w14:textId="66F4FB84"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Imaginärteil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d</m:t>
            </m:r>
          </m:sub>
        </m:sSub>
        <m:r>
          <m:rPr>
            <m:sty m:val="p"/>
          </m:rPr>
          <w:rPr>
            <w:rFonts w:ascii="Cambria Math" w:eastAsiaTheme="minorEastAsia" w:hAnsi="Cambria Math" w:cs="Times New Roman"/>
            <w:kern w:val="2"/>
            <w:sz w:val="16"/>
            <w:szCs w:val="16"/>
            <w:lang w:val="de-DE"/>
            <w14:ligatures w14:val="standardContextual"/>
          </w:rPr>
          <m:t>=</m:t>
        </m:r>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rad>
          <m:radPr>
            <m:degHide m:val="1"/>
            <m:ctrlPr>
              <w:rPr>
                <w:rFonts w:ascii="Cambria Math" w:eastAsiaTheme="minorEastAsia" w:hAnsi="Cambria Math" w:cs="Times New Roman"/>
                <w:kern w:val="2"/>
                <w:sz w:val="16"/>
                <w:szCs w:val="16"/>
                <w:lang w:val="de-DE"/>
                <w14:ligatures w14:val="standardContextual"/>
              </w:rPr>
            </m:ctrlPr>
          </m:radPr>
          <m:deg/>
          <m:e>
            <m:r>
              <m:rPr>
                <m:sty m:val="p"/>
              </m:rPr>
              <w:rPr>
                <w:rFonts w:ascii="Cambria Math" w:eastAsiaTheme="minorEastAsia" w:hAnsi="Cambria Math" w:cs="Times New Roman"/>
                <w:kern w:val="2"/>
                <w:sz w:val="16"/>
                <w:szCs w:val="16"/>
                <w:lang w:val="de-DE"/>
                <w14:ligatures w14:val="standardContextual"/>
              </w:rPr>
              <m:t>1-</m:t>
            </m:r>
            <m:sSup>
              <m:sSupPr>
                <m:ctrlPr>
                  <w:rPr>
                    <w:rFonts w:ascii="Cambria Math" w:eastAsiaTheme="minorEastAsia" w:hAnsi="Cambria Math" w:cs="Times New Roman"/>
                    <w:kern w:val="2"/>
                    <w:sz w:val="16"/>
                    <w:szCs w:val="16"/>
                    <w:lang w:val="de-DE"/>
                    <w14:ligatures w14:val="standardContextual"/>
                  </w:rPr>
                </m:ctrlPr>
              </m:sSupPr>
              <m:e>
                <m:r>
                  <w:rPr>
                    <w:rFonts w:ascii="Cambria Math" w:eastAsiaTheme="minorEastAsia" w:hAnsi="Cambria Math" w:cs="Times New Roman"/>
                    <w:kern w:val="2"/>
                    <w:sz w:val="16"/>
                    <w:szCs w:val="16"/>
                    <w:lang w:val="de-DE"/>
                    <w14:ligatures w14:val="standardContextual"/>
                  </w:rPr>
                  <m:t>D</m:t>
                </m:r>
              </m:e>
              <m:sup>
                <m:r>
                  <m:rPr>
                    <m:sty m:val="p"/>
                  </m:rPr>
                  <w:rPr>
                    <w:rFonts w:ascii="Cambria Math" w:eastAsiaTheme="minorEastAsia" w:hAnsi="Cambria Math" w:cs="Times New Roman"/>
                    <w:kern w:val="2"/>
                    <w:sz w:val="16"/>
                    <w:szCs w:val="16"/>
                    <w:lang w:val="de-DE"/>
                    <w14:ligatures w14:val="standardContextual"/>
                  </w:rPr>
                  <m:t>2</m:t>
                </m:r>
              </m:sup>
            </m:sSup>
          </m:e>
        </m:rad>
      </m:oMath>
      <w:r w:rsidRPr="00484BF5">
        <w:rPr>
          <w:rFonts w:ascii="Times New Roman" w:eastAsiaTheme="minorEastAsia" w:hAnsi="Times New Roman" w:cs="Times New Roman"/>
          <w:kern w:val="2"/>
          <w:sz w:val="16"/>
          <w:szCs w:val="16"/>
          <w:lang w:val="de-DE"/>
          <w14:ligatures w14:val="standardContextual"/>
        </w:rPr>
        <w:t>): Er repräsentiert die gedämpfte Eigenfrequenz, also die tatsächliche Schwingungsfrequenz im Zeitbereich.</w:t>
      </w:r>
    </w:p>
    <w:p w14:paraId="39C0B858" w14:textId="1501DF84" w:rsidR="00484BF5" w:rsidRPr="00484BF5" w:rsidRDefault="00484BF5" w:rsidP="00484BF5">
      <w:pPr>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4.4.</w:t>
      </w:r>
      <w:r w:rsidRPr="00484BF5">
        <w:rPr>
          <w:rFonts w:ascii="Times New Roman" w:eastAsiaTheme="minorEastAsia" w:hAnsi="Times New Roman" w:cs="Times New Roman"/>
          <w:kern w:val="2"/>
          <w:sz w:val="16"/>
          <w:szCs w:val="16"/>
          <w:lang w:val="de-DE"/>
          <w14:ligatures w14:val="standardContextual"/>
        </w:rPr>
        <w:t>2. Erste Gruppe: Merkmale der experimentellen Daten (Variation von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bei konstantem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w:t>
      </w:r>
    </w:p>
    <w:p w14:paraId="316CD55F" w14:textId="1769709A"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In der ersten Versuchsgruppe wird der Dämpfungsfaktor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systematisch variiert, während die Eigenfrequenz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auf einem konstanten Wert fixiert bleibt. Die experimentellen Daten zeigen folgende Ortsveränderungen der Pole:</w:t>
      </w:r>
    </w:p>
    <w:p w14:paraId="37426957" w14:textId="0D01A8BD"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Für </w:t>
      </w:r>
      <m:oMath>
        <m:r>
          <m:rPr>
            <m:sty m:val="p"/>
          </m:rPr>
          <w:rPr>
            <w:rFonts w:ascii="Cambria Math" w:eastAsiaTheme="minorEastAsia" w:hAnsi="Cambria Math" w:cs="Times New Roman"/>
            <w:kern w:val="2"/>
            <w:sz w:val="16"/>
            <w:szCs w:val="16"/>
            <w:lang w:val="de-DE"/>
            <w14:ligatures w14:val="standardContextual"/>
          </w:rPr>
          <m:t>0&lt;</m:t>
        </m:r>
        <m:r>
          <w:rPr>
            <w:rFonts w:ascii="Cambria Math" w:eastAsiaTheme="minorEastAsia" w:hAnsi="Cambria Math" w:cs="Times New Roman"/>
            <w:kern w:val="2"/>
            <w:sz w:val="16"/>
            <w:szCs w:val="16"/>
            <w:lang w:val="de-DE"/>
            <w14:ligatures w14:val="standardContextual"/>
          </w:rPr>
          <m:t>D</m:t>
        </m:r>
        <m:r>
          <m:rPr>
            <m:sty m:val="p"/>
          </m:rPr>
          <w:rPr>
            <w:rFonts w:ascii="Cambria Math" w:eastAsiaTheme="minorEastAsia" w:hAnsi="Cambria Math" w:cs="Times New Roman"/>
            <w:kern w:val="2"/>
            <w:sz w:val="16"/>
            <w:szCs w:val="16"/>
            <w:lang w:val="de-DE"/>
            <w14:ligatures w14:val="standardContextual"/>
          </w:rPr>
          <m:t>&lt;1</m:t>
        </m:r>
      </m:oMath>
      <w:r w:rsidRPr="00484BF5">
        <w:rPr>
          <w:rFonts w:ascii="Times New Roman" w:eastAsiaTheme="minorEastAsia" w:hAnsi="Times New Roman" w:cs="Times New Roman"/>
          <w:kern w:val="2"/>
          <w:sz w:val="16"/>
          <w:szCs w:val="16"/>
          <w:lang w:val="de-DE"/>
          <w14:ligatures w14:val="standardContextual"/>
        </w:rPr>
        <w:t> (Unterdämpfung): Die Pole sind konjugiert-komplex. Bei der Reduzierung oder Erhöhung von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bewegen sie sich exakt auf einem Kreisbogen um den Ursprung, dessen Radius genau der konstanten Eigenfrequenz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entspricht.</w:t>
      </w:r>
    </w:p>
    <w:p w14:paraId="09D0018E" w14:textId="27AD6F88"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Für </w:t>
      </w:r>
      <m:oMath>
        <m:r>
          <w:rPr>
            <w:rFonts w:ascii="Cambria Math" w:eastAsiaTheme="minorEastAsia" w:hAnsi="Cambria Math" w:cs="Times New Roman"/>
            <w:kern w:val="2"/>
            <w:sz w:val="16"/>
            <w:szCs w:val="16"/>
            <w:lang w:val="de-DE"/>
            <w14:ligatures w14:val="standardContextual"/>
          </w:rPr>
          <m:t>D</m:t>
        </m:r>
        <m:r>
          <m:rPr>
            <m:sty m:val="p"/>
          </m:rPr>
          <w:rPr>
            <w:rFonts w:ascii="Cambria Math" w:eastAsiaTheme="minorEastAsia" w:hAnsi="Cambria Math" w:cs="Times New Roman"/>
            <w:kern w:val="2"/>
            <w:sz w:val="16"/>
            <w:szCs w:val="16"/>
            <w:lang w:val="de-DE"/>
            <w14:ligatures w14:val="standardContextual"/>
          </w:rPr>
          <m:t>=0</m:t>
        </m:r>
      </m:oMath>
      <w:r w:rsidRPr="00484BF5">
        <w:rPr>
          <w:rFonts w:ascii="Times New Roman" w:eastAsiaTheme="minorEastAsia" w:hAnsi="Times New Roman" w:cs="Times New Roman"/>
          <w:kern w:val="2"/>
          <w:sz w:val="16"/>
          <w:szCs w:val="16"/>
          <w:lang w:val="de-DE"/>
          <w14:ligatures w14:val="standardContextual"/>
        </w:rPr>
        <w:t> (ungedämpfter Fall): Die Pole liegen rein imaginär auf der vertikalen Achse (</w:t>
      </w:r>
      <m:oMath>
        <m:r>
          <w:rPr>
            <w:rFonts w:ascii="Cambria Math" w:eastAsiaTheme="minorEastAsia" w:hAnsi="Cambria Math" w:cs="Times New Roman"/>
            <w:kern w:val="2"/>
            <w:sz w:val="16"/>
            <w:szCs w:val="16"/>
            <w:lang w:val="de-DE"/>
            <w14:ligatures w14:val="standardContextual"/>
          </w:rPr>
          <m:t>s</m:t>
        </m:r>
        <m:r>
          <m:rPr>
            <m:sty m:val="p"/>
          </m:rPr>
          <w:rPr>
            <w:rFonts w:ascii="Cambria Math" w:eastAsiaTheme="minorEastAsia" w:hAnsi="Cambria Math" w:cs="Times New Roman"/>
            <w:kern w:val="2"/>
            <w:sz w:val="16"/>
            <w:szCs w:val="16"/>
            <w:lang w:val="de-DE"/>
            <w14:ligatures w14:val="standardContextual"/>
          </w:rPr>
          <m:t>=±</m:t>
        </m:r>
        <m:r>
          <w:rPr>
            <w:rFonts w:ascii="Cambria Math" w:eastAsiaTheme="minorEastAsia" w:hAnsi="Cambria Math" w:cs="Times New Roman"/>
            <w:kern w:val="2"/>
            <w:sz w:val="16"/>
            <w:szCs w:val="16"/>
            <w:lang w:val="de-DE"/>
            <w14:ligatures w14:val="standardContextual"/>
          </w:rPr>
          <m:t>j</m:t>
        </m:r>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w:t>
      </w:r>
    </w:p>
    <w:p w14:paraId="0BD85AFD" w14:textId="49B2DFCE"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Für </w:t>
      </w:r>
      <m:oMath>
        <m:r>
          <w:rPr>
            <w:rFonts w:ascii="Cambria Math" w:eastAsiaTheme="minorEastAsia" w:hAnsi="Cambria Math" w:cs="Times New Roman"/>
            <w:kern w:val="2"/>
            <w:sz w:val="16"/>
            <w:szCs w:val="16"/>
            <w:lang w:val="de-DE"/>
            <w14:ligatures w14:val="standardContextual"/>
          </w:rPr>
          <m:t>D</m:t>
        </m:r>
        <m:r>
          <m:rPr>
            <m:sty m:val="p"/>
          </m:rPr>
          <w:rPr>
            <w:rFonts w:ascii="Cambria Math" w:eastAsiaTheme="minorEastAsia" w:hAnsi="Cambria Math" w:cs="Times New Roman"/>
            <w:kern w:val="2"/>
            <w:sz w:val="16"/>
            <w:szCs w:val="16"/>
            <w:lang w:val="de-DE"/>
            <w14:ligatures w14:val="standardContextual"/>
          </w:rPr>
          <m:t>=1</m:t>
        </m:r>
      </m:oMath>
      <w:r w:rsidRPr="00484BF5">
        <w:rPr>
          <w:rFonts w:ascii="Times New Roman" w:eastAsiaTheme="minorEastAsia" w:hAnsi="Times New Roman" w:cs="Times New Roman"/>
          <w:kern w:val="2"/>
          <w:sz w:val="16"/>
          <w:szCs w:val="16"/>
          <w:lang w:val="de-DE"/>
          <w14:ligatures w14:val="standardContextual"/>
        </w:rPr>
        <w:t> (aperiodischer Grenzfall): Die beiden Pole treffen sich auf der negativen reellen Achse und bilden einen doppelten reellen Pol bei </w:t>
      </w:r>
      <m:oMath>
        <m:r>
          <w:rPr>
            <w:rFonts w:ascii="Cambria Math" w:eastAsiaTheme="minorEastAsia" w:hAnsi="Cambria Math" w:cs="Times New Roman"/>
            <w:kern w:val="2"/>
            <w:sz w:val="16"/>
            <w:szCs w:val="16"/>
            <w:lang w:val="de-DE"/>
            <w14:ligatures w14:val="standardContextual"/>
          </w:rPr>
          <m:t>s</m:t>
        </m:r>
        <m:r>
          <m:rPr>
            <m:sty m:val="p"/>
          </m:rPr>
          <w:rPr>
            <w:rFonts w:ascii="Cambria Math" w:eastAsiaTheme="minorEastAsia" w:hAnsi="Cambria Math" w:cs="Times New Roman"/>
            <w:kern w:val="2"/>
            <w:sz w:val="16"/>
            <w:szCs w:val="16"/>
            <w:lang w:val="de-DE"/>
            <w14:ligatures w14:val="standardContextual"/>
          </w:rPr>
          <m:t>=-</m:t>
        </m:r>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w:t>
      </w:r>
    </w:p>
    <w:p w14:paraId="06274A72" w14:textId="2AF9CB83"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Für </w:t>
      </w:r>
      <m:oMath>
        <m:r>
          <w:rPr>
            <w:rFonts w:ascii="Cambria Math" w:eastAsiaTheme="minorEastAsia" w:hAnsi="Cambria Math" w:cs="Times New Roman"/>
            <w:kern w:val="2"/>
            <w:sz w:val="16"/>
            <w:szCs w:val="16"/>
            <w:lang w:val="de-DE"/>
            <w14:ligatures w14:val="standardContextual"/>
          </w:rPr>
          <m:t>D</m:t>
        </m:r>
        <m:r>
          <m:rPr>
            <m:sty m:val="p"/>
          </m:rPr>
          <w:rPr>
            <w:rFonts w:ascii="Cambria Math" w:eastAsiaTheme="minorEastAsia" w:hAnsi="Cambria Math" w:cs="Times New Roman"/>
            <w:kern w:val="2"/>
            <w:sz w:val="16"/>
            <w:szCs w:val="16"/>
            <w:lang w:val="de-DE"/>
            <w14:ligatures w14:val="standardContextual"/>
          </w:rPr>
          <m:t>&gt;1</m:t>
        </m:r>
      </m:oMath>
      <w:r w:rsidRPr="00484BF5">
        <w:rPr>
          <w:rFonts w:ascii="Times New Roman" w:eastAsiaTheme="minorEastAsia" w:hAnsi="Times New Roman" w:cs="Times New Roman"/>
          <w:kern w:val="2"/>
          <w:sz w:val="16"/>
          <w:szCs w:val="16"/>
          <w:lang w:val="de-DE"/>
          <w14:ligatures w14:val="standardContextual"/>
        </w:rPr>
        <w:t> (Überdämpfung): Die Pole trennen sich auf der reellen Achse auf und wandern als zwei unterschiedliche reelle Pole weiter (einer Richtung Ursprung, einer gegen unendlich).</w:t>
      </w:r>
    </w:p>
    <w:p w14:paraId="2C5FA32C" w14:textId="49C8278B" w:rsidR="00484BF5" w:rsidRPr="00484BF5" w:rsidRDefault="00484BF5" w:rsidP="00484BF5">
      <w:pPr>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4.4.</w:t>
      </w:r>
      <w:r w:rsidRPr="00484BF5">
        <w:rPr>
          <w:rFonts w:ascii="Times New Roman" w:eastAsiaTheme="minorEastAsia" w:hAnsi="Times New Roman" w:cs="Times New Roman"/>
          <w:kern w:val="2"/>
          <w:sz w:val="16"/>
          <w:szCs w:val="16"/>
          <w:lang w:val="de-DE"/>
          <w14:ligatures w14:val="standardContextual"/>
        </w:rPr>
        <w:t>3. Erste Gruppe: Schlussfolgerung</w:t>
      </w:r>
    </w:p>
    <w:p w14:paraId="6C03ABD1" w14:textId="262A237E"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Der Dämpfungsfaktor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steht in direktem Zusammenhang mit dem Winkel </w:t>
      </w:r>
      <m:oMath>
        <m:r>
          <w:rPr>
            <w:rFonts w:ascii="Cambria Math" w:eastAsiaTheme="minorEastAsia" w:hAnsi="Cambria Math" w:cs="Times New Roman"/>
            <w:kern w:val="2"/>
            <w:sz w:val="16"/>
            <w:szCs w:val="16"/>
            <w:lang w:val="de-DE"/>
            <w14:ligatures w14:val="standardContextual"/>
          </w:rPr>
          <m:t>ϕ</m:t>
        </m:r>
      </m:oMath>
      <w:r w:rsidRPr="00484BF5">
        <w:rPr>
          <w:rFonts w:ascii="Times New Roman" w:eastAsiaTheme="minorEastAsia" w:hAnsi="Times New Roman" w:cs="Times New Roman"/>
          <w:kern w:val="2"/>
          <w:sz w:val="16"/>
          <w:szCs w:val="16"/>
          <w:lang w:val="de-DE"/>
          <w14:ligatures w14:val="standardContextual"/>
        </w:rPr>
        <w:t> der Polstrahlen zur negativen reellen Achse (</w:t>
      </w:r>
      <m:oMath>
        <m:func>
          <m:funcPr>
            <m:ctrlPr>
              <w:rPr>
                <w:rFonts w:ascii="Cambria Math" w:eastAsiaTheme="minorEastAsia" w:hAnsi="Cambria Math" w:cs="Times New Roman"/>
                <w:kern w:val="2"/>
                <w:sz w:val="16"/>
                <w:szCs w:val="16"/>
                <w:lang w:val="de-DE"/>
                <w14:ligatures w14:val="standardContextual"/>
              </w:rPr>
            </m:ctrlPr>
          </m:funcPr>
          <m:fName>
            <m:r>
              <m:rPr>
                <m:sty m:val="p"/>
              </m:rPr>
              <w:rPr>
                <w:rFonts w:ascii="Cambria Math" w:eastAsiaTheme="minorEastAsia" w:hAnsi="Cambria Math" w:cs="Times New Roman"/>
                <w:kern w:val="2"/>
                <w:sz w:val="16"/>
                <w:szCs w:val="16"/>
                <w:lang w:val="de-DE"/>
                <w14:ligatures w14:val="standardContextual"/>
              </w:rPr>
              <m:t>cos</m:t>
            </m:r>
          </m:fName>
          <m:e>
            <m:r>
              <w:rPr>
                <w:rFonts w:ascii="Cambria Math" w:eastAsiaTheme="minorEastAsia" w:hAnsi="Cambria Math" w:cs="Times New Roman"/>
                <w:kern w:val="2"/>
                <w:sz w:val="16"/>
                <w:szCs w:val="16"/>
                <w:lang w:val="de-DE"/>
                <w14:ligatures w14:val="standardContextual"/>
              </w:rPr>
              <m:t>ϕ</m:t>
            </m:r>
          </m:e>
        </m:func>
        <m:r>
          <m:rPr>
            <m:sty m:val="p"/>
          </m:rPr>
          <w:rPr>
            <w:rFonts w:ascii="Cambria Math" w:eastAsiaTheme="minorEastAsia" w:hAnsi="Cambria Math" w:cs="Times New Roman"/>
            <w:kern w:val="2"/>
            <w:sz w:val="16"/>
            <w:szCs w:val="16"/>
            <w:lang w:val="de-DE"/>
            <w14:ligatures w14:val="standardContextual"/>
          </w:rPr>
          <m:t>=</m:t>
        </m:r>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Eine Verringerung von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xml:space="preserve"> schiebt die Pole näher an die imaginäre Achse heran (der Imaginärteil wächst, der Realteil </w:t>
      </w:r>
      <w:r w:rsidRPr="00484BF5">
        <w:rPr>
          <w:rFonts w:ascii="Times New Roman" w:eastAsiaTheme="minorEastAsia" w:hAnsi="Times New Roman" w:cs="Times New Roman"/>
          <w:kern w:val="2"/>
          <w:sz w:val="16"/>
          <w:szCs w:val="16"/>
          <w:lang w:val="de-DE"/>
          <w14:ligatures w14:val="standardContextual"/>
        </w:rPr>
        <w:lastRenderedPageBreak/>
        <w:t>schrumpft). Dies führt im Zeitverhalten zu einer geringeren Systemdämpfung, was sich durch ein stark ausgeprägtes Überschwingen (hohe Amplitudenspitzen) und eine deutlich verlängerte Einschwingzeit bemerkbar macht.</w:t>
      </w:r>
    </w:p>
    <w:p w14:paraId="63E37326" w14:textId="24007E09" w:rsidR="00484BF5" w:rsidRPr="00484BF5" w:rsidRDefault="00484BF5" w:rsidP="00484BF5">
      <w:pPr>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4.4.</w:t>
      </w:r>
      <w:r w:rsidRPr="00484BF5">
        <w:rPr>
          <w:rFonts w:ascii="Times New Roman" w:eastAsiaTheme="minorEastAsia" w:hAnsi="Times New Roman" w:cs="Times New Roman"/>
          <w:kern w:val="2"/>
          <w:sz w:val="16"/>
          <w:szCs w:val="16"/>
          <w:lang w:val="de-DE"/>
          <w14:ligatures w14:val="standardContextual"/>
        </w:rPr>
        <w:t>4. Zweite Gruppe: Merkmale der experimentellen Daten (Variation von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bei konstantem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w:t>
      </w:r>
    </w:p>
    <w:p w14:paraId="27C56D2C" w14:textId="2E3F64B0"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In der zweiten Versuchsgruppe wird die Eigenfrequenz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variiert (erhöht), während der Dämpfungsfaktor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konstant gehalten wird. Die Daten spiegeln folgende Dynamik wider:</w:t>
      </w:r>
    </w:p>
    <w:p w14:paraId="5BF9E7D5" w14:textId="11D92775"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Die Pole bewegen sich auf einer Geraden, die in einem festen Winkel </w:t>
      </w:r>
      <m:oMath>
        <m:r>
          <w:rPr>
            <w:rFonts w:ascii="Cambria Math" w:eastAsiaTheme="minorEastAsia" w:hAnsi="Cambria Math" w:cs="Times New Roman"/>
            <w:kern w:val="2"/>
            <w:sz w:val="16"/>
            <w:szCs w:val="16"/>
            <w:lang w:val="de-DE"/>
            <w14:ligatures w14:val="standardContextual"/>
          </w:rPr>
          <m:t>ϕ</m:t>
        </m:r>
      </m:oMath>
      <w:r w:rsidRPr="00484BF5">
        <w:rPr>
          <w:rFonts w:ascii="Times New Roman" w:eastAsiaTheme="minorEastAsia" w:hAnsi="Times New Roman" w:cs="Times New Roman"/>
          <w:kern w:val="2"/>
          <w:sz w:val="16"/>
          <w:szCs w:val="16"/>
          <w:lang w:val="de-DE"/>
          <w14:ligatures w14:val="standardContextual"/>
        </w:rPr>
        <w:t> vom Ursprung wegführt, da das Verhältnis zwischen Real- und Imaginärteil durch das konstante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unverändert bleibt.</w:t>
      </w:r>
    </w:p>
    <w:p w14:paraId="1D3FAEB9" w14:textId="2A02B306" w:rsidR="00484BF5" w:rsidRPr="00484BF5" w:rsidRDefault="00484BF5" w:rsidP="00484BF5">
      <w:pPr>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Mit steigendem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vergrößern sich sowohl der Realteil (</w:t>
      </w:r>
      <m:oMath>
        <m:r>
          <w:rPr>
            <w:rFonts w:ascii="Cambria Math" w:eastAsiaTheme="minorEastAsia" w:hAnsi="Cambria Math" w:cs="Times New Roman"/>
            <w:kern w:val="2"/>
            <w:sz w:val="16"/>
            <w:szCs w:val="16"/>
            <w:lang w:val="de-DE"/>
            <w14:ligatures w14:val="standardContextual"/>
          </w:rPr>
          <m:t>σ</m:t>
        </m:r>
      </m:oMath>
      <w:r w:rsidRPr="00484BF5">
        <w:rPr>
          <w:rFonts w:ascii="Times New Roman" w:eastAsiaTheme="minorEastAsia" w:hAnsi="Times New Roman" w:cs="Times New Roman"/>
          <w:kern w:val="2"/>
          <w:sz w:val="16"/>
          <w:szCs w:val="16"/>
          <w:lang w:val="de-DE"/>
          <w14:ligatures w14:val="standardContextual"/>
        </w:rPr>
        <w:t>) als auch der Imaginärteil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d</m:t>
            </m:r>
          </m:sub>
        </m:sSub>
      </m:oMath>
      <w:r w:rsidRPr="00484BF5">
        <w:rPr>
          <w:rFonts w:ascii="Times New Roman" w:eastAsiaTheme="minorEastAsia" w:hAnsi="Times New Roman" w:cs="Times New Roman"/>
          <w:kern w:val="2"/>
          <w:sz w:val="16"/>
          <w:szCs w:val="16"/>
          <w:lang w:val="de-DE"/>
          <w14:ligatures w14:val="standardContextual"/>
        </w:rPr>
        <w:t>) der Pole proportional, wodurch sich die Pole weiter nach außen und tiefer in die linke Halbebene verschieben.</w:t>
      </w:r>
    </w:p>
    <w:p w14:paraId="2F1EA89A" w14:textId="2D8BC5C7" w:rsidR="00484BF5" w:rsidRPr="00484BF5" w:rsidRDefault="00484BF5" w:rsidP="00484BF5">
      <w:pPr>
        <w:widowControl w:val="0"/>
        <w:spacing w:after="16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4.4.</w:t>
      </w:r>
      <w:r w:rsidRPr="00484BF5">
        <w:rPr>
          <w:rFonts w:ascii="Times New Roman" w:eastAsiaTheme="minorEastAsia" w:hAnsi="Times New Roman" w:cs="Times New Roman"/>
          <w:kern w:val="2"/>
          <w:sz w:val="16"/>
          <w:szCs w:val="16"/>
          <w:lang w:val="de-DE"/>
          <w14:ligatures w14:val="standardContextual"/>
        </w:rPr>
        <w:t>5. Zweite Gruppe: Schlussfolgerung</w:t>
      </w:r>
    </w:p>
    <w:p w14:paraId="4636FB07" w14:textId="010041C8"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Die Erhöhung der Eigenfrequenz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führt dazu, dass sich der Realteil der Pole weiter ins Negative verschiebt. Das System gewinnt dadurch maßgeblich an Reaktionsgeschwindigkeit und die Einschwingzeit sinkt drastisch. Obwohl die Schwingungen aufgrund des größeren Imaginärteils eine höhere Frequenz aufweisen (die Schwingungen laufen schneller ab), bleibt die relative Dämpfung identisch und das System ist absolut stabil, solange die Pole in der linken Halbebene verbleiben.</w:t>
      </w:r>
    </w:p>
    <w:p w14:paraId="464928A3" w14:textId="3AC40DFA" w:rsidR="00484BF5" w:rsidRPr="00484BF5" w:rsidRDefault="00484BF5" w:rsidP="00484BF5">
      <w:pPr>
        <w:widowControl w:val="0"/>
        <w:spacing w:after="16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4.4.</w:t>
      </w:r>
      <w:r w:rsidRPr="00484BF5">
        <w:rPr>
          <w:rFonts w:ascii="Times New Roman" w:eastAsiaTheme="minorEastAsia" w:hAnsi="Times New Roman" w:cs="Times New Roman"/>
          <w:kern w:val="2"/>
          <w:sz w:val="16"/>
          <w:szCs w:val="16"/>
          <w:lang w:val="de-DE"/>
          <w14:ligatures w14:val="standardContextual"/>
        </w:rPr>
        <w:t>6. Zusam</w:t>
      </w:r>
      <w:r>
        <w:rPr>
          <w:rFonts w:ascii="Times New Roman" w:eastAsiaTheme="minorEastAsia" w:hAnsi="Times New Roman" w:cs="Times New Roman"/>
          <w:kern w:val="2"/>
          <w:sz w:val="16"/>
          <w:szCs w:val="16"/>
          <w:lang w:val="de-DE"/>
          <w14:ligatures w14:val="standardContextual"/>
        </w:rPr>
        <w:t>m</w:t>
      </w:r>
      <w:r w:rsidRPr="00484BF5">
        <w:rPr>
          <w:rFonts w:ascii="Times New Roman" w:eastAsiaTheme="minorEastAsia" w:hAnsi="Times New Roman" w:cs="Times New Roman"/>
          <w:kern w:val="2"/>
          <w:sz w:val="16"/>
          <w:szCs w:val="16"/>
          <w:lang w:val="de-DE"/>
          <w14:ligatures w14:val="standardContextual"/>
        </w:rPr>
        <w:t>enfassung</w:t>
      </w:r>
    </w:p>
    <w:p w14:paraId="530C9D57" w14:textId="25B051AC"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Das Pol-Nullstellen-Diagramm bietet eine perfekte mathematisch-geometrische Synthese des PT2-Systems. Es zeigt, dass der radiale Abstand der Pole zum Ursprung direkt die Schnelligkeit (</w:t>
      </w:r>
      <m:oMath>
        <m:sSub>
          <m:sSubPr>
            <m:ctrlPr>
              <w:rPr>
                <w:rFonts w:ascii="Cambria Math" w:eastAsiaTheme="minorEastAsia" w:hAnsi="Cambria Math" w:cs="Times New Roman"/>
                <w:kern w:val="2"/>
                <w:sz w:val="16"/>
                <w:szCs w:val="16"/>
                <w:lang w:val="de-DE"/>
                <w14:ligatures w14:val="standardContextual"/>
              </w:rPr>
            </m:ctrlPr>
          </m:sSubPr>
          <m:e>
            <m:r>
              <w:rPr>
                <w:rFonts w:ascii="Cambria Math" w:eastAsiaTheme="minorEastAsia" w:hAnsi="Cambria Math" w:cs="Times New Roman"/>
                <w:kern w:val="2"/>
                <w:sz w:val="16"/>
                <w:szCs w:val="16"/>
                <w:lang w:val="de-DE"/>
                <w14:ligatures w14:val="standardContextual"/>
              </w:rPr>
              <m:t>ω</m:t>
            </m:r>
          </m:e>
          <m:sub>
            <m:r>
              <w:rPr>
                <w:rFonts w:ascii="Cambria Math" w:eastAsiaTheme="minorEastAsia" w:hAnsi="Cambria Math" w:cs="Times New Roman"/>
                <w:kern w:val="2"/>
                <w:sz w:val="16"/>
                <w:szCs w:val="16"/>
                <w:lang w:val="de-DE"/>
                <w14:ligatures w14:val="standardContextual"/>
              </w:rPr>
              <m:t>n</m:t>
            </m:r>
          </m:sub>
        </m:sSub>
      </m:oMath>
      <w:r w:rsidRPr="00484BF5">
        <w:rPr>
          <w:rFonts w:ascii="Times New Roman" w:eastAsiaTheme="minorEastAsia" w:hAnsi="Times New Roman" w:cs="Times New Roman"/>
          <w:kern w:val="2"/>
          <w:sz w:val="16"/>
          <w:szCs w:val="16"/>
          <w:lang w:val="de-DE"/>
          <w14:ligatures w14:val="standardContextual"/>
        </w:rPr>
        <w:t>) des Systems definiert, während die Winkelkomponente relativ zur reellen Achse die Schwingungsneigung (</w:t>
      </w:r>
      <m:oMath>
        <m:r>
          <w:rPr>
            <w:rFonts w:ascii="Cambria Math" w:eastAsiaTheme="minorEastAsia" w:hAnsi="Cambria Math" w:cs="Times New Roman"/>
            <w:kern w:val="2"/>
            <w:sz w:val="16"/>
            <w:szCs w:val="16"/>
            <w:lang w:val="de-DE"/>
            <w14:ligatures w14:val="standardContextual"/>
          </w:rPr>
          <m:t>D</m:t>
        </m:r>
      </m:oMath>
      <w:r w:rsidRPr="00484BF5">
        <w:rPr>
          <w:rFonts w:ascii="Times New Roman" w:eastAsiaTheme="minorEastAsia" w:hAnsi="Times New Roman" w:cs="Times New Roman"/>
          <w:kern w:val="2"/>
          <w:sz w:val="16"/>
          <w:szCs w:val="16"/>
          <w:lang w:val="de-DE"/>
          <w14:ligatures w14:val="standardContextual"/>
        </w:rPr>
        <w:t>) bestimmt. Jede Änderung im Bode-Diagramm oder in der Sprungantwort lässt sich somit direkt aus der Verschiebung dieser beiden Systempole ableiten.</w:t>
      </w:r>
    </w:p>
    <w:p w14:paraId="59A50705" w14:textId="77777777" w:rsidR="00484BF5" w:rsidRPr="00484BF5" w:rsidRDefault="00484BF5" w:rsidP="00484BF5">
      <w:pPr>
        <w:widowControl w:val="0"/>
        <w:spacing w:after="160"/>
        <w:rPr>
          <w:rFonts w:ascii="Times New Roman" w:eastAsiaTheme="minorEastAsia" w:hAnsi="Times New Roman" w:cs="Times New Roman"/>
          <w:kern w:val="2"/>
          <w:sz w:val="16"/>
          <w:szCs w:val="16"/>
          <w:lang w:val="de-DE"/>
          <w14:ligatures w14:val="standardContextual"/>
        </w:rPr>
      </w:pPr>
    </w:p>
    <w:p w14:paraId="6A0D9EB6" w14:textId="0E5907B7" w:rsidR="00484BF5" w:rsidRPr="00484BF5" w:rsidRDefault="00484BF5" w:rsidP="00484BF5">
      <w:pPr>
        <w:widowControl w:val="0"/>
        <w:spacing w:after="160"/>
        <w:rPr>
          <w:rFonts w:ascii="Times New Roman" w:eastAsiaTheme="minorEastAsia" w:hAnsi="Times New Roman" w:cs="Times New Roman"/>
          <w:b/>
          <w:bCs/>
          <w:kern w:val="2"/>
          <w:sz w:val="16"/>
          <w:szCs w:val="16"/>
          <w:lang w:val="de-DE"/>
          <w14:ligatures w14:val="standardContextual"/>
        </w:rPr>
      </w:pPr>
      <w:r w:rsidRPr="00484BF5">
        <w:rPr>
          <w:rFonts w:ascii="Times New Roman" w:eastAsiaTheme="minorEastAsia" w:hAnsi="Times New Roman" w:cs="Times New Roman"/>
          <w:b/>
          <w:bCs/>
          <w:kern w:val="2"/>
          <w:sz w:val="16"/>
          <w:szCs w:val="16"/>
          <w:lang w:val="de-DE"/>
          <w14:ligatures w14:val="standardContextual"/>
        </w:rPr>
        <w:t>5.</w:t>
      </w:r>
      <w:r>
        <w:rPr>
          <w:rFonts w:ascii="Times New Roman" w:eastAsiaTheme="minorEastAsia" w:hAnsi="Times New Roman" w:cs="Times New Roman"/>
          <w:b/>
          <w:bCs/>
          <w:kern w:val="2"/>
          <w:sz w:val="16"/>
          <w:szCs w:val="16"/>
          <w:lang w:val="de-DE"/>
          <w14:ligatures w14:val="standardContextual"/>
        </w:rPr>
        <w:t>Zu</w:t>
      </w:r>
      <w:r w:rsidRPr="00484BF5">
        <w:rPr>
          <w:rFonts w:ascii="Times New Roman" w:eastAsiaTheme="minorEastAsia" w:hAnsi="Times New Roman" w:cs="Times New Roman"/>
          <w:b/>
          <w:bCs/>
          <w:kern w:val="2"/>
          <w:sz w:val="16"/>
          <w:szCs w:val="16"/>
          <w:lang w:val="de-DE"/>
          <w14:ligatures w14:val="standardContextual"/>
        </w:rPr>
        <w:t>sam</w:t>
      </w:r>
      <w:r>
        <w:rPr>
          <w:rFonts w:ascii="Times New Roman" w:eastAsiaTheme="minorEastAsia" w:hAnsi="Times New Roman" w:cs="Times New Roman"/>
          <w:b/>
          <w:bCs/>
          <w:kern w:val="2"/>
          <w:sz w:val="16"/>
          <w:szCs w:val="16"/>
          <w:lang w:val="de-DE"/>
          <w14:ligatures w14:val="standardContextual"/>
        </w:rPr>
        <w:t>m</w:t>
      </w:r>
      <w:r w:rsidRPr="00484BF5">
        <w:rPr>
          <w:rFonts w:ascii="Times New Roman" w:eastAsiaTheme="minorEastAsia" w:hAnsi="Times New Roman" w:cs="Times New Roman"/>
          <w:b/>
          <w:bCs/>
          <w:kern w:val="2"/>
          <w:sz w:val="16"/>
          <w:szCs w:val="16"/>
          <w:lang w:val="de-DE"/>
          <w14:ligatures w14:val="standardContextual"/>
        </w:rPr>
        <w:t>enfassung</w:t>
      </w:r>
    </w:p>
    <w:p w14:paraId="0234F3E6" w14:textId="77777777"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In diesem Versuch wurde das dynamische Verhalten elementarer Übertragungsglieder (P, I, PT1, PT2) auf Sprung- und Sinussignale mittels MATLAB und Simulink untersucht.</w:t>
      </w:r>
    </w:p>
    <w:p w14:paraId="447D7FE4" w14:textId="77777777"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Die Simulationen verdeutlichen die spezifischen Systemeigenschaften: Während das P-Glied verzögerungsfrei reagiert und das I-Glied integrierend ansteigt, zeigen PT1- und PT2-Glieder ein verzögertes Verhalten. Beim PT2-Glied bestimmen dabei die Eigenfrequenz und der Dämpfungsfaktor maßgeblich die Reaktionsgeschwindigkeit und die Neigung zu Überschwingern. Ergänzende Analysen mittels Bode-Diagrammen und Pol-Nullstellen-Plänen zeigten anschaulich, wie der Frequenzgang und die geometrische Lage der Pole das Zeitverhalten und die Systemstabilität exakt definieren.</w:t>
      </w:r>
    </w:p>
    <w:p w14:paraId="04299A9D" w14:textId="79DA895A" w:rsidR="00484BF5" w:rsidRPr="00484BF5" w:rsidRDefault="00484BF5" w:rsidP="00484BF5">
      <w:pPr>
        <w:widowControl w:val="0"/>
        <w:spacing w:after="160"/>
        <w:ind w:firstLine="420"/>
        <w:rPr>
          <w:rFonts w:ascii="Times New Roman" w:eastAsiaTheme="minorEastAsia" w:hAnsi="Times New Roman" w:cs="Times New Roman"/>
          <w:kern w:val="2"/>
          <w:sz w:val="16"/>
          <w:szCs w:val="16"/>
          <w:lang w:val="de-DE"/>
          <w14:ligatures w14:val="standardContextual"/>
        </w:rPr>
      </w:pPr>
      <w:r w:rsidRPr="00484BF5">
        <w:rPr>
          <w:rFonts w:ascii="Times New Roman" w:eastAsiaTheme="minorEastAsia" w:hAnsi="Times New Roman" w:cs="Times New Roman"/>
          <w:kern w:val="2"/>
          <w:sz w:val="16"/>
          <w:szCs w:val="16"/>
          <w:lang w:val="de-DE"/>
          <w14:ligatures w14:val="standardContextual"/>
        </w:rPr>
        <w:t>Daraus lernten wir, theoretische Modelle linearer Systeme praktisch zu interpretieren. Die Erkenntnis, wie sich Reaktionszeiten und Schwingungsneigungen durch Parameter systematisch vorhersagen und steuern lassen, bildet nun eine essenzielle und anschauliche Grundlage für die Auslegung komplexer Regelkreise.</w:t>
      </w:r>
    </w:p>
    <w:sectPr w:rsidR="00484BF5" w:rsidRPr="00484BF5" w:rsidSect="00484B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0785C"/>
    <w:multiLevelType w:val="multilevel"/>
    <w:tmpl w:val="6FD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722E2"/>
    <w:multiLevelType w:val="multilevel"/>
    <w:tmpl w:val="D2E6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86C17"/>
    <w:multiLevelType w:val="multilevel"/>
    <w:tmpl w:val="042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100A3"/>
    <w:multiLevelType w:val="multilevel"/>
    <w:tmpl w:val="11F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97B7F"/>
    <w:multiLevelType w:val="multilevel"/>
    <w:tmpl w:val="02F8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F5C4C"/>
    <w:multiLevelType w:val="multilevel"/>
    <w:tmpl w:val="0F8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F432A"/>
    <w:multiLevelType w:val="multilevel"/>
    <w:tmpl w:val="C78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74FAE"/>
    <w:multiLevelType w:val="multilevel"/>
    <w:tmpl w:val="252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A6EE7"/>
    <w:multiLevelType w:val="multilevel"/>
    <w:tmpl w:val="B50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D746A"/>
    <w:multiLevelType w:val="multilevel"/>
    <w:tmpl w:val="BC5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793398">
    <w:abstractNumId w:val="6"/>
  </w:num>
  <w:num w:numId="2" w16cid:durableId="1340936016">
    <w:abstractNumId w:val="4"/>
  </w:num>
  <w:num w:numId="3" w16cid:durableId="702369124">
    <w:abstractNumId w:val="2"/>
  </w:num>
  <w:num w:numId="4" w16cid:durableId="1296523119">
    <w:abstractNumId w:val="0"/>
  </w:num>
  <w:num w:numId="5" w16cid:durableId="856699594">
    <w:abstractNumId w:val="1"/>
  </w:num>
  <w:num w:numId="6" w16cid:durableId="1440560184">
    <w:abstractNumId w:val="5"/>
  </w:num>
  <w:num w:numId="7" w16cid:durableId="1595749699">
    <w:abstractNumId w:val="7"/>
  </w:num>
  <w:num w:numId="8" w16cid:durableId="2118983599">
    <w:abstractNumId w:val="3"/>
  </w:num>
  <w:num w:numId="9" w16cid:durableId="1092974800">
    <w:abstractNumId w:val="9"/>
  </w:num>
  <w:num w:numId="10" w16cid:durableId="146905703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68"/>
    <w:rsid w:val="0001264D"/>
    <w:rsid w:val="002423C2"/>
    <w:rsid w:val="003704A9"/>
    <w:rsid w:val="00484BF5"/>
    <w:rsid w:val="00603E50"/>
    <w:rsid w:val="00C63B68"/>
    <w:rsid w:val="00F07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3844"/>
  <w15:chartTrackingRefBased/>
  <w15:docId w15:val="{FA3CE71A-1FF1-DD4A-85CD-12C33CF2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4BF5"/>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C63B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3B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3B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3B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3B68"/>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C63B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3B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3B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3B6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3B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3B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3B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3B68"/>
    <w:rPr>
      <w:rFonts w:cstheme="majorBidi"/>
      <w:color w:val="0F4761" w:themeColor="accent1" w:themeShade="BF"/>
      <w:sz w:val="28"/>
      <w:szCs w:val="28"/>
    </w:rPr>
  </w:style>
  <w:style w:type="character" w:customStyle="1" w:styleId="50">
    <w:name w:val="标题 5 字符"/>
    <w:basedOn w:val="a0"/>
    <w:link w:val="5"/>
    <w:uiPriority w:val="9"/>
    <w:semiHidden/>
    <w:rsid w:val="00C63B68"/>
    <w:rPr>
      <w:rFonts w:cstheme="majorBidi"/>
      <w:color w:val="0F4761" w:themeColor="accent1" w:themeShade="BF"/>
      <w:sz w:val="24"/>
    </w:rPr>
  </w:style>
  <w:style w:type="character" w:customStyle="1" w:styleId="60">
    <w:name w:val="标题 6 字符"/>
    <w:basedOn w:val="a0"/>
    <w:link w:val="6"/>
    <w:uiPriority w:val="9"/>
    <w:semiHidden/>
    <w:rsid w:val="00C63B68"/>
    <w:rPr>
      <w:rFonts w:cstheme="majorBidi"/>
      <w:b/>
      <w:bCs/>
      <w:color w:val="0F4761" w:themeColor="accent1" w:themeShade="BF"/>
    </w:rPr>
  </w:style>
  <w:style w:type="character" w:customStyle="1" w:styleId="70">
    <w:name w:val="标题 7 字符"/>
    <w:basedOn w:val="a0"/>
    <w:link w:val="7"/>
    <w:uiPriority w:val="9"/>
    <w:semiHidden/>
    <w:rsid w:val="00C63B68"/>
    <w:rPr>
      <w:rFonts w:cstheme="majorBidi"/>
      <w:b/>
      <w:bCs/>
      <w:color w:val="595959" w:themeColor="text1" w:themeTint="A6"/>
    </w:rPr>
  </w:style>
  <w:style w:type="character" w:customStyle="1" w:styleId="80">
    <w:name w:val="标题 8 字符"/>
    <w:basedOn w:val="a0"/>
    <w:link w:val="8"/>
    <w:uiPriority w:val="9"/>
    <w:semiHidden/>
    <w:rsid w:val="00C63B68"/>
    <w:rPr>
      <w:rFonts w:cstheme="majorBidi"/>
      <w:color w:val="595959" w:themeColor="text1" w:themeTint="A6"/>
    </w:rPr>
  </w:style>
  <w:style w:type="character" w:customStyle="1" w:styleId="90">
    <w:name w:val="标题 9 字符"/>
    <w:basedOn w:val="a0"/>
    <w:link w:val="9"/>
    <w:uiPriority w:val="9"/>
    <w:semiHidden/>
    <w:rsid w:val="00C63B68"/>
    <w:rPr>
      <w:rFonts w:eastAsiaTheme="majorEastAsia" w:cstheme="majorBidi"/>
      <w:color w:val="595959" w:themeColor="text1" w:themeTint="A6"/>
    </w:rPr>
  </w:style>
  <w:style w:type="paragraph" w:styleId="a3">
    <w:name w:val="Title"/>
    <w:basedOn w:val="a"/>
    <w:next w:val="a"/>
    <w:link w:val="a4"/>
    <w:uiPriority w:val="10"/>
    <w:qFormat/>
    <w:rsid w:val="00C63B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3B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B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3B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B68"/>
    <w:pPr>
      <w:spacing w:before="160"/>
      <w:jc w:val="center"/>
    </w:pPr>
    <w:rPr>
      <w:i/>
      <w:iCs/>
      <w:color w:val="404040" w:themeColor="text1" w:themeTint="BF"/>
    </w:rPr>
  </w:style>
  <w:style w:type="character" w:customStyle="1" w:styleId="a8">
    <w:name w:val="引用 字符"/>
    <w:basedOn w:val="a0"/>
    <w:link w:val="a7"/>
    <w:uiPriority w:val="29"/>
    <w:rsid w:val="00C63B68"/>
    <w:rPr>
      <w:i/>
      <w:iCs/>
      <w:color w:val="404040" w:themeColor="text1" w:themeTint="BF"/>
    </w:rPr>
  </w:style>
  <w:style w:type="paragraph" w:styleId="a9">
    <w:name w:val="List Paragraph"/>
    <w:basedOn w:val="a"/>
    <w:uiPriority w:val="34"/>
    <w:qFormat/>
    <w:rsid w:val="00C63B68"/>
    <w:pPr>
      <w:ind w:left="720"/>
      <w:contextualSpacing/>
    </w:pPr>
  </w:style>
  <w:style w:type="character" w:styleId="aa">
    <w:name w:val="Intense Emphasis"/>
    <w:basedOn w:val="a0"/>
    <w:uiPriority w:val="21"/>
    <w:qFormat/>
    <w:rsid w:val="00C63B68"/>
    <w:rPr>
      <w:i/>
      <w:iCs/>
      <w:color w:val="0F4761" w:themeColor="accent1" w:themeShade="BF"/>
    </w:rPr>
  </w:style>
  <w:style w:type="paragraph" w:styleId="ab">
    <w:name w:val="Intense Quote"/>
    <w:basedOn w:val="a"/>
    <w:next w:val="a"/>
    <w:link w:val="ac"/>
    <w:uiPriority w:val="30"/>
    <w:qFormat/>
    <w:rsid w:val="00C63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3B68"/>
    <w:rPr>
      <w:i/>
      <w:iCs/>
      <w:color w:val="0F4761" w:themeColor="accent1" w:themeShade="BF"/>
    </w:rPr>
  </w:style>
  <w:style w:type="character" w:styleId="ad">
    <w:name w:val="Intense Reference"/>
    <w:basedOn w:val="a0"/>
    <w:uiPriority w:val="32"/>
    <w:qFormat/>
    <w:rsid w:val="00C63B68"/>
    <w:rPr>
      <w:b/>
      <w:bCs/>
      <w:smallCaps/>
      <w:color w:val="0F4761" w:themeColor="accent1" w:themeShade="BF"/>
      <w:spacing w:val="5"/>
    </w:rPr>
  </w:style>
  <w:style w:type="character" w:customStyle="1" w:styleId="apple-converted-space">
    <w:name w:val="apple-converted-space"/>
    <w:basedOn w:val="a0"/>
    <w:rsid w:val="00F070BF"/>
  </w:style>
  <w:style w:type="paragraph" w:styleId="ae">
    <w:name w:val="Normal (Web)"/>
    <w:basedOn w:val="a"/>
    <w:uiPriority w:val="99"/>
    <w:semiHidden/>
    <w:unhideWhenUsed/>
    <w:rsid w:val="00F070BF"/>
    <w:pPr>
      <w:spacing w:before="100" w:beforeAutospacing="1" w:after="100" w:afterAutospacing="1"/>
    </w:pPr>
  </w:style>
  <w:style w:type="character" w:customStyle="1" w:styleId="citation-173">
    <w:name w:val="citation-173"/>
    <w:basedOn w:val="a0"/>
    <w:rsid w:val="0001264D"/>
  </w:style>
  <w:style w:type="character" w:customStyle="1" w:styleId="source-title">
    <w:name w:val="source-title"/>
    <w:basedOn w:val="a0"/>
    <w:rsid w:val="0001264D"/>
  </w:style>
  <w:style w:type="character" w:customStyle="1" w:styleId="citation-172">
    <w:name w:val="citation-172"/>
    <w:basedOn w:val="a0"/>
    <w:rsid w:val="0001264D"/>
  </w:style>
  <w:style w:type="character" w:customStyle="1" w:styleId="citation-171">
    <w:name w:val="citation-171"/>
    <w:basedOn w:val="a0"/>
    <w:rsid w:val="0001264D"/>
  </w:style>
  <w:style w:type="character" w:customStyle="1" w:styleId="citation-170">
    <w:name w:val="citation-170"/>
    <w:basedOn w:val="a0"/>
    <w:rsid w:val="0001264D"/>
  </w:style>
  <w:style w:type="character" w:customStyle="1" w:styleId="source-count">
    <w:name w:val="source-count"/>
    <w:basedOn w:val="a0"/>
    <w:rsid w:val="0001264D"/>
  </w:style>
  <w:style w:type="character" w:customStyle="1" w:styleId="citation-169">
    <w:name w:val="citation-169"/>
    <w:basedOn w:val="a0"/>
    <w:rsid w:val="0001264D"/>
  </w:style>
  <w:style w:type="character" w:customStyle="1" w:styleId="citation-168">
    <w:name w:val="citation-168"/>
    <w:basedOn w:val="a0"/>
    <w:rsid w:val="0001264D"/>
  </w:style>
  <w:style w:type="character" w:customStyle="1" w:styleId="citation-167">
    <w:name w:val="citation-167"/>
    <w:basedOn w:val="a0"/>
    <w:rsid w:val="0001264D"/>
  </w:style>
  <w:style w:type="character" w:customStyle="1" w:styleId="citation-166">
    <w:name w:val="citation-166"/>
    <w:basedOn w:val="a0"/>
    <w:rsid w:val="0001264D"/>
  </w:style>
  <w:style w:type="character" w:customStyle="1" w:styleId="citation-165">
    <w:name w:val="citation-165"/>
    <w:basedOn w:val="a0"/>
    <w:rsid w:val="0001264D"/>
  </w:style>
  <w:style w:type="character" w:customStyle="1" w:styleId="citation-164">
    <w:name w:val="citation-164"/>
    <w:basedOn w:val="a0"/>
    <w:rsid w:val="0001264D"/>
  </w:style>
  <w:style w:type="character" w:customStyle="1" w:styleId="citation-163">
    <w:name w:val="citation-163"/>
    <w:basedOn w:val="a0"/>
    <w:rsid w:val="0001264D"/>
  </w:style>
  <w:style w:type="character" w:customStyle="1" w:styleId="citation-109">
    <w:name w:val="citation-109"/>
    <w:basedOn w:val="a0"/>
    <w:rsid w:val="00484BF5"/>
  </w:style>
  <w:style w:type="character" w:customStyle="1" w:styleId="citation-108">
    <w:name w:val="citation-108"/>
    <w:basedOn w:val="a0"/>
    <w:rsid w:val="00484BF5"/>
  </w:style>
  <w:style w:type="character" w:customStyle="1" w:styleId="citation-107">
    <w:name w:val="citation-107"/>
    <w:basedOn w:val="a0"/>
    <w:rsid w:val="00484BF5"/>
  </w:style>
  <w:style w:type="character" w:customStyle="1" w:styleId="citation-106">
    <w:name w:val="citation-106"/>
    <w:basedOn w:val="a0"/>
    <w:rsid w:val="00484BF5"/>
  </w:style>
  <w:style w:type="character" w:customStyle="1" w:styleId="citation-105">
    <w:name w:val="citation-105"/>
    <w:basedOn w:val="a0"/>
    <w:rsid w:val="00484BF5"/>
  </w:style>
  <w:style w:type="character" w:customStyle="1" w:styleId="citation-104">
    <w:name w:val="citation-104"/>
    <w:basedOn w:val="a0"/>
    <w:rsid w:val="00484BF5"/>
  </w:style>
  <w:style w:type="character" w:customStyle="1" w:styleId="citation-103">
    <w:name w:val="citation-103"/>
    <w:basedOn w:val="a0"/>
    <w:rsid w:val="00484BF5"/>
  </w:style>
  <w:style w:type="character" w:customStyle="1" w:styleId="citation-102">
    <w:name w:val="citation-102"/>
    <w:basedOn w:val="a0"/>
    <w:rsid w:val="00484BF5"/>
  </w:style>
  <w:style w:type="character" w:customStyle="1" w:styleId="citation-101">
    <w:name w:val="citation-101"/>
    <w:basedOn w:val="a0"/>
    <w:rsid w:val="00484BF5"/>
  </w:style>
  <w:style w:type="character" w:customStyle="1" w:styleId="citation-100">
    <w:name w:val="citation-100"/>
    <w:basedOn w:val="a0"/>
    <w:rsid w:val="00484BF5"/>
  </w:style>
  <w:style w:type="character" w:customStyle="1" w:styleId="citation-99">
    <w:name w:val="citation-99"/>
    <w:basedOn w:val="a0"/>
    <w:rsid w:val="00484BF5"/>
  </w:style>
  <w:style w:type="character" w:customStyle="1" w:styleId="citation-98">
    <w:name w:val="citation-98"/>
    <w:basedOn w:val="a0"/>
    <w:rsid w:val="00484BF5"/>
  </w:style>
  <w:style w:type="character" w:customStyle="1" w:styleId="citation-97">
    <w:name w:val="citation-97"/>
    <w:basedOn w:val="a0"/>
    <w:rsid w:val="00484BF5"/>
  </w:style>
  <w:style w:type="character" w:customStyle="1" w:styleId="citation-96">
    <w:name w:val="citation-96"/>
    <w:basedOn w:val="a0"/>
    <w:rsid w:val="00484BF5"/>
  </w:style>
  <w:style w:type="character" w:customStyle="1" w:styleId="citation-95">
    <w:name w:val="citation-95"/>
    <w:basedOn w:val="a0"/>
    <w:rsid w:val="00484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1785</Words>
  <Characters>10177</Characters>
  <Application>Microsoft Office Word</Application>
  <DocSecurity>0</DocSecurity>
  <Lines>84</Lines>
  <Paragraphs>23</Paragraphs>
  <ScaleCrop>false</ScaleCrop>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a14026</dc:creator>
  <cp:keywords/>
  <dc:description/>
  <cp:lastModifiedBy>a14026</cp:lastModifiedBy>
  <cp:revision>1</cp:revision>
  <dcterms:created xsi:type="dcterms:W3CDTF">2026-06-27T11:51:00Z</dcterms:created>
  <dcterms:modified xsi:type="dcterms:W3CDTF">2026-06-30T09:17:00Z</dcterms:modified>
</cp:coreProperties>
</file>