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F9010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文件编号：HQ/QP-19</w:t>
      </w:r>
    </w:p>
    <w:p w14:paraId="372DC132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5B1D4542">
      <w:pPr>
        <w:rPr>
          <w:rFonts w:hint="eastAsia" w:ascii="宋体" w:hAnsi="宋体"/>
        </w:rPr>
      </w:pPr>
    </w:p>
    <w:p w14:paraId="25EEFAC9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2383AD06">
      <w:pPr>
        <w:jc w:val="center"/>
        <w:rPr>
          <w:rFonts w:hint="eastAsia"/>
        </w:rPr>
      </w:pPr>
    </w:p>
    <w:p w14:paraId="2826192E">
      <w:pPr>
        <w:jc w:val="center"/>
        <w:rPr>
          <w:rFonts w:hint="eastAsia" w:ascii="宋体" w:hAnsi="宋体"/>
        </w:rPr>
      </w:pPr>
    </w:p>
    <w:p w14:paraId="401E5BA2">
      <w:pPr>
        <w:jc w:val="center"/>
        <w:rPr>
          <w:rFonts w:hint="eastAsia" w:ascii="宋体" w:hAnsi="宋体"/>
        </w:rPr>
      </w:pPr>
    </w:p>
    <w:p w14:paraId="47525464">
      <w:pPr>
        <w:rPr>
          <w:rFonts w:hint="eastAsia" w:ascii="宋体" w:hAnsi="宋体"/>
        </w:rPr>
      </w:pPr>
    </w:p>
    <w:p w14:paraId="6D4EC541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产品风险评估管理程序</w:t>
      </w:r>
    </w:p>
    <w:tbl>
      <w:tblPr>
        <w:tblStyle w:val="1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2B473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5B302F4E">
            <w:pPr>
              <w:pStyle w:val="8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1330C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5F7F063A">
            <w:pPr>
              <w:rPr>
                <w:rFonts w:hint="eastAsia" w:ascii="宋体" w:hAnsi="宋体"/>
              </w:rPr>
            </w:pPr>
          </w:p>
        </w:tc>
      </w:tr>
    </w:tbl>
    <w:p w14:paraId="43938661">
      <w:pPr>
        <w:rPr>
          <w:rFonts w:hint="eastAsia" w:ascii="宋体" w:hAnsi="宋体"/>
        </w:rPr>
      </w:pPr>
    </w:p>
    <w:p w14:paraId="01020AB2">
      <w:pPr>
        <w:rPr>
          <w:rFonts w:hint="eastAsia" w:ascii="宋体" w:hAnsi="宋体"/>
        </w:rPr>
      </w:pPr>
    </w:p>
    <w:p w14:paraId="04B8DEA3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3949E3B2">
      <w:pPr>
        <w:rPr>
          <w:rFonts w:hint="eastAsia" w:ascii="宋体" w:hAnsi="宋体"/>
        </w:rPr>
      </w:pP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309A0A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37A6092D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2FB93068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49321D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237BBB12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62647B92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4B97A1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2B483AF1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708783BA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3AAA07E1">
      <w:pPr>
        <w:rPr>
          <w:rFonts w:hint="eastAsia" w:ascii="宋体" w:hAnsi="宋体"/>
        </w:rPr>
      </w:pPr>
    </w:p>
    <w:p w14:paraId="74EB3426">
      <w:pPr>
        <w:rPr>
          <w:rFonts w:hint="eastAsia" w:ascii="宋体" w:hAnsi="宋体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65A6F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0E4B9784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32DBD5E7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0E3E2C85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4A492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2F3521C2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7FFA2F5F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076515E6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778ED4D5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7850D9F2">
      <w:pPr>
        <w:rPr>
          <w:rFonts w:hint="eastAsia" w:ascii="宋体" w:hAnsi="宋体"/>
          <w:sz w:val="24"/>
        </w:rPr>
      </w:pP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7C921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2CE394DA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1B692735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772C43D8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0592590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4FACE24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51DAF2A5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17647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0FB344FE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5B5ED04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220B20EE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1599081E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05203EE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52546E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337C2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64FF5C8B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43349F32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3DC920BE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3967D58E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5E30258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B529CE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0B9D7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3480A0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3DD95D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2BC5F2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A947ACC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833256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83B0BE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1E5A3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76861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95C05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FCC5D7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4519E9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7C5599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AF2C72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FB77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5FFABE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CE6283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A4044D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402C38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452711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9ECBB3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B4A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E00176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0C469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0EA307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FC1950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820A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29DDC8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EEF8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0E7D22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A1E02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4CC03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8221FA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509EF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EC2674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E328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FDA72A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4DB20E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B0118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14D1E8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3F94DC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FB958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F6A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87F96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FEE10A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8BD49A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A2608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16A5BA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DF4F47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987E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2B49E5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6C1380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FF837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24CBC6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92F623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980D0F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CF49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D1DC36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3F3C54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4B2F8A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E0D557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24AE1C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1224D7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2505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A77EF5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C14A78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8D1216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4C4D66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63F78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24DF78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1458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A536FF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4FDA66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2D163B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764D95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2578BB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240426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4D93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DD77EE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0A9CD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95E652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E53792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46682C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625063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F724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4C3EA7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13F11B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8EACF3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7F17A7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6057FC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5612C0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EB5E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B2ACBF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049A13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CEFA9C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8ABD2D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7A0598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4C277D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CAD7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3931F8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31A4BE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D153CA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B09BBD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4362ED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546A0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44BE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90387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A6CAA9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23B955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6712AB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D01F88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FEED43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96C8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B5A01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BF8263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6313D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2A656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4A371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BCA5B7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61FA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CD69D4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864C4D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8F49A3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80D186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53DC49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A1434D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058544FE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0AB10160">
      <w:pPr>
        <w:spacing w:line="3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1  目的</w:t>
      </w:r>
    </w:p>
    <w:p w14:paraId="6442AD3A">
      <w:pPr>
        <w:pStyle w:val="5"/>
        <w:spacing w:line="3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为了减少产品在开发、生产制作、检验、及交付等过程所产生的风险，从而为保证产品质量能符合客户特制定要求该程序。</w:t>
      </w:r>
    </w:p>
    <w:p w14:paraId="41D4C9DB">
      <w:pPr>
        <w:spacing w:line="300" w:lineRule="exact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24"/>
        </w:rPr>
        <w:t>2  适用范围</w:t>
      </w:r>
    </w:p>
    <w:p w14:paraId="5813DF72">
      <w:pPr>
        <w:spacing w:line="300" w:lineRule="exact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24"/>
        </w:rPr>
        <w:t xml:space="preserve">     本公司所有生产的制作过程。</w:t>
      </w:r>
    </w:p>
    <w:p w14:paraId="6974256B">
      <w:pPr>
        <w:spacing w:line="300" w:lineRule="exact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sz w:val="24"/>
        </w:rPr>
        <w:t>3</w:t>
      </w:r>
      <w:r>
        <w:rPr>
          <w:rFonts w:hint="eastAsia" w:ascii="仿宋_GB2312" w:eastAsia="仿宋_GB2312"/>
          <w:bCs/>
          <w:sz w:val="24"/>
        </w:rPr>
        <w:t xml:space="preserve">  职责</w:t>
      </w:r>
    </w:p>
    <w:p w14:paraId="4CD764FA">
      <w:pPr>
        <w:spacing w:line="300" w:lineRule="exact"/>
        <w:ind w:left="1078" w:leftChars="228" w:hanging="600" w:hangingChars="2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3.1  文控负责质量管理体系文件的发放、回收、销毁，负责文件的保管与存档及作好相关的记录。</w:t>
      </w:r>
    </w:p>
    <w:p w14:paraId="3310C128">
      <w:pPr>
        <w:spacing w:line="3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3.2  工程部PIE组负责产品生产流程、工艺及生产设施的评估。</w:t>
      </w:r>
    </w:p>
    <w:p w14:paraId="7D73F3F0">
      <w:pPr>
        <w:spacing w:line="3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3.3  品质部负责产品质量标准及风险评估控制程序的制定。</w:t>
      </w:r>
    </w:p>
    <w:p w14:paraId="2F66416F">
      <w:pPr>
        <w:spacing w:line="3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3.4  管理者代表负责质量手册和产品风险评估控制程序文件的审核。</w:t>
      </w:r>
    </w:p>
    <w:p w14:paraId="79D38D81">
      <w:pPr>
        <w:spacing w:line="300" w:lineRule="exact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24"/>
        </w:rPr>
        <w:t xml:space="preserve">4  </w:t>
      </w:r>
      <w:r>
        <w:rPr>
          <w:rFonts w:hint="eastAsia" w:ascii="仿宋_GB2312" w:eastAsia="仿宋_GB2312"/>
          <w:sz w:val="24"/>
        </w:rPr>
        <w:t>内容</w:t>
      </w:r>
    </w:p>
    <w:p w14:paraId="6CB5646B">
      <w:pPr>
        <w:spacing w:line="300" w:lineRule="exact"/>
        <w:ind w:left="959" w:leftChars="171" w:hanging="600" w:hangingChars="250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24"/>
        </w:rPr>
        <w:t>4.1  对加工过程的每一步骤（从流程图开始）进行危害分析，确定是何种危害，找出危害来料及预防措施，确定是否有关键控制点。</w:t>
      </w:r>
    </w:p>
    <w:p w14:paraId="7808D2B3">
      <w:pPr>
        <w:spacing w:line="320" w:lineRule="exact"/>
        <w:ind w:firstLine="360" w:firstLineChars="1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bCs/>
          <w:sz w:val="24"/>
        </w:rPr>
        <w:t>4.2 建立风险评估表，进行危害分析记录方式有多种，可以由风险评估小组讨论分析危害后记录备案。可以通过填写这份表单，确定关键控制点。</w:t>
      </w:r>
    </w:p>
    <w:tbl>
      <w:tblPr>
        <w:tblStyle w:val="16"/>
        <w:tblW w:w="10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980"/>
        <w:gridCol w:w="1260"/>
        <w:gridCol w:w="1800"/>
        <w:gridCol w:w="3420"/>
        <w:gridCol w:w="1348"/>
      </w:tblGrid>
      <w:tr w14:paraId="60D60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87" w:type="dxa"/>
            <w:noWrap w:val="0"/>
            <w:vAlign w:val="center"/>
          </w:tcPr>
          <w:p w14:paraId="251B317B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1</w:t>
            </w:r>
          </w:p>
        </w:tc>
        <w:tc>
          <w:tcPr>
            <w:tcW w:w="1980" w:type="dxa"/>
            <w:noWrap w:val="0"/>
            <w:vAlign w:val="center"/>
          </w:tcPr>
          <w:p w14:paraId="0E6745F7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 w14:paraId="5B3E724E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 w14:paraId="4BE5616A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4</w:t>
            </w:r>
          </w:p>
        </w:tc>
        <w:tc>
          <w:tcPr>
            <w:tcW w:w="3420" w:type="dxa"/>
            <w:noWrap w:val="0"/>
            <w:vAlign w:val="center"/>
          </w:tcPr>
          <w:p w14:paraId="25746858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5</w:t>
            </w:r>
          </w:p>
        </w:tc>
        <w:tc>
          <w:tcPr>
            <w:tcW w:w="1348" w:type="dxa"/>
            <w:noWrap w:val="0"/>
            <w:vAlign w:val="center"/>
          </w:tcPr>
          <w:p w14:paraId="00CFAD8C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6</w:t>
            </w:r>
          </w:p>
        </w:tc>
      </w:tr>
      <w:tr w14:paraId="4C5DF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50" w:hRule="atLeast"/>
        </w:trPr>
        <w:tc>
          <w:tcPr>
            <w:tcW w:w="687" w:type="dxa"/>
            <w:noWrap w:val="0"/>
            <w:vAlign w:val="center"/>
          </w:tcPr>
          <w:p w14:paraId="55492967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加</w:t>
            </w:r>
          </w:p>
          <w:p w14:paraId="28AD5702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工</w:t>
            </w:r>
          </w:p>
          <w:p w14:paraId="29A27FB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工</w:t>
            </w:r>
          </w:p>
          <w:p w14:paraId="4EC8388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序</w:t>
            </w:r>
          </w:p>
        </w:tc>
        <w:tc>
          <w:tcPr>
            <w:tcW w:w="1980" w:type="dxa"/>
            <w:noWrap w:val="0"/>
            <w:vAlign w:val="center"/>
          </w:tcPr>
          <w:p w14:paraId="4B781D7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识别本工序被引入的受控或增加的潜在危害</w:t>
            </w:r>
          </w:p>
        </w:tc>
        <w:tc>
          <w:tcPr>
            <w:tcW w:w="1260" w:type="dxa"/>
            <w:noWrap w:val="0"/>
            <w:vAlign w:val="center"/>
          </w:tcPr>
          <w:p w14:paraId="33F7FE6E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潜在的危害是否显著（是/否）</w:t>
            </w:r>
          </w:p>
        </w:tc>
        <w:tc>
          <w:tcPr>
            <w:tcW w:w="1800" w:type="dxa"/>
            <w:noWrap w:val="0"/>
            <w:vAlign w:val="center"/>
          </w:tcPr>
          <w:p w14:paraId="65FBAE24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对第3栏的判定依据</w:t>
            </w:r>
          </w:p>
        </w:tc>
        <w:tc>
          <w:tcPr>
            <w:tcW w:w="3420" w:type="dxa"/>
            <w:noWrap w:val="0"/>
            <w:vAlign w:val="center"/>
          </w:tcPr>
          <w:p w14:paraId="2A3AD84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防止显著危害的预防措施</w:t>
            </w:r>
          </w:p>
        </w:tc>
        <w:tc>
          <w:tcPr>
            <w:tcW w:w="1348" w:type="dxa"/>
            <w:noWrap w:val="0"/>
            <w:vAlign w:val="center"/>
          </w:tcPr>
          <w:p w14:paraId="55CF7F9C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该步骤是关键控制点（是/否）</w:t>
            </w:r>
          </w:p>
        </w:tc>
      </w:tr>
      <w:tr w14:paraId="15C57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2" w:hRule="atLeast"/>
        </w:trPr>
        <w:tc>
          <w:tcPr>
            <w:tcW w:w="687" w:type="dxa"/>
            <w:vMerge w:val="restart"/>
            <w:noWrap w:val="0"/>
            <w:vAlign w:val="center"/>
          </w:tcPr>
          <w:p w14:paraId="40C713DB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原</w:t>
            </w:r>
          </w:p>
          <w:p w14:paraId="6C5B82D5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材</w:t>
            </w:r>
          </w:p>
          <w:p w14:paraId="3F5ABD35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料</w:t>
            </w:r>
          </w:p>
          <w:p w14:paraId="7F55E7A2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检</w:t>
            </w:r>
          </w:p>
          <w:p w14:paraId="7FC2506A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验</w:t>
            </w:r>
          </w:p>
        </w:tc>
        <w:tc>
          <w:tcPr>
            <w:tcW w:w="1980" w:type="dxa"/>
            <w:noWrap w:val="0"/>
            <w:vAlign w:val="center"/>
          </w:tcPr>
          <w:p w14:paraId="5F9C0CD0">
            <w:pPr>
              <w:spacing w:after="160" w:line="220" w:lineRule="exact"/>
              <w:rPr>
                <w:rFonts w:hint="eastAsia" w:ascii="仿宋_GB2312" w:hAnsi="Verdana" w:eastAsia="仿宋_GB2312"/>
                <w:sz w:val="18"/>
                <w:szCs w:val="21"/>
              </w:rPr>
            </w:pPr>
            <w:r>
              <w:rPr>
                <w:rFonts w:hint="eastAsia" w:ascii="仿宋_GB2312" w:hAnsi="Verdana" w:eastAsia="仿宋_GB2312"/>
                <w:sz w:val="18"/>
                <w:szCs w:val="21"/>
              </w:rPr>
              <w:t>生物危害 致病性微生物、虫蚁</w:t>
            </w:r>
          </w:p>
        </w:tc>
        <w:tc>
          <w:tcPr>
            <w:tcW w:w="1260" w:type="dxa"/>
            <w:noWrap w:val="0"/>
            <w:vAlign w:val="center"/>
          </w:tcPr>
          <w:p w14:paraId="4502CCD6">
            <w:pPr>
              <w:spacing w:after="160" w:line="220" w:lineRule="exact"/>
              <w:rPr>
                <w:rFonts w:hint="eastAsia" w:ascii="仿宋_GB2312" w:hAnsi="Verdana" w:eastAsia="仿宋_GB2312"/>
                <w:sz w:val="18"/>
                <w:szCs w:val="21"/>
              </w:rPr>
            </w:pPr>
            <w:r>
              <w:rPr>
                <w:rFonts w:hint="eastAsia" w:ascii="仿宋_GB2312" w:hAnsi="Verdana" w:eastAsia="仿宋_GB2312"/>
                <w:sz w:val="18"/>
                <w:szCs w:val="21"/>
              </w:rPr>
              <w:t>是</w:t>
            </w:r>
          </w:p>
        </w:tc>
        <w:tc>
          <w:tcPr>
            <w:tcW w:w="1800" w:type="dxa"/>
            <w:noWrap w:val="0"/>
            <w:vAlign w:val="center"/>
          </w:tcPr>
          <w:p w14:paraId="32E6E825">
            <w:pPr>
              <w:spacing w:after="160" w:line="220" w:lineRule="exact"/>
              <w:rPr>
                <w:rFonts w:hint="eastAsia" w:ascii="仿宋_GB2312" w:hAnsi="Verdana" w:eastAsia="仿宋_GB2312"/>
                <w:sz w:val="18"/>
                <w:szCs w:val="21"/>
              </w:rPr>
            </w:pPr>
            <w:r>
              <w:rPr>
                <w:rFonts w:hint="eastAsia" w:ascii="仿宋_GB2312" w:hAnsi="Verdana" w:eastAsia="仿宋_GB2312"/>
                <w:sz w:val="18"/>
                <w:szCs w:val="21"/>
              </w:rPr>
              <w:t>来料发现有兽残、虫蚁</w:t>
            </w:r>
          </w:p>
        </w:tc>
        <w:tc>
          <w:tcPr>
            <w:tcW w:w="3420" w:type="dxa"/>
            <w:noWrap w:val="0"/>
            <w:vAlign w:val="center"/>
          </w:tcPr>
          <w:p w14:paraId="725034D4">
            <w:pPr>
              <w:spacing w:after="160" w:line="220" w:lineRule="exact"/>
              <w:rPr>
                <w:rFonts w:hint="eastAsia" w:ascii="仿宋_GB2312" w:hAnsi="Verdana" w:eastAsia="仿宋_GB2312"/>
                <w:sz w:val="18"/>
                <w:szCs w:val="21"/>
              </w:rPr>
            </w:pPr>
            <w:r>
              <w:rPr>
                <w:rFonts w:hint="eastAsia" w:ascii="仿宋_GB2312" w:hAnsi="Verdana" w:eastAsia="仿宋_GB2312"/>
                <w:sz w:val="18"/>
                <w:szCs w:val="21"/>
              </w:rPr>
              <w:t>1.检查是否在合格供应商名录中；</w:t>
            </w:r>
          </w:p>
          <w:p w14:paraId="65AAA69D">
            <w:pPr>
              <w:spacing w:after="160" w:line="220" w:lineRule="exact"/>
              <w:rPr>
                <w:rFonts w:hint="eastAsia" w:ascii="仿宋_GB2312" w:hAnsi="Verdana" w:eastAsia="仿宋_GB2312"/>
                <w:sz w:val="18"/>
                <w:szCs w:val="21"/>
              </w:rPr>
            </w:pPr>
            <w:r>
              <w:rPr>
                <w:rFonts w:hint="eastAsia" w:ascii="仿宋_GB2312" w:hAnsi="Verdana" w:eastAsia="仿宋_GB2312"/>
                <w:sz w:val="18"/>
                <w:szCs w:val="21"/>
              </w:rPr>
              <w:t>2.检查有无相关供应商产品检疫各证书</w:t>
            </w:r>
          </w:p>
        </w:tc>
        <w:tc>
          <w:tcPr>
            <w:tcW w:w="1348" w:type="dxa"/>
            <w:noWrap w:val="0"/>
            <w:vAlign w:val="center"/>
          </w:tcPr>
          <w:p w14:paraId="68B04E5A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是</w:t>
            </w:r>
          </w:p>
        </w:tc>
      </w:tr>
      <w:tr w14:paraId="78ADF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87" w:type="dxa"/>
            <w:vMerge w:val="continue"/>
            <w:noWrap w:val="0"/>
            <w:vAlign w:val="center"/>
          </w:tcPr>
          <w:p w14:paraId="56CC8A18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 w14:paraId="78A1D13F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化学危险、重金属、清洁剂</w:t>
            </w:r>
          </w:p>
        </w:tc>
        <w:tc>
          <w:tcPr>
            <w:tcW w:w="1260" w:type="dxa"/>
            <w:noWrap w:val="0"/>
            <w:vAlign w:val="center"/>
          </w:tcPr>
          <w:p w14:paraId="1B104722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是</w:t>
            </w:r>
          </w:p>
        </w:tc>
        <w:tc>
          <w:tcPr>
            <w:tcW w:w="1800" w:type="dxa"/>
            <w:noWrap w:val="0"/>
            <w:vAlign w:val="center"/>
          </w:tcPr>
          <w:p w14:paraId="1E2E2DBA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对眼、鼻有刺激性</w:t>
            </w:r>
          </w:p>
        </w:tc>
        <w:tc>
          <w:tcPr>
            <w:tcW w:w="3420" w:type="dxa"/>
            <w:noWrap w:val="0"/>
            <w:vAlign w:val="center"/>
          </w:tcPr>
          <w:p w14:paraId="035ACB57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1.检查是否在合格供应商名录中。2.检查有无相关供应商产品合格证书与检验报告。</w:t>
            </w:r>
          </w:p>
        </w:tc>
        <w:tc>
          <w:tcPr>
            <w:tcW w:w="1348" w:type="dxa"/>
            <w:noWrap w:val="0"/>
            <w:vAlign w:val="center"/>
          </w:tcPr>
          <w:p w14:paraId="576934ED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是</w:t>
            </w:r>
          </w:p>
        </w:tc>
      </w:tr>
      <w:tr w14:paraId="7FD4A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87" w:type="dxa"/>
            <w:vMerge w:val="continue"/>
            <w:noWrap w:val="0"/>
            <w:vAlign w:val="center"/>
          </w:tcPr>
          <w:p w14:paraId="7FC28AF0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 w14:paraId="10428763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物理危害 无</w:t>
            </w:r>
          </w:p>
        </w:tc>
        <w:tc>
          <w:tcPr>
            <w:tcW w:w="1260" w:type="dxa"/>
            <w:noWrap w:val="0"/>
            <w:vAlign w:val="center"/>
          </w:tcPr>
          <w:p w14:paraId="655DA40D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否</w:t>
            </w:r>
          </w:p>
        </w:tc>
        <w:tc>
          <w:tcPr>
            <w:tcW w:w="1800" w:type="dxa"/>
            <w:noWrap w:val="0"/>
            <w:vAlign w:val="center"/>
          </w:tcPr>
          <w:p w14:paraId="1D847CBA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/</w:t>
            </w:r>
          </w:p>
        </w:tc>
        <w:tc>
          <w:tcPr>
            <w:tcW w:w="3420" w:type="dxa"/>
            <w:noWrap w:val="0"/>
            <w:vAlign w:val="center"/>
          </w:tcPr>
          <w:p w14:paraId="3063D16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/</w:t>
            </w:r>
          </w:p>
        </w:tc>
        <w:tc>
          <w:tcPr>
            <w:tcW w:w="1348" w:type="dxa"/>
            <w:noWrap w:val="0"/>
            <w:vAlign w:val="center"/>
          </w:tcPr>
          <w:p w14:paraId="2021B21C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否</w:t>
            </w:r>
          </w:p>
        </w:tc>
      </w:tr>
      <w:tr w14:paraId="2EB58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87" w:type="dxa"/>
            <w:vMerge w:val="restart"/>
            <w:noWrap w:val="0"/>
            <w:vAlign w:val="center"/>
          </w:tcPr>
          <w:p w14:paraId="4128CB6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生</w:t>
            </w:r>
          </w:p>
          <w:p w14:paraId="499B859C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产</w:t>
            </w:r>
          </w:p>
          <w:p w14:paraId="67CCAB01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过</w:t>
            </w:r>
          </w:p>
          <w:p w14:paraId="3319A64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程</w:t>
            </w:r>
          </w:p>
          <w:p w14:paraId="4E017BB4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 w14:paraId="5EA2200C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生物危险 致病菌污染</w:t>
            </w:r>
          </w:p>
        </w:tc>
        <w:tc>
          <w:tcPr>
            <w:tcW w:w="1260" w:type="dxa"/>
            <w:noWrap w:val="0"/>
            <w:vAlign w:val="center"/>
          </w:tcPr>
          <w:p w14:paraId="5E5F075D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否</w:t>
            </w:r>
          </w:p>
        </w:tc>
        <w:tc>
          <w:tcPr>
            <w:tcW w:w="1800" w:type="dxa"/>
            <w:noWrap w:val="0"/>
            <w:vAlign w:val="center"/>
          </w:tcPr>
          <w:p w14:paraId="4F10DA19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/</w:t>
            </w:r>
          </w:p>
        </w:tc>
        <w:tc>
          <w:tcPr>
            <w:tcW w:w="3420" w:type="dxa"/>
            <w:noWrap w:val="0"/>
            <w:vAlign w:val="center"/>
          </w:tcPr>
          <w:p w14:paraId="5B854565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/</w:t>
            </w:r>
          </w:p>
        </w:tc>
        <w:tc>
          <w:tcPr>
            <w:tcW w:w="1348" w:type="dxa"/>
            <w:noWrap w:val="0"/>
            <w:vAlign w:val="center"/>
          </w:tcPr>
          <w:p w14:paraId="2E1B13C7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否</w:t>
            </w:r>
          </w:p>
        </w:tc>
      </w:tr>
      <w:tr w14:paraId="38BAF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87" w:type="dxa"/>
            <w:vMerge w:val="continue"/>
            <w:noWrap w:val="0"/>
            <w:vAlign w:val="center"/>
          </w:tcPr>
          <w:p w14:paraId="776CA7FD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 w14:paraId="5AED7441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化学危害 清洁剂</w:t>
            </w:r>
          </w:p>
        </w:tc>
        <w:tc>
          <w:tcPr>
            <w:tcW w:w="1260" w:type="dxa"/>
            <w:noWrap w:val="0"/>
            <w:vAlign w:val="center"/>
          </w:tcPr>
          <w:p w14:paraId="08B48A35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是</w:t>
            </w:r>
          </w:p>
        </w:tc>
        <w:tc>
          <w:tcPr>
            <w:tcW w:w="1800" w:type="dxa"/>
            <w:noWrap w:val="0"/>
            <w:vAlign w:val="center"/>
          </w:tcPr>
          <w:p w14:paraId="02F2D44E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对眼、鼻有刺激性</w:t>
            </w:r>
          </w:p>
        </w:tc>
        <w:tc>
          <w:tcPr>
            <w:tcW w:w="3420" w:type="dxa"/>
            <w:noWrap w:val="0"/>
            <w:vAlign w:val="center"/>
          </w:tcPr>
          <w:p w14:paraId="132B427B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化学品控制管理程序</w:t>
            </w:r>
          </w:p>
        </w:tc>
        <w:tc>
          <w:tcPr>
            <w:tcW w:w="1348" w:type="dxa"/>
            <w:noWrap w:val="0"/>
            <w:vAlign w:val="center"/>
          </w:tcPr>
          <w:p w14:paraId="68D79DD4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是</w:t>
            </w:r>
          </w:p>
        </w:tc>
      </w:tr>
      <w:tr w14:paraId="63CC7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87" w:type="dxa"/>
            <w:vMerge w:val="continue"/>
            <w:noWrap w:val="0"/>
            <w:vAlign w:val="center"/>
          </w:tcPr>
          <w:p w14:paraId="3FDE42A5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 w14:paraId="6274F556">
            <w:pPr>
              <w:spacing w:after="160" w:line="320" w:lineRule="exact"/>
              <w:ind w:left="360" w:hanging="360" w:hangingChars="150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物理危害  噪音</w:t>
            </w:r>
          </w:p>
        </w:tc>
        <w:tc>
          <w:tcPr>
            <w:tcW w:w="1260" w:type="dxa"/>
            <w:noWrap w:val="0"/>
            <w:vAlign w:val="center"/>
          </w:tcPr>
          <w:p w14:paraId="04569FA0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是</w:t>
            </w:r>
          </w:p>
        </w:tc>
        <w:tc>
          <w:tcPr>
            <w:tcW w:w="1800" w:type="dxa"/>
            <w:noWrap w:val="0"/>
            <w:vAlign w:val="center"/>
          </w:tcPr>
          <w:p w14:paraId="2C621F66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根据相关法规判定、结合现场实际情况</w:t>
            </w:r>
          </w:p>
        </w:tc>
        <w:tc>
          <w:tcPr>
            <w:tcW w:w="3420" w:type="dxa"/>
            <w:noWrap w:val="0"/>
            <w:vAlign w:val="center"/>
          </w:tcPr>
          <w:p w14:paraId="45F34335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对噪音增加防护、按要求对员工进行体检</w:t>
            </w:r>
          </w:p>
        </w:tc>
        <w:tc>
          <w:tcPr>
            <w:tcW w:w="1348" w:type="dxa"/>
            <w:noWrap w:val="0"/>
            <w:vAlign w:val="center"/>
          </w:tcPr>
          <w:p w14:paraId="7A669B23">
            <w:pPr>
              <w:spacing w:after="160" w:line="320" w:lineRule="exact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是</w:t>
            </w:r>
          </w:p>
        </w:tc>
      </w:tr>
    </w:tbl>
    <w:p w14:paraId="75C69D43">
      <w:pPr>
        <w:spacing w:line="30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4.3确定潜在的危害</w:t>
      </w:r>
    </w:p>
    <w:p w14:paraId="6F12C707">
      <w:pPr>
        <w:spacing w:line="300" w:lineRule="exact"/>
        <w:ind w:left="957" w:leftChars="456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4.3.1 在纵行（2）对每一流程的步骤进行分析，确定在这一步骤的操作引入的或可能增加的生物的，化学的或物理的潜在危害。</w:t>
      </w:r>
    </w:p>
    <w:p w14:paraId="1969CB0B">
      <w:pPr>
        <w:spacing w:line="30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4.4 分析潜在危害是否是显著危害</w:t>
      </w:r>
    </w:p>
    <w:p w14:paraId="1869229A">
      <w:pPr>
        <w:spacing w:line="300" w:lineRule="exact"/>
        <w:ind w:left="958" w:leftChars="342" w:hanging="240" w:hangingChars="1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4.4.1根据对上确定的潜在危害，分析其是否是显著的危害，因为风险评估重点是显著危害，一旦显著危害发生，会给消费者造成不可接受的健康风险。</w:t>
      </w:r>
    </w:p>
    <w:p w14:paraId="2FB7DAF7">
      <w:pPr>
        <w:spacing w:line="30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4.5判断是否显著危害的依据</w:t>
      </w:r>
    </w:p>
    <w:p w14:paraId="34C5C2D2">
      <w:pPr>
        <w:spacing w:line="300" w:lineRule="exact"/>
        <w:ind w:firstLine="600" w:firstLineChars="25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4.5.1对纵行（3）中所判断的是否显著危害提出科学的依据。</w:t>
      </w:r>
    </w:p>
    <w:p w14:paraId="112A9E90">
      <w:pPr>
        <w:spacing w:line="30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4.6显著危害的预防措施</w:t>
      </w:r>
    </w:p>
    <w:p w14:paraId="5883FE11">
      <w:pPr>
        <w:spacing w:line="300" w:lineRule="exact"/>
        <w:ind w:firstLine="720" w:firstLineChars="3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4.6.1对确定此步骤的显著危害采取什么预防措施予以预防。</w:t>
      </w:r>
    </w:p>
    <w:p w14:paraId="1AE4395B">
      <w:pPr>
        <w:spacing w:line="30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4.7 确定这步骤是否是关键点（CCP）</w:t>
      </w:r>
    </w:p>
    <w:p w14:paraId="71C8505E">
      <w:pPr>
        <w:spacing w:line="300" w:lineRule="exact"/>
        <w:ind w:left="718" w:leftChars="342" w:firstLine="120" w:firstLineChars="5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4.7.1 根据以上的分析，运用CCP来确定这一步骤是不是关键控制点。如果分析的显著危害，在这一步骤可以被控制、被预防、消除或降低到可接受水平，那么这一步骤就是关键控制点。</w:t>
      </w:r>
    </w:p>
    <w:p w14:paraId="5CE22F49">
      <w:pPr>
        <w:spacing w:line="28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4.8 化学性危害包括：重金属、天那水、清洁水、有毒害的烟或气体及液体等化学物品。</w:t>
      </w:r>
    </w:p>
    <w:p w14:paraId="151226A7">
      <w:pPr>
        <w:spacing w:line="28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4.9 物理危害包括：噪音、高温、利器、碰撞、坠落、辐射等危害。</w:t>
      </w:r>
    </w:p>
    <w:p w14:paraId="5CAEF107">
      <w:pPr>
        <w:spacing w:line="280" w:lineRule="exact"/>
        <w:ind w:firstLine="480" w:firstLineChars="200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>4.10生物危害包括：鼠、蚁、兽残、原生虫、致病微生物等有危害生物。</w:t>
      </w:r>
    </w:p>
    <w:p w14:paraId="5CC47183">
      <w:pPr>
        <w:spacing w:line="280" w:lineRule="exact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 xml:space="preserve"> 5.作业风险危害等级评价方法：</w:t>
      </w:r>
    </w:p>
    <w:p w14:paraId="00ADB1AA">
      <w:pPr>
        <w:spacing w:line="280" w:lineRule="exact"/>
        <w:rPr>
          <w:rFonts w:hint="eastAsia" w:ascii="PMingLiU"/>
          <w:sz w:val="24"/>
        </w:rPr>
      </w:pPr>
      <w:r>
        <w:rPr>
          <w:rFonts w:hint="eastAsia" w:ascii="PMingLiU"/>
          <w:sz w:val="24"/>
        </w:rPr>
        <w:t xml:space="preserve">     5.1根据评估伤害的可能性和严重程序来对风险进行分级，并进行风险控制的策划方案。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457"/>
        <w:gridCol w:w="2457"/>
        <w:gridCol w:w="2458"/>
      </w:tblGrid>
      <w:tr w14:paraId="5746F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457" w:type="dxa"/>
            <w:tcBorders>
              <w:tl2br w:val="single" w:color="auto" w:sz="4" w:space="0"/>
            </w:tcBorders>
            <w:noWrap w:val="0"/>
            <w:vAlign w:val="top"/>
          </w:tcPr>
          <w:p w14:paraId="084145CF">
            <w:pPr>
              <w:spacing w:after="160" w:line="360" w:lineRule="auto"/>
              <w:ind w:firstLine="960" w:firstLineChars="400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后果严重性</w:t>
            </w:r>
          </w:p>
          <w:p w14:paraId="1E31CCD3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发生可能性</w:t>
            </w:r>
          </w:p>
        </w:tc>
        <w:tc>
          <w:tcPr>
            <w:tcW w:w="2457" w:type="dxa"/>
            <w:noWrap w:val="0"/>
            <w:vAlign w:val="center"/>
          </w:tcPr>
          <w:p w14:paraId="510B9B7B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轻微害伤</w:t>
            </w:r>
          </w:p>
        </w:tc>
        <w:tc>
          <w:tcPr>
            <w:tcW w:w="2457" w:type="dxa"/>
            <w:noWrap w:val="0"/>
            <w:vAlign w:val="center"/>
          </w:tcPr>
          <w:p w14:paraId="0D2D552D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有伤害</w:t>
            </w:r>
          </w:p>
        </w:tc>
        <w:tc>
          <w:tcPr>
            <w:tcW w:w="2458" w:type="dxa"/>
            <w:noWrap w:val="0"/>
            <w:vAlign w:val="center"/>
          </w:tcPr>
          <w:p w14:paraId="734D0B00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严重伤害</w:t>
            </w:r>
          </w:p>
        </w:tc>
      </w:tr>
      <w:tr w14:paraId="15EBE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noWrap w:val="0"/>
            <w:vAlign w:val="center"/>
          </w:tcPr>
          <w:p w14:paraId="425FF639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极可能发生</w:t>
            </w:r>
          </w:p>
        </w:tc>
        <w:tc>
          <w:tcPr>
            <w:tcW w:w="2457" w:type="dxa"/>
            <w:noWrap w:val="0"/>
            <w:vAlign w:val="center"/>
          </w:tcPr>
          <w:p w14:paraId="272B22E7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可忽略的风险</w:t>
            </w:r>
          </w:p>
        </w:tc>
        <w:tc>
          <w:tcPr>
            <w:tcW w:w="2457" w:type="dxa"/>
            <w:noWrap w:val="0"/>
            <w:vAlign w:val="center"/>
          </w:tcPr>
          <w:p w14:paraId="23E7709A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可承受风险</w:t>
            </w:r>
          </w:p>
        </w:tc>
        <w:tc>
          <w:tcPr>
            <w:tcW w:w="2458" w:type="dxa"/>
            <w:noWrap w:val="0"/>
            <w:vAlign w:val="center"/>
          </w:tcPr>
          <w:p w14:paraId="023F7C97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一般的风险</w:t>
            </w:r>
          </w:p>
        </w:tc>
      </w:tr>
      <w:tr w14:paraId="483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noWrap w:val="0"/>
            <w:vAlign w:val="center"/>
          </w:tcPr>
          <w:p w14:paraId="1E34157E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会发生</w:t>
            </w:r>
          </w:p>
        </w:tc>
        <w:tc>
          <w:tcPr>
            <w:tcW w:w="2457" w:type="dxa"/>
            <w:noWrap w:val="0"/>
            <w:vAlign w:val="center"/>
          </w:tcPr>
          <w:p w14:paraId="58D22EF7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可承受的风险</w:t>
            </w:r>
          </w:p>
        </w:tc>
        <w:tc>
          <w:tcPr>
            <w:tcW w:w="2457" w:type="dxa"/>
            <w:noWrap w:val="0"/>
            <w:vAlign w:val="center"/>
          </w:tcPr>
          <w:p w14:paraId="4043D80E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一般的风险</w:t>
            </w:r>
          </w:p>
        </w:tc>
        <w:tc>
          <w:tcPr>
            <w:tcW w:w="2458" w:type="dxa"/>
            <w:noWrap w:val="0"/>
            <w:vAlign w:val="center"/>
          </w:tcPr>
          <w:p w14:paraId="35AA6C4F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中度风险</w:t>
            </w:r>
          </w:p>
        </w:tc>
      </w:tr>
      <w:tr w14:paraId="74EE3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noWrap w:val="0"/>
            <w:vAlign w:val="center"/>
          </w:tcPr>
          <w:p w14:paraId="22147FEB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发生率高</w:t>
            </w:r>
          </w:p>
        </w:tc>
        <w:tc>
          <w:tcPr>
            <w:tcW w:w="2457" w:type="dxa"/>
            <w:noWrap w:val="0"/>
            <w:vAlign w:val="center"/>
          </w:tcPr>
          <w:p w14:paraId="14DD6514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一般的风险</w:t>
            </w:r>
          </w:p>
        </w:tc>
        <w:tc>
          <w:tcPr>
            <w:tcW w:w="2457" w:type="dxa"/>
            <w:noWrap w:val="0"/>
            <w:vAlign w:val="center"/>
          </w:tcPr>
          <w:p w14:paraId="6FFA1AFA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中度风险</w:t>
            </w:r>
          </w:p>
        </w:tc>
        <w:tc>
          <w:tcPr>
            <w:tcW w:w="2458" w:type="dxa"/>
            <w:noWrap w:val="0"/>
            <w:vAlign w:val="center"/>
          </w:tcPr>
          <w:p w14:paraId="713474D4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高危风险</w:t>
            </w:r>
          </w:p>
        </w:tc>
      </w:tr>
    </w:tbl>
    <w:p w14:paraId="326BF1F1">
      <w:pPr>
        <w:spacing w:line="360" w:lineRule="auto"/>
        <w:rPr>
          <w:rFonts w:ascii="PMingLiU"/>
          <w:sz w:val="24"/>
        </w:rPr>
      </w:pPr>
      <w:r>
        <w:rPr>
          <w:rFonts w:hint="eastAsia" w:ascii="PMingLiU"/>
          <w:sz w:val="24"/>
        </w:rPr>
        <w:t>6.风险控制策划方案</w:t>
      </w:r>
    </w:p>
    <w:tbl>
      <w:tblPr>
        <w:tblStyle w:val="16"/>
        <w:tblW w:w="9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"/>
        <w:gridCol w:w="1479"/>
        <w:gridCol w:w="787"/>
        <w:gridCol w:w="7342"/>
        <w:gridCol w:w="151"/>
      </w:tblGrid>
      <w:tr w14:paraId="34257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51" w:type="dxa"/>
          <w:trHeight w:val="275" w:hRule="atLeast"/>
        </w:trPr>
        <w:tc>
          <w:tcPr>
            <w:tcW w:w="2487" w:type="dxa"/>
            <w:gridSpan w:val="3"/>
            <w:noWrap w:val="0"/>
            <w:vAlign w:val="center"/>
          </w:tcPr>
          <w:p w14:paraId="244B8536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风险等级</w:t>
            </w:r>
          </w:p>
        </w:tc>
        <w:tc>
          <w:tcPr>
            <w:tcW w:w="7342" w:type="dxa"/>
            <w:noWrap w:val="0"/>
            <w:vAlign w:val="center"/>
          </w:tcPr>
          <w:p w14:paraId="648A11B9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风险控制措施策划方案</w:t>
            </w:r>
          </w:p>
        </w:tc>
      </w:tr>
      <w:tr w14:paraId="7B3B8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51" w:type="dxa"/>
        </w:trPr>
        <w:tc>
          <w:tcPr>
            <w:tcW w:w="2487" w:type="dxa"/>
            <w:gridSpan w:val="3"/>
            <w:noWrap w:val="0"/>
            <w:vAlign w:val="center"/>
          </w:tcPr>
          <w:p w14:paraId="08B76D63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可忽略风险</w:t>
            </w:r>
          </w:p>
        </w:tc>
        <w:tc>
          <w:tcPr>
            <w:tcW w:w="7342" w:type="dxa"/>
            <w:noWrap w:val="0"/>
            <w:vAlign w:val="center"/>
          </w:tcPr>
          <w:p w14:paraId="02601DCE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公司可以不需要采取措施且不必保留文件记录</w:t>
            </w:r>
          </w:p>
        </w:tc>
      </w:tr>
      <w:tr w14:paraId="16F75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51" w:type="dxa"/>
          <w:trHeight w:val="868" w:hRule="atLeast"/>
        </w:trPr>
        <w:tc>
          <w:tcPr>
            <w:tcW w:w="2487" w:type="dxa"/>
            <w:gridSpan w:val="3"/>
            <w:noWrap w:val="0"/>
            <w:vAlign w:val="center"/>
          </w:tcPr>
          <w:p w14:paraId="34C7131F">
            <w:pPr>
              <w:spacing w:after="160" w:line="360" w:lineRule="auto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可承受风险</w:t>
            </w:r>
          </w:p>
        </w:tc>
        <w:tc>
          <w:tcPr>
            <w:tcW w:w="7342" w:type="dxa"/>
            <w:noWrap w:val="0"/>
            <w:vAlign w:val="center"/>
          </w:tcPr>
          <w:p w14:paraId="097AB8F6">
            <w:pPr>
              <w:spacing w:after="160" w:line="280" w:lineRule="exact"/>
              <w:rPr>
                <w:rFonts w:hint="eastAsia" w:ascii="PMingLiU" w:hAnsi="Verdana"/>
                <w:sz w:val="24"/>
              </w:rPr>
            </w:pPr>
            <w:r>
              <w:rPr>
                <w:rFonts w:hint="eastAsia" w:ascii="PMingLiU" w:hAnsi="Verdana"/>
                <w:sz w:val="24"/>
              </w:rPr>
              <w:t>公司不需用另外的控制措施，应考虑用更好的解决方案或者不增加额外成本的改进措施，需对现有的风险进行监测，以确保控制措施得以保持并有效。</w:t>
            </w:r>
          </w:p>
        </w:tc>
      </w:tr>
      <w:tr w14:paraId="169A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21" w:type="dxa"/>
          <w:wAfter w:w="0" w:type="dxa"/>
          <w:trHeight w:val="1057" w:hRule="atLeast"/>
          <w:tblHeader/>
        </w:trPr>
        <w:tc>
          <w:tcPr>
            <w:tcW w:w="1479" w:type="dxa"/>
            <w:noWrap w:val="0"/>
            <w:vAlign w:val="center"/>
          </w:tcPr>
          <w:p w14:paraId="6F640A1F">
            <w:pPr>
              <w:spacing w:line="280" w:lineRule="exac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一般的风险</w:t>
            </w:r>
          </w:p>
        </w:tc>
        <w:tc>
          <w:tcPr>
            <w:tcW w:w="8280" w:type="dxa"/>
            <w:gridSpan w:val="3"/>
            <w:noWrap w:val="0"/>
            <w:vAlign w:val="center"/>
          </w:tcPr>
          <w:p w14:paraId="65E51422">
            <w:pPr>
              <w:spacing w:line="280" w:lineRule="exac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公司应努力降低风险，但应仔细测定并限制预防成本，并应在规定的时间内实施降低风险的措施，在一般风险与严重伤害后果的相关场合，必须进一步评估，以更准确定伤害的可能性，确定是否需要改进控制措施。</w:t>
            </w:r>
          </w:p>
        </w:tc>
      </w:tr>
      <w:tr w14:paraId="7CDF8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21" w:type="dxa"/>
          <w:wAfter w:w="0" w:type="dxa"/>
          <w:trHeight w:val="638" w:hRule="exact"/>
        </w:trPr>
        <w:tc>
          <w:tcPr>
            <w:tcW w:w="1479" w:type="dxa"/>
            <w:noWrap w:val="0"/>
            <w:vAlign w:val="center"/>
          </w:tcPr>
          <w:p w14:paraId="2FFC7E50">
            <w:pPr>
              <w:spacing w:line="280" w:lineRule="exac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 xml:space="preserve">中度风险 </w:t>
            </w:r>
          </w:p>
        </w:tc>
        <w:tc>
          <w:tcPr>
            <w:tcW w:w="8280" w:type="dxa"/>
            <w:gridSpan w:val="3"/>
            <w:noWrap w:val="0"/>
            <w:vAlign w:val="center"/>
          </w:tcPr>
          <w:p w14:paraId="02A37975">
            <w:pPr>
              <w:spacing w:line="280" w:lineRule="exact"/>
              <w:rPr>
                <w:rFonts w:hint="eastAsia" w:eastAsia="仿宋_GB2312"/>
                <w:color w:val="000000"/>
                <w:sz w:val="24"/>
              </w:rPr>
            </w:pPr>
            <w:r>
              <w:rPr>
                <w:rFonts w:hint="eastAsia" w:eastAsia="仿宋_GB2312"/>
                <w:color w:val="000000"/>
                <w:sz w:val="24"/>
              </w:rPr>
              <w:t>公司直至风险降低后才能开始工作。为降低风险公司有时必须配备大量的资源，当风险涉及正在进行的工作时，就采取应急措施。</w:t>
            </w:r>
          </w:p>
        </w:tc>
      </w:tr>
      <w:tr w14:paraId="35AF8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21" w:type="dxa"/>
          <w:wAfter w:w="0" w:type="dxa"/>
          <w:trHeight w:val="618" w:hRule="exact"/>
        </w:trPr>
        <w:tc>
          <w:tcPr>
            <w:tcW w:w="1479" w:type="dxa"/>
            <w:noWrap w:val="0"/>
            <w:vAlign w:val="center"/>
          </w:tcPr>
          <w:p w14:paraId="5C2D687E">
            <w:pPr>
              <w:spacing w:line="280" w:lineRule="exac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高危风险</w:t>
            </w:r>
          </w:p>
        </w:tc>
        <w:tc>
          <w:tcPr>
            <w:tcW w:w="8280" w:type="dxa"/>
            <w:gridSpan w:val="3"/>
            <w:noWrap w:val="0"/>
            <w:vAlign w:val="center"/>
          </w:tcPr>
          <w:p w14:paraId="360D9CA4">
            <w:pPr>
              <w:spacing w:line="280" w:lineRule="exact"/>
              <w:rPr>
                <w:rFonts w:hint="eastAsia" w:eastAsia="仿宋_GB2312"/>
                <w:color w:val="000000"/>
                <w:sz w:val="24"/>
              </w:rPr>
            </w:pPr>
            <w:r>
              <w:rPr>
                <w:rFonts w:hint="eastAsia" w:eastAsia="仿宋_GB2312"/>
                <w:color w:val="000000"/>
                <w:sz w:val="24"/>
              </w:rPr>
              <w:t>只有当风险已降低时，才能开始或断续 作，如果无限的资源投入也不能降低风险，就必须停止工作。</w:t>
            </w:r>
          </w:p>
        </w:tc>
      </w:tr>
    </w:tbl>
    <w:p w14:paraId="769ED101">
      <w:pPr>
        <w:spacing w:line="360" w:lineRule="auto"/>
        <w:rPr>
          <w:rFonts w:hint="eastAsia" w:eastAsia="仿宋_GB2312"/>
          <w:sz w:val="24"/>
        </w:rPr>
      </w:pPr>
    </w:p>
    <w:p w14:paraId="3E6446F0">
      <w:pPr>
        <w:spacing w:line="360" w:lineRule="auto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>7、作业流程</w:t>
      </w:r>
    </w:p>
    <w:tbl>
      <w:tblPr>
        <w:tblStyle w:val="16"/>
        <w:tblW w:w="10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285"/>
        <w:gridCol w:w="986"/>
        <w:gridCol w:w="789"/>
        <w:gridCol w:w="720"/>
        <w:gridCol w:w="720"/>
        <w:gridCol w:w="720"/>
        <w:gridCol w:w="2340"/>
        <w:gridCol w:w="1136"/>
        <w:gridCol w:w="718"/>
      </w:tblGrid>
      <w:tr w14:paraId="4F80D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687" w:type="dxa"/>
            <w:vMerge w:val="restart"/>
            <w:noWrap w:val="0"/>
            <w:vAlign w:val="center"/>
          </w:tcPr>
          <w:p w14:paraId="2DCBDDD1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流程</w:t>
            </w:r>
          </w:p>
        </w:tc>
        <w:tc>
          <w:tcPr>
            <w:tcW w:w="1285" w:type="dxa"/>
            <w:vMerge w:val="restart"/>
            <w:noWrap w:val="0"/>
            <w:vAlign w:val="center"/>
          </w:tcPr>
          <w:p w14:paraId="4EDD4FCB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显著危害</w:t>
            </w:r>
          </w:p>
        </w:tc>
        <w:tc>
          <w:tcPr>
            <w:tcW w:w="986" w:type="dxa"/>
            <w:vMerge w:val="restart"/>
            <w:noWrap w:val="0"/>
            <w:vAlign w:val="center"/>
          </w:tcPr>
          <w:p w14:paraId="023561FA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接受准值</w:t>
            </w:r>
          </w:p>
        </w:tc>
        <w:tc>
          <w:tcPr>
            <w:tcW w:w="2949" w:type="dxa"/>
            <w:gridSpan w:val="4"/>
            <w:noWrap w:val="0"/>
            <w:vAlign w:val="center"/>
          </w:tcPr>
          <w:p w14:paraId="2EB2867F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监控</w:t>
            </w:r>
          </w:p>
        </w:tc>
        <w:tc>
          <w:tcPr>
            <w:tcW w:w="2340" w:type="dxa"/>
            <w:vMerge w:val="restart"/>
            <w:noWrap w:val="0"/>
            <w:vAlign w:val="center"/>
          </w:tcPr>
          <w:p w14:paraId="1F9B07EE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纠正</w:t>
            </w:r>
          </w:p>
        </w:tc>
        <w:tc>
          <w:tcPr>
            <w:tcW w:w="1136" w:type="dxa"/>
            <w:vMerge w:val="restart"/>
            <w:noWrap w:val="0"/>
            <w:vAlign w:val="center"/>
          </w:tcPr>
          <w:p w14:paraId="3C2D4CB5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记录</w:t>
            </w:r>
          </w:p>
        </w:tc>
        <w:tc>
          <w:tcPr>
            <w:tcW w:w="718" w:type="dxa"/>
            <w:vMerge w:val="restart"/>
            <w:noWrap w:val="0"/>
            <w:vAlign w:val="center"/>
          </w:tcPr>
          <w:p w14:paraId="0C01CB2D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验证</w:t>
            </w:r>
          </w:p>
        </w:tc>
      </w:tr>
      <w:tr w14:paraId="2C082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87" w:type="dxa"/>
            <w:vMerge w:val="continue"/>
            <w:noWrap w:val="0"/>
            <w:vAlign w:val="center"/>
          </w:tcPr>
          <w:p w14:paraId="7DDF3946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</w:p>
        </w:tc>
        <w:tc>
          <w:tcPr>
            <w:tcW w:w="1285" w:type="dxa"/>
            <w:vMerge w:val="continue"/>
            <w:noWrap w:val="0"/>
            <w:vAlign w:val="center"/>
          </w:tcPr>
          <w:p w14:paraId="470BA435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vMerge w:val="continue"/>
            <w:noWrap w:val="0"/>
            <w:vAlign w:val="center"/>
          </w:tcPr>
          <w:p w14:paraId="5CBEB35F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noWrap w:val="0"/>
            <w:vAlign w:val="center"/>
          </w:tcPr>
          <w:p w14:paraId="07629A4C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对象</w:t>
            </w:r>
          </w:p>
        </w:tc>
        <w:tc>
          <w:tcPr>
            <w:tcW w:w="720" w:type="dxa"/>
            <w:noWrap w:val="0"/>
            <w:vAlign w:val="center"/>
          </w:tcPr>
          <w:p w14:paraId="4E88EDA5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频率</w:t>
            </w:r>
          </w:p>
        </w:tc>
        <w:tc>
          <w:tcPr>
            <w:tcW w:w="720" w:type="dxa"/>
            <w:noWrap w:val="0"/>
            <w:vAlign w:val="center"/>
          </w:tcPr>
          <w:p w14:paraId="431EF3DD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方法</w:t>
            </w:r>
          </w:p>
        </w:tc>
        <w:tc>
          <w:tcPr>
            <w:tcW w:w="720" w:type="dxa"/>
            <w:noWrap w:val="0"/>
            <w:vAlign w:val="center"/>
          </w:tcPr>
          <w:p w14:paraId="00972BE4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人员</w:t>
            </w:r>
          </w:p>
        </w:tc>
        <w:tc>
          <w:tcPr>
            <w:tcW w:w="2340" w:type="dxa"/>
            <w:vMerge w:val="continue"/>
            <w:noWrap w:val="0"/>
            <w:vAlign w:val="center"/>
          </w:tcPr>
          <w:p w14:paraId="086E64A6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vMerge w:val="continue"/>
            <w:noWrap w:val="0"/>
            <w:vAlign w:val="center"/>
          </w:tcPr>
          <w:p w14:paraId="5C5DACB6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vMerge w:val="continue"/>
            <w:noWrap w:val="0"/>
            <w:vAlign w:val="center"/>
          </w:tcPr>
          <w:p w14:paraId="5E79C50B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</w:p>
        </w:tc>
      </w:tr>
      <w:tr w14:paraId="41586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687" w:type="dxa"/>
            <w:noWrap w:val="0"/>
            <w:vAlign w:val="center"/>
          </w:tcPr>
          <w:p w14:paraId="615C8A60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原</w:t>
            </w:r>
          </w:p>
          <w:p w14:paraId="7AED58BD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材料风险</w:t>
            </w:r>
          </w:p>
        </w:tc>
        <w:tc>
          <w:tcPr>
            <w:tcW w:w="1285" w:type="dxa"/>
            <w:noWrap w:val="0"/>
            <w:vAlign w:val="center"/>
          </w:tcPr>
          <w:p w14:paraId="5D2AD616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化学品危害</w:t>
            </w:r>
          </w:p>
          <w:p w14:paraId="2F3AF672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重金属</w:t>
            </w:r>
          </w:p>
          <w:p w14:paraId="010BFC8A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生物危害</w:t>
            </w:r>
          </w:p>
          <w:p w14:paraId="554D0840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虫蚁鼠</w:t>
            </w:r>
          </w:p>
        </w:tc>
        <w:tc>
          <w:tcPr>
            <w:tcW w:w="986" w:type="dxa"/>
            <w:noWrap w:val="0"/>
            <w:vAlign w:val="center"/>
          </w:tcPr>
          <w:p w14:paraId="2937FD7A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相关法规</w:t>
            </w:r>
          </w:p>
        </w:tc>
        <w:tc>
          <w:tcPr>
            <w:tcW w:w="789" w:type="dxa"/>
            <w:noWrap w:val="0"/>
            <w:vAlign w:val="center"/>
          </w:tcPr>
          <w:p w14:paraId="5365B2D1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原材料</w:t>
            </w:r>
          </w:p>
        </w:tc>
        <w:tc>
          <w:tcPr>
            <w:tcW w:w="720" w:type="dxa"/>
            <w:noWrap w:val="0"/>
            <w:vAlign w:val="center"/>
          </w:tcPr>
          <w:p w14:paraId="23A7EA15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每年度/次</w:t>
            </w:r>
          </w:p>
        </w:tc>
        <w:tc>
          <w:tcPr>
            <w:tcW w:w="720" w:type="dxa"/>
            <w:noWrap w:val="0"/>
            <w:vAlign w:val="center"/>
          </w:tcPr>
          <w:p w14:paraId="66C2FA62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送检测机构</w:t>
            </w:r>
          </w:p>
        </w:tc>
        <w:tc>
          <w:tcPr>
            <w:tcW w:w="720" w:type="dxa"/>
            <w:noWrap w:val="0"/>
            <w:vAlign w:val="center"/>
          </w:tcPr>
          <w:p w14:paraId="549C4A06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环保人员</w:t>
            </w:r>
          </w:p>
        </w:tc>
        <w:tc>
          <w:tcPr>
            <w:tcW w:w="2340" w:type="dxa"/>
            <w:noWrap w:val="0"/>
            <w:vAlign w:val="center"/>
          </w:tcPr>
          <w:p w14:paraId="6877BF5B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停产、隔离，按纠正预防措施控制程序</w:t>
            </w:r>
          </w:p>
        </w:tc>
        <w:tc>
          <w:tcPr>
            <w:tcW w:w="1136" w:type="dxa"/>
            <w:noWrap w:val="0"/>
            <w:vAlign w:val="center"/>
          </w:tcPr>
          <w:p w14:paraId="1CDB2A7D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第三方测试报告</w:t>
            </w:r>
          </w:p>
        </w:tc>
        <w:tc>
          <w:tcPr>
            <w:tcW w:w="718" w:type="dxa"/>
            <w:noWrap w:val="0"/>
            <w:vAlign w:val="center"/>
          </w:tcPr>
          <w:p w14:paraId="6C5591C9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品质部</w:t>
            </w:r>
          </w:p>
        </w:tc>
      </w:tr>
      <w:tr w14:paraId="0D64A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noWrap w:val="0"/>
            <w:vAlign w:val="center"/>
          </w:tcPr>
          <w:p w14:paraId="31F9DCCB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制程风险</w:t>
            </w:r>
          </w:p>
        </w:tc>
        <w:tc>
          <w:tcPr>
            <w:tcW w:w="1285" w:type="dxa"/>
            <w:noWrap w:val="0"/>
            <w:vAlign w:val="center"/>
          </w:tcPr>
          <w:p w14:paraId="73DB231C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化学品危害</w:t>
            </w:r>
          </w:p>
          <w:p w14:paraId="6C3A1976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物理危害</w:t>
            </w:r>
          </w:p>
        </w:tc>
        <w:tc>
          <w:tcPr>
            <w:tcW w:w="986" w:type="dxa"/>
            <w:noWrap w:val="0"/>
            <w:vAlign w:val="center"/>
          </w:tcPr>
          <w:p w14:paraId="478465DB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相关法规及无异味</w:t>
            </w:r>
          </w:p>
        </w:tc>
        <w:tc>
          <w:tcPr>
            <w:tcW w:w="789" w:type="dxa"/>
            <w:noWrap w:val="0"/>
            <w:vAlign w:val="center"/>
          </w:tcPr>
          <w:p w14:paraId="610E11D3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清洁水天那水</w:t>
            </w:r>
          </w:p>
        </w:tc>
        <w:tc>
          <w:tcPr>
            <w:tcW w:w="720" w:type="dxa"/>
            <w:noWrap w:val="0"/>
            <w:vAlign w:val="center"/>
          </w:tcPr>
          <w:p w14:paraId="3E3572A2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每年/次</w:t>
            </w:r>
          </w:p>
        </w:tc>
        <w:tc>
          <w:tcPr>
            <w:tcW w:w="720" w:type="dxa"/>
            <w:noWrap w:val="0"/>
            <w:vAlign w:val="center"/>
          </w:tcPr>
          <w:p w14:paraId="4E5031BC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指定厂家</w:t>
            </w:r>
          </w:p>
        </w:tc>
        <w:tc>
          <w:tcPr>
            <w:tcW w:w="720" w:type="dxa"/>
            <w:noWrap w:val="0"/>
            <w:vAlign w:val="center"/>
          </w:tcPr>
          <w:p w14:paraId="453DFB4F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环保人员</w:t>
            </w:r>
          </w:p>
        </w:tc>
        <w:tc>
          <w:tcPr>
            <w:tcW w:w="2340" w:type="dxa"/>
            <w:noWrap w:val="0"/>
            <w:vAlign w:val="center"/>
          </w:tcPr>
          <w:p w14:paraId="6DE9ED1F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停产、隔离。报废处理，按纠正预防措施控制程序</w:t>
            </w:r>
          </w:p>
        </w:tc>
        <w:tc>
          <w:tcPr>
            <w:tcW w:w="1136" w:type="dxa"/>
            <w:noWrap w:val="0"/>
            <w:vAlign w:val="center"/>
          </w:tcPr>
          <w:p w14:paraId="093490E8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第三方测试报告</w:t>
            </w:r>
          </w:p>
        </w:tc>
        <w:tc>
          <w:tcPr>
            <w:tcW w:w="718" w:type="dxa"/>
            <w:noWrap w:val="0"/>
            <w:vAlign w:val="center"/>
          </w:tcPr>
          <w:p w14:paraId="3D3DFACD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品质部</w:t>
            </w:r>
          </w:p>
        </w:tc>
      </w:tr>
      <w:tr w14:paraId="11598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noWrap w:val="0"/>
            <w:vAlign w:val="center"/>
          </w:tcPr>
          <w:p w14:paraId="649F610C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成品入仓/出货</w:t>
            </w:r>
          </w:p>
        </w:tc>
        <w:tc>
          <w:tcPr>
            <w:tcW w:w="1285" w:type="dxa"/>
            <w:noWrap w:val="0"/>
            <w:vAlign w:val="center"/>
          </w:tcPr>
          <w:p w14:paraId="3B3ABA81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生物危害 物理危害</w:t>
            </w:r>
          </w:p>
        </w:tc>
        <w:tc>
          <w:tcPr>
            <w:tcW w:w="986" w:type="dxa"/>
            <w:noWrap w:val="0"/>
            <w:vAlign w:val="center"/>
          </w:tcPr>
          <w:p w14:paraId="645E366A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相关制度</w:t>
            </w:r>
          </w:p>
        </w:tc>
        <w:tc>
          <w:tcPr>
            <w:tcW w:w="789" w:type="dxa"/>
            <w:noWrap w:val="0"/>
            <w:vAlign w:val="center"/>
          </w:tcPr>
          <w:p w14:paraId="4E3367D5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虫蚁鼠 碰撞坠地</w:t>
            </w:r>
          </w:p>
        </w:tc>
        <w:tc>
          <w:tcPr>
            <w:tcW w:w="720" w:type="dxa"/>
            <w:noWrap w:val="0"/>
            <w:vAlign w:val="center"/>
          </w:tcPr>
          <w:p w14:paraId="1ACC0773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每批/次</w:t>
            </w:r>
          </w:p>
        </w:tc>
        <w:tc>
          <w:tcPr>
            <w:tcW w:w="720" w:type="dxa"/>
            <w:noWrap w:val="0"/>
            <w:vAlign w:val="center"/>
          </w:tcPr>
          <w:p w14:paraId="5DCE96A7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巡检</w:t>
            </w:r>
          </w:p>
        </w:tc>
        <w:tc>
          <w:tcPr>
            <w:tcW w:w="720" w:type="dxa"/>
            <w:noWrap w:val="0"/>
            <w:vAlign w:val="center"/>
          </w:tcPr>
          <w:p w14:paraId="4722F9D8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品质人员</w:t>
            </w:r>
          </w:p>
        </w:tc>
        <w:tc>
          <w:tcPr>
            <w:tcW w:w="2340" w:type="dxa"/>
            <w:noWrap w:val="0"/>
            <w:vAlign w:val="center"/>
          </w:tcPr>
          <w:p w14:paraId="2A63C346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隔离、返修处理</w:t>
            </w:r>
          </w:p>
        </w:tc>
        <w:tc>
          <w:tcPr>
            <w:tcW w:w="1136" w:type="dxa"/>
            <w:noWrap w:val="0"/>
            <w:vAlign w:val="center"/>
          </w:tcPr>
          <w:p w14:paraId="5BEBC54F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成品抽检报告</w:t>
            </w:r>
          </w:p>
        </w:tc>
        <w:tc>
          <w:tcPr>
            <w:tcW w:w="718" w:type="dxa"/>
            <w:noWrap w:val="0"/>
            <w:vAlign w:val="center"/>
          </w:tcPr>
          <w:p w14:paraId="1EE9A392">
            <w:pPr>
              <w:spacing w:line="280" w:lineRule="exact"/>
              <w:rPr>
                <w:rFonts w:hint="eastAsia" w:eastAsia="仿宋_GB2312"/>
                <w:color w:val="000000"/>
                <w:sz w:val="20"/>
                <w:szCs w:val="20"/>
              </w:rPr>
            </w:pPr>
            <w:r>
              <w:rPr>
                <w:rFonts w:hint="eastAsia" w:eastAsia="仿宋_GB2312"/>
                <w:color w:val="000000"/>
                <w:sz w:val="20"/>
                <w:szCs w:val="20"/>
              </w:rPr>
              <w:t>品质部</w:t>
            </w:r>
          </w:p>
        </w:tc>
      </w:tr>
    </w:tbl>
    <w:p w14:paraId="50D4F8D8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 w14:paraId="4C3A277F">
      <w:pPr>
        <w:adjustRightInd w:val="0"/>
        <w:snapToGrid w:val="0"/>
        <w:spacing w:line="340" w:lineRule="atLeast"/>
        <w:ind w:right="105" w:rightChars="50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8、相关的文件</w:t>
      </w:r>
    </w:p>
    <w:p w14:paraId="53B9AEB0">
      <w:pPr>
        <w:adjustRightInd w:val="0"/>
        <w:snapToGrid w:val="0"/>
        <w:spacing w:line="340" w:lineRule="atLeast"/>
        <w:ind w:right="105" w:rightChars="50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8.1《形成文件的信息控制程序》</w:t>
      </w:r>
    </w:p>
    <w:p w14:paraId="57EA9BB9">
      <w:pPr>
        <w:adjustRightInd w:val="0"/>
        <w:snapToGrid w:val="0"/>
        <w:spacing w:line="340" w:lineRule="atLeast"/>
        <w:ind w:right="105" w:rightChars="50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8.2《生产计划和生产过程控制程序》</w:t>
      </w:r>
    </w:p>
    <w:p w14:paraId="5575421A">
      <w:pPr>
        <w:adjustRightInd w:val="0"/>
        <w:snapToGrid w:val="0"/>
        <w:spacing w:line="340" w:lineRule="atLeast"/>
        <w:ind w:right="105" w:rightChars="50"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8.3《纠正与纠正控制程序》</w:t>
      </w:r>
    </w:p>
    <w:p w14:paraId="038DAC91">
      <w:pPr>
        <w:adjustRightInd w:val="0"/>
        <w:snapToGrid w:val="0"/>
        <w:spacing w:line="340" w:lineRule="atLeast"/>
        <w:ind w:right="105" w:righ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9、记录</w:t>
      </w:r>
    </w:p>
    <w:p w14:paraId="63B172B5">
      <w:pPr>
        <w:adjustRightInd w:val="0"/>
        <w:snapToGrid w:val="0"/>
        <w:spacing w:line="340" w:lineRule="atLeast"/>
        <w:ind w:right="105" w:righ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9.1《IQC来料检验日报表》</w:t>
      </w:r>
    </w:p>
    <w:p w14:paraId="1E37C9B8">
      <w:pPr>
        <w:adjustRightInd w:val="0"/>
        <w:snapToGrid w:val="0"/>
        <w:spacing w:line="340" w:lineRule="atLeast"/>
        <w:ind w:right="105" w:righ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9.2《制程巡检日报表》</w:t>
      </w:r>
    </w:p>
    <w:p w14:paraId="34A5121C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9.3 《成品抽检日报表》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仿宋_GB2312">
    <w:altName w:val="仿宋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121176">
    <w:pPr>
      <w:pStyle w:val="10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BD9CC0F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0B0E3">
    <w:pPr>
      <w:pStyle w:val="10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DDC68C4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044C4E01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2B153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0970C93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58EDD263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1E16E965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1BCF37AE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HQ/QP-19</w:t>
          </w:r>
        </w:p>
      </w:tc>
    </w:tr>
    <w:tr w14:paraId="142A98F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2AD9287E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1ADF98FC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4AF24A4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315C1CA6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产品风险评估管理程序</w:t>
          </w:r>
        </w:p>
      </w:tc>
      <w:tc>
        <w:tcPr>
          <w:tcW w:w="2552" w:type="dxa"/>
          <w:noWrap w:val="0"/>
          <w:vAlign w:val="center"/>
        </w:tcPr>
        <w:p w14:paraId="19BE5F0D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68F49923"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1B7FDEE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DBA01EB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77FC0878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0ADDC655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HQ/QP-19</w:t>
          </w:r>
        </w:p>
      </w:tc>
    </w:tr>
    <w:tr w14:paraId="63C62E0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775DD9CD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04CAACA1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5FFFFE2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0C37FF4B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产品风险评估管理程序</w:t>
          </w:r>
        </w:p>
      </w:tc>
      <w:tc>
        <w:tcPr>
          <w:tcW w:w="2552" w:type="dxa"/>
          <w:noWrap w:val="0"/>
          <w:vAlign w:val="center"/>
        </w:tcPr>
        <w:p w14:paraId="22F60A7B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52C0722B"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334C7"/>
    <w:multiLevelType w:val="multilevel"/>
    <w:tmpl w:val="2D3334C7"/>
    <w:lvl w:ilvl="0" w:tentative="0">
      <w:start w:val="1"/>
      <w:numFmt w:val="lowerLetter"/>
      <w:pStyle w:val="22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0FD5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2D8C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3E2B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311FC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D7DBE"/>
    <w:rsid w:val="002F47EC"/>
    <w:rsid w:val="0030363C"/>
    <w:rsid w:val="003065E7"/>
    <w:rsid w:val="00307067"/>
    <w:rsid w:val="003214C9"/>
    <w:rsid w:val="0032207A"/>
    <w:rsid w:val="00324561"/>
    <w:rsid w:val="00334E2F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D4B5A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469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592A"/>
    <w:rsid w:val="00507837"/>
    <w:rsid w:val="005103CE"/>
    <w:rsid w:val="005105B9"/>
    <w:rsid w:val="00515A43"/>
    <w:rsid w:val="0052414C"/>
    <w:rsid w:val="005272C9"/>
    <w:rsid w:val="00531D3C"/>
    <w:rsid w:val="00534831"/>
    <w:rsid w:val="0053711D"/>
    <w:rsid w:val="005458EA"/>
    <w:rsid w:val="005533EA"/>
    <w:rsid w:val="00557B23"/>
    <w:rsid w:val="00581821"/>
    <w:rsid w:val="00591015"/>
    <w:rsid w:val="005A5F7C"/>
    <w:rsid w:val="005B418B"/>
    <w:rsid w:val="005B5D80"/>
    <w:rsid w:val="005C31B4"/>
    <w:rsid w:val="005C463C"/>
    <w:rsid w:val="005D057D"/>
    <w:rsid w:val="005D5203"/>
    <w:rsid w:val="005E4885"/>
    <w:rsid w:val="005F05A6"/>
    <w:rsid w:val="005F4865"/>
    <w:rsid w:val="006011CF"/>
    <w:rsid w:val="00612A94"/>
    <w:rsid w:val="00621752"/>
    <w:rsid w:val="0062209B"/>
    <w:rsid w:val="00631E8C"/>
    <w:rsid w:val="00636F8F"/>
    <w:rsid w:val="006506FE"/>
    <w:rsid w:val="00663BBD"/>
    <w:rsid w:val="0067228E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0B5C"/>
    <w:rsid w:val="007635AA"/>
    <w:rsid w:val="00780B48"/>
    <w:rsid w:val="0078386E"/>
    <w:rsid w:val="007A388C"/>
    <w:rsid w:val="007B09E7"/>
    <w:rsid w:val="007B1602"/>
    <w:rsid w:val="007B655B"/>
    <w:rsid w:val="007C1ED4"/>
    <w:rsid w:val="007C62AD"/>
    <w:rsid w:val="007D19F1"/>
    <w:rsid w:val="007D2FDD"/>
    <w:rsid w:val="007D6E81"/>
    <w:rsid w:val="007E41C4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1130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605E5"/>
    <w:rsid w:val="00966548"/>
    <w:rsid w:val="009847D5"/>
    <w:rsid w:val="00985F21"/>
    <w:rsid w:val="009A329C"/>
    <w:rsid w:val="009B2D98"/>
    <w:rsid w:val="009C25AA"/>
    <w:rsid w:val="009C3995"/>
    <w:rsid w:val="009C6A6E"/>
    <w:rsid w:val="009D22EF"/>
    <w:rsid w:val="009D4758"/>
    <w:rsid w:val="009D549D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38E"/>
    <w:rsid w:val="00A13706"/>
    <w:rsid w:val="00A15C6B"/>
    <w:rsid w:val="00A16E4F"/>
    <w:rsid w:val="00A50D42"/>
    <w:rsid w:val="00A5512B"/>
    <w:rsid w:val="00A63175"/>
    <w:rsid w:val="00A64AAF"/>
    <w:rsid w:val="00A64FFA"/>
    <w:rsid w:val="00A6520F"/>
    <w:rsid w:val="00A72C26"/>
    <w:rsid w:val="00A74949"/>
    <w:rsid w:val="00A8261E"/>
    <w:rsid w:val="00A909FA"/>
    <w:rsid w:val="00AB1C34"/>
    <w:rsid w:val="00AB2CB2"/>
    <w:rsid w:val="00AB3C84"/>
    <w:rsid w:val="00AD26BD"/>
    <w:rsid w:val="00AE45FA"/>
    <w:rsid w:val="00AF3008"/>
    <w:rsid w:val="00B03D98"/>
    <w:rsid w:val="00B10878"/>
    <w:rsid w:val="00B12ABE"/>
    <w:rsid w:val="00B12EAF"/>
    <w:rsid w:val="00B13427"/>
    <w:rsid w:val="00B21CA7"/>
    <w:rsid w:val="00B277B8"/>
    <w:rsid w:val="00B32D02"/>
    <w:rsid w:val="00B353B0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28CB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61FF4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5FA4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81953"/>
    <w:rsid w:val="00E92591"/>
    <w:rsid w:val="00E93956"/>
    <w:rsid w:val="00EA1B2E"/>
    <w:rsid w:val="00EC30A9"/>
    <w:rsid w:val="00EC324D"/>
    <w:rsid w:val="00ED316B"/>
    <w:rsid w:val="00ED4DC8"/>
    <w:rsid w:val="00EF2F50"/>
    <w:rsid w:val="00F00346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C160EC8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"/>
    <w:basedOn w:val="1"/>
    <w:link w:val="29"/>
    <w:uiPriority w:val="0"/>
    <w:pPr>
      <w:spacing w:after="120"/>
    </w:pPr>
  </w:style>
  <w:style w:type="paragraph" w:styleId="6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7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8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9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7">
    <w:name w:val="Table Grid"/>
    <w:basedOn w:val="16"/>
    <w:uiPriority w:val="0"/>
    <w:pPr>
      <w:widowControl w:val="0"/>
      <w:jc w:val="both"/>
    </w:p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wBefore w:w="0" w:type="dxa"/>
    </w:tr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Hyperlink"/>
    <w:uiPriority w:val="99"/>
    <w:rPr>
      <w:color w:val="0000FF"/>
      <w:u w:val="single"/>
    </w:rPr>
  </w:style>
  <w:style w:type="paragraph" w:customStyle="1" w:styleId="21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2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3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4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5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28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29">
    <w:name w:val="正文文本 Char"/>
    <w:basedOn w:val="18"/>
    <w:link w:val="5"/>
    <w:uiPriority w:val="0"/>
    <w:rPr>
      <w:kern w:val="2"/>
      <w:sz w:val="21"/>
      <w:szCs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373</Words>
  <Characters>2129</Characters>
  <Lines>17</Lines>
  <Paragraphs>4</Paragraphs>
  <TotalTime>0</TotalTime>
  <ScaleCrop>false</ScaleCrop>
  <LinksUpToDate>false</LinksUpToDate>
  <CharactersWithSpaces>2498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2016-11-12T06:46:00Z</dcterms:created>
  <dc:creator>微软用户</dc:creator>
  <cp:lastModifiedBy>杨世林</cp:lastModifiedBy>
  <cp:lastPrinted>2016-07-12T07:11:00Z</cp:lastPrinted>
  <dcterms:modified xsi:type="dcterms:W3CDTF">2025-08-26T02:06:20Z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B841F85B710F48AE9EBAC31ECC96ADC6_13</vt:lpwstr>
  </property>
</Properties>
</file>