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品质部来料检验管理制度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为规范来料检验工作，确保来料质量符合要求，防止不合格原材料进入生产过程，特制定本制度。</w:t>
      </w:r>
    </w:p>
    <w:p/>
    <w:p>
      <w:pPr>
        <w:pStyle w:val="Heading3"/>
      </w:pPr>
      <w:r>
        <w:t>第二条 适用范围</w:t>
      </w:r>
    </w:p>
    <w:p>
      <w:r>
        <w:t>本制度适用于品质部来料检验的全过程管理，包括原材料、外购件、包装材料等的检验。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**源头控制**：从源头控制产品质量</w:t>
      </w:r>
    </w:p>
    <w:p>
      <w:pPr>
        <w:pStyle w:val="ListNumber"/>
      </w:pPr>
      <w:r>
        <w:t>**标准检验**：严格按照检验标准执行</w:t>
      </w:r>
    </w:p>
    <w:p>
      <w:pPr>
        <w:pStyle w:val="ListNumber"/>
      </w:pPr>
      <w:r>
        <w:t>**数据真实**：确保检验数据真实准确</w:t>
      </w:r>
    </w:p>
    <w:p>
      <w:pPr>
        <w:pStyle w:val="ListNumber"/>
      </w:pPr>
      <w:r>
        <w:t>**及时处理**：及时处理质量异常</w:t>
      </w:r>
    </w:p>
    <w:p>
      <w:pPr>
        <w:pStyle w:val="ListNumber"/>
      </w:pPr>
      <w:r>
        <w:t>**持续改进**：推动供应商质量持续改进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第四条 检验人员配置</w:t>
      </w:r>
    </w:p>
    <w:p>
      <w:pPr>
        <w:pStyle w:val="ListBullet"/>
      </w:pPr>
      <w:r>
        <w:t>**IQC检验员**：2名，负责来料检验工作</w:t>
      </w:r>
    </w:p>
    <w:p>
      <w:pPr>
        <w:pStyle w:val="ListBullet"/>
      </w:pPr>
      <w:r>
        <w:t>**直接上级**：品质部经理</w:t>
      </w:r>
    </w:p>
    <w:p/>
    <w:p>
      <w:pPr>
        <w:pStyle w:val="Heading3"/>
      </w:pPr>
      <w:r>
        <w:t>第五条 IQC检验员职责</w:t>
      </w:r>
    </w:p>
    <w:p>
      <w:pPr>
        <w:pStyle w:val="ListNumber"/>
      </w:pPr>
      <w:r>
        <w:t>**检验执行**</w:t>
      </w:r>
    </w:p>
    <w:p>
      <w:pPr>
        <w:pStyle w:val="ListBullet"/>
      </w:pPr>
      <w:r>
        <w:t>按照检验标准进行来料检验</w:t>
      </w:r>
    </w:p>
    <w:p>
      <w:pPr>
        <w:pStyle w:val="ListBullet"/>
      </w:pPr>
      <w:r>
        <w:t>填写检验记录，出具检验报告</w:t>
      </w:r>
    </w:p>
    <w:p>
      <w:pPr>
        <w:pStyle w:val="ListBullet"/>
      </w:pPr>
      <w:r>
        <w:t>对不合格品进行标识和隔离</w:t>
      </w:r>
    </w:p>
    <w:p/>
    <w:p>
      <w:pPr>
        <w:pStyle w:val="ListNumber"/>
      </w:pPr>
      <w:r>
        <w:t>**供应商管理**</w:t>
      </w:r>
    </w:p>
    <w:p>
      <w:pPr>
        <w:pStyle w:val="ListBullet"/>
      </w:pPr>
      <w:r>
        <w:t>参与供应商质量评估</w:t>
      </w:r>
    </w:p>
    <w:p>
      <w:pPr>
        <w:pStyle w:val="ListBullet"/>
      </w:pPr>
      <w:r>
        <w:t>收集供应商质量数据</w:t>
      </w:r>
    </w:p>
    <w:p>
      <w:pPr>
        <w:pStyle w:val="ListBullet"/>
      </w:pPr>
      <w:r>
        <w:t>反馈供应商质量问题</w:t>
      </w:r>
    </w:p>
    <w:p/>
    <w:p>
      <w:pPr>
        <w:pStyle w:val="ListNumber"/>
      </w:pPr>
      <w:r>
        <w:t>**设备维护**</w:t>
      </w:r>
    </w:p>
    <w:p>
      <w:pPr>
        <w:pStyle w:val="ListBullet"/>
      </w:pPr>
      <w:r>
        <w:t>维护检验设备正常运行</w:t>
      </w:r>
    </w:p>
    <w:p>
      <w:pPr>
        <w:pStyle w:val="ListBullet"/>
      </w:pPr>
      <w:r>
        <w:t>参与设备校准工作</w:t>
      </w:r>
    </w:p>
    <w:p>
      <w:pPr>
        <w:pStyle w:val="ListBullet"/>
      </w:pPr>
      <w:r>
        <w:t>保持检验环境整洁</w:t>
      </w:r>
    </w:p>
    <w:p/>
    <w:p>
      <w:pPr>
        <w:pStyle w:val="ListNumber"/>
      </w:pPr>
      <w:r>
        <w:t>**数据管理**</w:t>
      </w:r>
    </w:p>
    <w:p>
      <w:pPr>
        <w:pStyle w:val="ListBullet"/>
      </w:pPr>
      <w:r>
        <w:t>建立供应商质量档案</w:t>
      </w:r>
    </w:p>
    <w:p>
      <w:pPr>
        <w:pStyle w:val="ListBullet"/>
      </w:pPr>
      <w:r>
        <w:t>跟踪供应商质量改进</w:t>
      </w:r>
    </w:p>
    <w:p>
      <w:pPr>
        <w:pStyle w:val="ListBullet"/>
      </w:pPr>
      <w:r>
        <w:t>编制来料质量报告</w:t>
      </w:r>
    </w:p>
    <w:p/>
    <w:p>
      <w:pPr>
        <w:pStyle w:val="Heading2"/>
      </w:pPr>
      <w:r>
        <w:t>第三章 检验标准与要求</w:t>
      </w:r>
    </w:p>
    <w:p/>
    <w:p>
      <w:pPr>
        <w:pStyle w:val="Heading3"/>
      </w:pPr>
      <w:r>
        <w:t>第六条 检验标准制定</w:t>
      </w:r>
    </w:p>
    <w:p>
      <w:pPr>
        <w:pStyle w:val="ListNumber"/>
      </w:pPr>
      <w:r>
        <w:t>**标准来源**</w:t>
      </w:r>
    </w:p>
    <w:p>
      <w:pPr>
        <w:pStyle w:val="ListBullet"/>
      </w:pPr>
      <w:r>
        <w:t>国家标准、行业标准</w:t>
      </w:r>
    </w:p>
    <w:p>
      <w:pPr>
        <w:pStyle w:val="ListBullet"/>
      </w:pPr>
      <w:r>
        <w:t>客户技术要求</w:t>
      </w:r>
    </w:p>
    <w:p>
      <w:pPr>
        <w:pStyle w:val="ListBullet"/>
      </w:pPr>
      <w:r>
        <w:t>企业内部标准</w:t>
      </w:r>
    </w:p>
    <w:p>
      <w:pPr>
        <w:pStyle w:val="ListBullet"/>
      </w:pPr>
      <w:r>
        <w:t>供应商技术协议</w:t>
      </w:r>
    </w:p>
    <w:p/>
    <w:p>
      <w:pPr>
        <w:pStyle w:val="ListNumber"/>
      </w:pPr>
      <w:r>
        <w:t>**标准内容**</w:t>
      </w:r>
    </w:p>
    <w:p>
      <w:pPr>
        <w:pStyle w:val="ListBullet"/>
      </w:pPr>
      <w:r>
        <w:t>外观质量要求</w:t>
      </w:r>
    </w:p>
    <w:p>
      <w:pPr>
        <w:pStyle w:val="ListBullet"/>
      </w:pPr>
      <w:r>
        <w:t>尺寸公差要求</w:t>
      </w:r>
    </w:p>
    <w:p>
      <w:pPr>
        <w:pStyle w:val="ListBullet"/>
      </w:pPr>
      <w:r>
        <w:t>性能指标要求</w:t>
      </w:r>
    </w:p>
    <w:p>
      <w:pPr>
        <w:pStyle w:val="ListBullet"/>
      </w:pPr>
      <w:r>
        <w:t>包装标识要求</w:t>
      </w:r>
    </w:p>
    <w:p/>
    <w:p>
      <w:pPr>
        <w:pStyle w:val="ListNumber"/>
      </w:pPr>
      <w:r>
        <w:t>**标准更新**</w:t>
      </w:r>
    </w:p>
    <w:p>
      <w:pPr>
        <w:pStyle w:val="ListBullet"/>
      </w:pPr>
      <w:r>
        <w:t>定期评审检验标准</w:t>
      </w:r>
    </w:p>
    <w:p>
      <w:pPr>
        <w:pStyle w:val="ListBullet"/>
      </w:pPr>
      <w:r>
        <w:t>及时更新过期标准</w:t>
      </w:r>
    </w:p>
    <w:p>
      <w:pPr>
        <w:pStyle w:val="ListBullet"/>
      </w:pPr>
      <w:r>
        <w:t>培训标准变更内容</w:t>
      </w:r>
    </w:p>
    <w:p/>
    <w:p>
      <w:pPr>
        <w:pStyle w:val="Heading3"/>
      </w:pPr>
      <w:r>
        <w:t>第七条 抽样方案</w:t>
      </w:r>
    </w:p>
    <w:p>
      <w:pPr>
        <w:pStyle w:val="ListNumber"/>
      </w:pPr>
      <w:r>
        <w:t>**抽样标准**：按照GB/T 2828.1-2012标准执行</w:t>
      </w:r>
    </w:p>
    <w:p>
      <w:pPr>
        <w:pStyle w:val="ListNumber"/>
      </w:pPr>
      <w:r>
        <w:t>**抽样水平**：</w:t>
      </w:r>
    </w:p>
    <w:p>
      <w:pPr>
        <w:pStyle w:val="ListBullet"/>
      </w:pPr>
      <w:r>
        <w:t>一般检验水平：II级</w:t>
      </w:r>
    </w:p>
    <w:p>
      <w:pPr>
        <w:pStyle w:val="ListBullet"/>
      </w:pPr>
      <w:r>
        <w:t>特殊检验水平：根据产品重要性确定</w:t>
      </w:r>
    </w:p>
    <w:p>
      <w:pPr>
        <w:pStyle w:val="ListNumber"/>
      </w:pPr>
      <w:r>
        <w:t>**接收质量限**：</w:t>
      </w:r>
    </w:p>
    <w:p>
      <w:pPr>
        <w:pStyle w:val="ListBullet"/>
      </w:pPr>
      <w:r>
        <w:t>关键特性：AQL=0.65</w:t>
      </w:r>
    </w:p>
    <w:p>
      <w:pPr>
        <w:pStyle w:val="ListBullet"/>
      </w:pPr>
      <w:r>
        <w:t>主要特性：AQL=1.0</w:t>
      </w:r>
    </w:p>
    <w:p>
      <w:pPr>
        <w:pStyle w:val="ListBullet"/>
      </w:pPr>
      <w:r>
        <w:t>次要特性：AQL=2.5</w:t>
      </w:r>
    </w:p>
    <w:p/>
    <w:p>
      <w:pPr>
        <w:pStyle w:val="Heading3"/>
      </w:pPr>
      <w:r>
        <w:t>第八条 检验项目</w:t>
      </w:r>
    </w:p>
    <w:p>
      <w:pPr>
        <w:pStyle w:val="ListNumber"/>
      </w:pPr>
      <w:r>
        <w:t>**外观检验**</w:t>
      </w:r>
    </w:p>
    <w:p>
      <w:pPr>
        <w:pStyle w:val="ListBullet"/>
      </w:pPr>
      <w:r>
        <w:t>表面缺陷检查</w:t>
      </w:r>
    </w:p>
    <w:p>
      <w:pPr>
        <w:pStyle w:val="ListBullet"/>
      </w:pPr>
      <w:r>
        <w:t>颜色一致性检查</w:t>
      </w:r>
    </w:p>
    <w:p>
      <w:pPr>
        <w:pStyle w:val="ListBullet"/>
      </w:pPr>
      <w:r>
        <w:t>包装完整性检查</w:t>
      </w:r>
    </w:p>
    <w:p/>
    <w:p>
      <w:pPr>
        <w:pStyle w:val="ListNumber"/>
      </w:pPr>
      <w:r>
        <w:t>**尺寸检验**</w:t>
      </w:r>
    </w:p>
    <w:p>
      <w:pPr>
        <w:pStyle w:val="ListBullet"/>
      </w:pPr>
      <w:r>
        <w:t>关键尺寸测量</w:t>
      </w:r>
    </w:p>
    <w:p>
      <w:pPr>
        <w:pStyle w:val="ListBullet"/>
      </w:pPr>
      <w:r>
        <w:t>公差符合性检查</w:t>
      </w:r>
    </w:p>
    <w:p>
      <w:pPr>
        <w:pStyle w:val="ListBullet"/>
      </w:pPr>
      <w:r>
        <w:t>配合精度验证</w:t>
      </w:r>
    </w:p>
    <w:p/>
    <w:p>
      <w:pPr>
        <w:pStyle w:val="ListNumber"/>
      </w:pPr>
      <w:r>
        <w:t>**性能检验**</w:t>
      </w:r>
    </w:p>
    <w:p>
      <w:pPr>
        <w:pStyle w:val="ListBullet"/>
      </w:pPr>
      <w:r>
        <w:t>电气性能测试</w:t>
      </w:r>
    </w:p>
    <w:p>
      <w:pPr>
        <w:pStyle w:val="ListBullet"/>
      </w:pPr>
      <w:r>
        <w:t>机械性能测试</w:t>
      </w:r>
    </w:p>
    <w:p>
      <w:pPr>
        <w:pStyle w:val="ListBullet"/>
      </w:pPr>
      <w:r>
        <w:t>化学成分分析</w:t>
      </w:r>
    </w:p>
    <w:p/>
    <w:p>
      <w:pPr>
        <w:pStyle w:val="ListNumber"/>
      </w:pPr>
      <w:r>
        <w:t>**标识检验**</w:t>
      </w:r>
    </w:p>
    <w:p>
      <w:pPr>
        <w:pStyle w:val="ListBullet"/>
      </w:pPr>
      <w:r>
        <w:t>产品标识检查</w:t>
      </w:r>
    </w:p>
    <w:p>
      <w:pPr>
        <w:pStyle w:val="ListBullet"/>
      </w:pPr>
      <w:r>
        <w:t>包装标识检查</w:t>
      </w:r>
    </w:p>
    <w:p>
      <w:pPr>
        <w:pStyle w:val="ListBullet"/>
      </w:pPr>
      <w:r>
        <w:t>证书文件检查</w:t>
      </w:r>
    </w:p>
    <w:p/>
    <w:p>
      <w:pPr>
        <w:pStyle w:val="Heading2"/>
      </w:pPr>
      <w:r>
        <w:t>第四章 检验流程</w:t>
      </w:r>
    </w:p>
    <w:p/>
    <w:p>
      <w:pPr>
        <w:pStyle w:val="Heading3"/>
      </w:pPr>
      <w:r>
        <w:t>第九条 检验准备</w:t>
      </w:r>
    </w:p>
    <w:p>
      <w:pPr>
        <w:pStyle w:val="ListNumber"/>
      </w:pPr>
      <w:r>
        <w:t>**信息确认**</w:t>
      </w:r>
    </w:p>
    <w:p>
      <w:pPr>
        <w:pStyle w:val="ListBullet"/>
      </w:pPr>
      <w:r>
        <w:t>确认采购订单信息</w:t>
      </w:r>
    </w:p>
    <w:p>
      <w:pPr>
        <w:pStyle w:val="ListBullet"/>
      </w:pPr>
      <w:r>
        <w:t>核对供应商资质</w:t>
      </w:r>
    </w:p>
    <w:p>
      <w:pPr>
        <w:pStyle w:val="ListBullet"/>
      </w:pPr>
      <w:r>
        <w:t>准备检验标准和工具</w:t>
      </w:r>
    </w:p>
    <w:p/>
    <w:p>
      <w:pPr>
        <w:pStyle w:val="ListNumber"/>
      </w:pPr>
      <w:r>
        <w:t>**样品准备**</w:t>
      </w:r>
    </w:p>
    <w:p>
      <w:pPr>
        <w:pStyle w:val="ListBullet"/>
      </w:pPr>
      <w:r>
        <w:t>按抽样方案取样</w:t>
      </w:r>
    </w:p>
    <w:p>
      <w:pPr>
        <w:pStyle w:val="ListBullet"/>
      </w:pPr>
      <w:r>
        <w:t>标识样品信息</w:t>
      </w:r>
    </w:p>
    <w:p>
      <w:pPr>
        <w:pStyle w:val="ListBullet"/>
      </w:pPr>
      <w:r>
        <w:t>准备检验环境</w:t>
      </w:r>
    </w:p>
    <w:p/>
    <w:p>
      <w:pPr>
        <w:pStyle w:val="Heading3"/>
      </w:pPr>
      <w:r>
        <w:t>第十条 检验实施</w:t>
      </w:r>
    </w:p>
    <w:p>
      <w:pPr>
        <w:pStyle w:val="ListNumber"/>
      </w:pPr>
      <w:r>
        <w:t>**检验顺序**</w:t>
      </w:r>
    </w:p>
    <w:p>
      <w:pPr>
        <w:pStyle w:val="ListBullet"/>
      </w:pPr>
      <w:r>
        <w:t>外观检验→尺寸检验→性能检验</w:t>
      </w:r>
    </w:p>
    <w:p>
      <w:pPr>
        <w:pStyle w:val="ListBullet"/>
      </w:pPr>
      <w:r>
        <w:t>先检验关键特性</w:t>
      </w:r>
    </w:p>
    <w:p>
      <w:pPr>
        <w:pStyle w:val="ListBullet"/>
      </w:pPr>
      <w:r>
        <w:t>发现不合格立即停止检验</w:t>
      </w:r>
    </w:p>
    <w:p/>
    <w:p>
      <w:pPr>
        <w:pStyle w:val="ListNumber"/>
      </w:pPr>
      <w:r>
        <w:t>**检验记录**</w:t>
      </w:r>
    </w:p>
    <w:p>
      <w:pPr>
        <w:pStyle w:val="ListBullet"/>
      </w:pPr>
      <w:r>
        <w:t>详细记录检验数据</w:t>
      </w:r>
    </w:p>
    <w:p>
      <w:pPr>
        <w:pStyle w:val="ListBullet"/>
      </w:pPr>
      <w:r>
        <w:t>拍照记录外观缺陷</w:t>
      </w:r>
    </w:p>
    <w:p>
      <w:pPr>
        <w:pStyle w:val="ListBullet"/>
      </w:pPr>
      <w:r>
        <w:t>保存检验原始记录</w:t>
      </w:r>
    </w:p>
    <w:p/>
    <w:p>
      <w:pPr>
        <w:pStyle w:val="ListNumber"/>
      </w:pPr>
      <w:r>
        <w:t>**检验时限**</w:t>
      </w:r>
    </w:p>
    <w:p>
      <w:pPr>
        <w:pStyle w:val="ListBullet"/>
      </w:pPr>
      <w:r>
        <w:t>常规来料：4小时内完成</w:t>
      </w:r>
    </w:p>
    <w:p>
      <w:pPr>
        <w:pStyle w:val="ListBullet"/>
      </w:pPr>
      <w:r>
        <w:t>紧急来料：2小时内完成</w:t>
      </w:r>
    </w:p>
    <w:p>
      <w:pPr>
        <w:pStyle w:val="ListBullet"/>
      </w:pPr>
      <w:r>
        <w:t>特殊来料：8小时内完成</w:t>
      </w:r>
    </w:p>
    <w:p/>
    <w:p>
      <w:pPr>
        <w:pStyle w:val="Heading3"/>
      </w:pPr>
      <w:r>
        <w:t>第十一条 检验判定</w:t>
      </w:r>
    </w:p>
    <w:p>
      <w:pPr>
        <w:pStyle w:val="ListNumber"/>
      </w:pPr>
      <w:r>
        <w:t>**合格判定**</w:t>
      </w:r>
    </w:p>
    <w:p>
      <w:pPr>
        <w:pStyle w:val="ListBullet"/>
      </w:pPr>
      <w:r>
        <w:t>所有检验项目均符合要求</w:t>
      </w:r>
    </w:p>
    <w:p>
      <w:pPr>
        <w:pStyle w:val="ListBullet"/>
      </w:pPr>
      <w:r>
        <w:t>出具合格检验报告</w:t>
      </w:r>
    </w:p>
    <w:p>
      <w:pPr>
        <w:pStyle w:val="ListBullet"/>
      </w:pPr>
      <w:r>
        <w:t>放行入库</w:t>
      </w:r>
    </w:p>
    <w:p/>
    <w:p>
      <w:pPr>
        <w:pStyle w:val="ListNumber"/>
      </w:pPr>
      <w:r>
        <w:t>**不合格判定**</w:t>
      </w:r>
    </w:p>
    <w:p>
      <w:pPr>
        <w:pStyle w:val="ListBullet"/>
      </w:pPr>
      <w:r>
        <w:t>任一检验项目不符合要求</w:t>
      </w:r>
    </w:p>
    <w:p>
      <w:pPr>
        <w:pStyle w:val="ListBullet"/>
      </w:pPr>
      <w:r>
        <w:t>出具不合格检验报告</w:t>
      </w:r>
    </w:p>
    <w:p>
      <w:pPr>
        <w:pStyle w:val="ListBullet"/>
      </w:pPr>
      <w:r>
        <w:t>隔离标识，禁止入库</w:t>
      </w:r>
    </w:p>
    <w:p/>
    <w:p>
      <w:pPr>
        <w:pStyle w:val="Heading2"/>
      </w:pPr>
      <w:r>
        <w:t>第五章 不合格品处理</w:t>
      </w:r>
    </w:p>
    <w:p/>
    <w:p>
      <w:pPr>
        <w:pStyle w:val="Heading3"/>
      </w:pPr>
      <w:r>
        <w:t>第十二条 不合格品标识</w:t>
      </w:r>
    </w:p>
    <w:p>
      <w:pPr>
        <w:pStyle w:val="ListNumber"/>
      </w:pPr>
      <w:r>
        <w:t>**标识要求**</w:t>
      </w:r>
    </w:p>
    <w:p>
      <w:pPr>
        <w:pStyle w:val="ListBullet"/>
      </w:pPr>
      <w:r>
        <w:t>使用红色"不合格"标签</w:t>
      </w:r>
    </w:p>
    <w:p>
      <w:pPr>
        <w:pStyle w:val="ListBullet"/>
      </w:pPr>
      <w:r>
        <w:t>标明不合格项目和原因</w:t>
      </w:r>
    </w:p>
    <w:p>
      <w:pPr>
        <w:pStyle w:val="ListBullet"/>
      </w:pPr>
      <w:r>
        <w:t>记录处理责任人</w:t>
      </w:r>
    </w:p>
    <w:p/>
    <w:p>
      <w:pPr>
        <w:pStyle w:val="ListNumber"/>
      </w:pPr>
      <w:r>
        <w:t>**隔离存放**</w:t>
      </w:r>
    </w:p>
    <w:p>
      <w:pPr>
        <w:pStyle w:val="ListBullet"/>
      </w:pPr>
      <w:r>
        <w:t>设置专门的不合格品区域</w:t>
      </w:r>
    </w:p>
    <w:p>
      <w:pPr>
        <w:pStyle w:val="ListBullet"/>
      </w:pPr>
      <w:r>
        <w:t>防止误用和混料</w:t>
      </w:r>
    </w:p>
    <w:p>
      <w:pPr>
        <w:pStyle w:val="ListBullet"/>
      </w:pPr>
      <w:r>
        <w:t>定期清理过期物料</w:t>
      </w:r>
    </w:p>
    <w:p/>
    <w:p>
      <w:pPr>
        <w:pStyle w:val="Heading3"/>
      </w:pPr>
      <w:r>
        <w:t>第十三条 不合格品处置</w:t>
      </w:r>
    </w:p>
    <w:p>
      <w:pPr>
        <w:pStyle w:val="ListNumber"/>
      </w:pPr>
      <w:r>
        <w:t>**退货处理**</w:t>
      </w:r>
    </w:p>
    <w:p>
      <w:pPr>
        <w:pStyle w:val="ListBullet"/>
      </w:pPr>
      <w:r>
        <w:t>联系供应商安排退货</w:t>
      </w:r>
    </w:p>
    <w:p>
      <w:pPr>
        <w:pStyle w:val="ListBullet"/>
      </w:pPr>
      <w:r>
        <w:t>办理退货手续</w:t>
      </w:r>
    </w:p>
    <w:p>
      <w:pPr>
        <w:pStyle w:val="ListBullet"/>
      </w:pPr>
      <w:r>
        <w:t>跟踪退货进度</w:t>
      </w:r>
    </w:p>
    <w:p/>
    <w:p>
      <w:pPr>
        <w:pStyle w:val="ListNumber"/>
      </w:pPr>
      <w:r>
        <w:t>**让步接收**</w:t>
      </w:r>
    </w:p>
    <w:p>
      <w:pPr>
        <w:pStyle w:val="ListBullet"/>
      </w:pPr>
      <w:r>
        <w:t>评估使用风险</w:t>
      </w:r>
    </w:p>
    <w:p>
      <w:pPr>
        <w:pStyle w:val="ListBullet"/>
      </w:pPr>
      <w:r>
        <w:t>获得相关部门同意</w:t>
      </w:r>
    </w:p>
    <w:p>
      <w:pPr>
        <w:pStyle w:val="ListBullet"/>
      </w:pPr>
      <w:r>
        <w:t>标识让步接收状态</w:t>
      </w:r>
    </w:p>
    <w:p/>
    <w:p>
      <w:pPr>
        <w:pStyle w:val="ListNumber"/>
      </w:pPr>
      <w:r>
        <w:t>**降级使用**</w:t>
      </w:r>
    </w:p>
    <w:p>
      <w:pPr>
        <w:pStyle w:val="ListBullet"/>
      </w:pPr>
      <w:r>
        <w:t>评估降级使用可行性</w:t>
      </w:r>
    </w:p>
    <w:p>
      <w:pPr>
        <w:pStyle w:val="ListBullet"/>
      </w:pPr>
      <w:r>
        <w:t>重新标识用途</w:t>
      </w:r>
    </w:p>
    <w:p>
      <w:pPr>
        <w:pStyle w:val="ListBullet"/>
      </w:pPr>
      <w:r>
        <w:t>控制使用范围</w:t>
      </w:r>
    </w:p>
    <w:p/>
    <w:p>
      <w:pPr>
        <w:pStyle w:val="Heading3"/>
      </w:pPr>
      <w:r>
        <w:t>第十四条 供应商反馈</w:t>
      </w:r>
    </w:p>
    <w:p>
      <w:pPr>
        <w:pStyle w:val="ListNumber"/>
      </w:pPr>
      <w:r>
        <w:t>**问题通报**</w:t>
      </w:r>
    </w:p>
    <w:p>
      <w:pPr>
        <w:pStyle w:val="ListBullet"/>
      </w:pPr>
      <w:r>
        <w:t>24小时内通报供应商</w:t>
      </w:r>
    </w:p>
    <w:p>
      <w:pPr>
        <w:pStyle w:val="ListBullet"/>
      </w:pPr>
      <w:r>
        <w:t>提供详细的不合格信息</w:t>
      </w:r>
    </w:p>
    <w:p>
      <w:pPr>
        <w:pStyle w:val="ListBullet"/>
      </w:pPr>
      <w:r>
        <w:t>要求供应商分析原因</w:t>
      </w:r>
    </w:p>
    <w:p/>
    <w:p>
      <w:pPr>
        <w:pStyle w:val="ListNumber"/>
      </w:pPr>
      <w:r>
        <w:t>**改进要求**</w:t>
      </w:r>
    </w:p>
    <w:p>
      <w:pPr>
        <w:pStyle w:val="ListBullet"/>
      </w:pPr>
      <w:r>
        <w:t>要求供应商制定改进措施</w:t>
      </w:r>
    </w:p>
    <w:p>
      <w:pPr>
        <w:pStyle w:val="ListBullet"/>
      </w:pPr>
      <w:r>
        <w:t>跟踪改进措施实施</w:t>
      </w:r>
    </w:p>
    <w:p>
      <w:pPr>
        <w:pStyle w:val="ListBullet"/>
      </w:pPr>
      <w:r>
        <w:t>验证改进效果</w:t>
      </w:r>
    </w:p>
    <w:p/>
    <w:p>
      <w:pPr>
        <w:pStyle w:val="Heading2"/>
      </w:pPr>
      <w:r>
        <w:t>第六章 供应商质量管理</w:t>
      </w:r>
    </w:p>
    <w:p/>
    <w:p>
      <w:pPr>
        <w:pStyle w:val="Heading3"/>
      </w:pPr>
      <w:r>
        <w:t>第十五条 供应商评价</w:t>
      </w:r>
    </w:p>
    <w:p>
      <w:pPr>
        <w:pStyle w:val="ListNumber"/>
      </w:pPr>
      <w:r>
        <w:t>**评价指标**</w:t>
      </w:r>
    </w:p>
    <w:p>
      <w:pPr>
        <w:pStyle w:val="ListBullet"/>
      </w:pPr>
      <w:r>
        <w:t>来料合格率≥98%</w:t>
      </w:r>
    </w:p>
    <w:p>
      <w:pPr>
        <w:pStyle w:val="ListBullet"/>
      </w:pPr>
      <w:r>
        <w:t>交付及时率≥95%</w:t>
      </w:r>
    </w:p>
    <w:p>
      <w:pPr>
        <w:pStyle w:val="ListBullet"/>
      </w:pPr>
      <w:r>
        <w:t>质量问题响应时间≤24小时</w:t>
      </w:r>
    </w:p>
    <w:p>
      <w:pPr>
        <w:pStyle w:val="ListBullet"/>
      </w:pPr>
      <w:r>
        <w:t>改进措施有效性≥90%</w:t>
      </w:r>
    </w:p>
    <w:p/>
    <w:p>
      <w:pPr>
        <w:pStyle w:val="ListNumber"/>
      </w:pPr>
      <w:r>
        <w:t>**评价周期**</w:t>
      </w:r>
    </w:p>
    <w:p>
      <w:pPr>
        <w:pStyle w:val="ListBullet"/>
      </w:pPr>
      <w:r>
        <w:t>月度评价：统计月度质量数据</w:t>
      </w:r>
    </w:p>
    <w:p>
      <w:pPr>
        <w:pStyle w:val="ListBullet"/>
      </w:pPr>
      <w:r>
        <w:t>季度评价：综合评估供应商表现</w:t>
      </w:r>
    </w:p>
    <w:p>
      <w:pPr>
        <w:pStyle w:val="ListBullet"/>
      </w:pPr>
      <w:r>
        <w:t>年度评价：全面评价供应商能力</w:t>
      </w:r>
    </w:p>
    <w:p/>
    <w:p>
      <w:pPr>
        <w:pStyle w:val="Heading3"/>
      </w:pPr>
      <w:r>
        <w:t>第十六条 供应商分级管理</w:t>
      </w:r>
    </w:p>
    <w:p>
      <w:pPr>
        <w:pStyle w:val="ListNumber"/>
      </w:pPr>
      <w:r>
        <w:t>**A级供应商**（优秀）</w:t>
      </w:r>
    </w:p>
    <w:p>
      <w:pPr>
        <w:pStyle w:val="ListBullet"/>
      </w:pPr>
      <w:r>
        <w:t>来料合格率≥99%</w:t>
      </w:r>
    </w:p>
    <w:p>
      <w:pPr>
        <w:pStyle w:val="ListBullet"/>
      </w:pPr>
      <w:r>
        <w:t>可适当减少检验频次</w:t>
      </w:r>
    </w:p>
    <w:p>
      <w:pPr>
        <w:pStyle w:val="ListBullet"/>
      </w:pPr>
      <w:r>
        <w:t>优先合作伙伴</w:t>
      </w:r>
    </w:p>
    <w:p/>
    <w:p>
      <w:pPr>
        <w:pStyle w:val="ListNumber"/>
      </w:pPr>
      <w:r>
        <w:t>**B级供应商**（合格）</w:t>
      </w:r>
    </w:p>
    <w:p>
      <w:pPr>
        <w:pStyle w:val="ListBullet"/>
      </w:pPr>
      <w:r>
        <w:t>来料合格率98-99%</w:t>
      </w:r>
    </w:p>
    <w:p>
      <w:pPr>
        <w:pStyle w:val="ListBullet"/>
      </w:pPr>
      <w:r>
        <w:t>正常检验频次</w:t>
      </w:r>
    </w:p>
    <w:p>
      <w:pPr>
        <w:pStyle w:val="ListBullet"/>
      </w:pPr>
      <w:r>
        <w:t>重点监控对象</w:t>
      </w:r>
    </w:p>
    <w:p/>
    <w:p>
      <w:pPr>
        <w:pStyle w:val="ListNumber"/>
      </w:pPr>
      <w:r>
        <w:t>**C级供应商**（待改进）</w:t>
      </w:r>
    </w:p>
    <w:p>
      <w:pPr>
        <w:pStyle w:val="ListBullet"/>
      </w:pPr>
      <w:r>
        <w:t>来料合格率95-98%</w:t>
      </w:r>
    </w:p>
    <w:p>
      <w:pPr>
        <w:pStyle w:val="ListBullet"/>
      </w:pPr>
      <w:r>
        <w:t>增加检验频次</w:t>
      </w:r>
    </w:p>
    <w:p>
      <w:pPr>
        <w:pStyle w:val="ListBullet"/>
      </w:pPr>
      <w:r>
        <w:t>要求改进计划</w:t>
      </w:r>
    </w:p>
    <w:p/>
    <w:p>
      <w:pPr>
        <w:pStyle w:val="ListNumber"/>
      </w:pPr>
      <w:r>
        <w:t>**D级供应商**（不合格）</w:t>
      </w:r>
    </w:p>
    <w:p>
      <w:pPr>
        <w:pStyle w:val="ListBullet"/>
      </w:pPr>
      <w:r>
        <w:t>来料合格率&lt;95%</w:t>
      </w:r>
    </w:p>
    <w:p>
      <w:pPr>
        <w:pStyle w:val="ListBullet"/>
      </w:pPr>
      <w:r>
        <w:t>全检或暂停合作</w:t>
      </w:r>
    </w:p>
    <w:p>
      <w:pPr>
        <w:pStyle w:val="ListBullet"/>
      </w:pPr>
      <w:r>
        <w:t>限期整改或淘汰</w:t>
      </w:r>
    </w:p>
    <w:p/>
    <w:p>
      <w:pPr>
        <w:pStyle w:val="Heading3"/>
      </w:pPr>
      <w:r>
        <w:t>第十七条 供应商改进</w:t>
      </w:r>
    </w:p>
    <w:p>
      <w:pPr>
        <w:pStyle w:val="ListNumber"/>
      </w:pPr>
      <w:r>
        <w:t>**问题分析**</w:t>
      </w:r>
    </w:p>
    <w:p>
      <w:pPr>
        <w:pStyle w:val="ListBullet"/>
      </w:pPr>
      <w:r>
        <w:t>收集质量问题数据</w:t>
      </w:r>
    </w:p>
    <w:p>
      <w:pPr>
        <w:pStyle w:val="ListBullet"/>
      </w:pPr>
      <w:r>
        <w:t>分析问题发生趋势</w:t>
      </w:r>
    </w:p>
    <w:p>
      <w:pPr>
        <w:pStyle w:val="ListBullet"/>
      </w:pPr>
      <w:r>
        <w:t>识别主要质量问题</w:t>
      </w:r>
    </w:p>
    <w:p/>
    <w:p>
      <w:pPr>
        <w:pStyle w:val="ListNumber"/>
      </w:pPr>
      <w:r>
        <w:t>**改进推动**</w:t>
      </w:r>
    </w:p>
    <w:p>
      <w:pPr>
        <w:pStyle w:val="ListBullet"/>
      </w:pPr>
      <w:r>
        <w:t>组织供应商质量会议</w:t>
      </w:r>
    </w:p>
    <w:p>
      <w:pPr>
        <w:pStyle w:val="ListBullet"/>
      </w:pPr>
      <w:r>
        <w:t>制定改进计划</w:t>
      </w:r>
    </w:p>
    <w:p>
      <w:pPr>
        <w:pStyle w:val="ListBullet"/>
      </w:pPr>
      <w:r>
        <w:t>跟踪改进进度</w:t>
      </w:r>
    </w:p>
    <w:p/>
    <w:p>
      <w:pPr>
        <w:pStyle w:val="ListNumber"/>
      </w:pPr>
      <w:r>
        <w:t>**效果验证**</w:t>
      </w:r>
    </w:p>
    <w:p>
      <w:pPr>
        <w:pStyle w:val="ListBullet"/>
      </w:pPr>
      <w:r>
        <w:t>验证改进措施有效性</w:t>
      </w:r>
    </w:p>
    <w:p>
      <w:pPr>
        <w:pStyle w:val="ListBullet"/>
      </w:pPr>
      <w:r>
        <w:t>评估质量提升效果</w:t>
      </w:r>
    </w:p>
    <w:p>
      <w:pPr>
        <w:pStyle w:val="ListBullet"/>
      </w:pPr>
      <w:r>
        <w:t>固化有效改进措施</w:t>
      </w:r>
    </w:p>
    <w:p/>
    <w:p>
      <w:pPr>
        <w:pStyle w:val="Heading2"/>
      </w:pPr>
      <w:r>
        <w:t>第七章 设备与环境管理</w:t>
      </w:r>
    </w:p>
    <w:p/>
    <w:p>
      <w:pPr>
        <w:pStyle w:val="Heading3"/>
      </w:pPr>
      <w:r>
        <w:t>第十八条 检验设备</w:t>
      </w:r>
    </w:p>
    <w:p>
      <w:pPr>
        <w:pStyle w:val="ListNumber"/>
      </w:pPr>
      <w:r>
        <w:t>**设备配置**</w:t>
      </w:r>
    </w:p>
    <w:p>
      <w:pPr>
        <w:pStyle w:val="ListBullet"/>
      </w:pPr>
      <w:r>
        <w:t>游标卡尺、千分尺等测量工具</w:t>
      </w:r>
    </w:p>
    <w:p>
      <w:pPr>
        <w:pStyle w:val="ListBullet"/>
      </w:pPr>
      <w:r>
        <w:t>电子天平、硬度计等检测设备</w:t>
      </w:r>
    </w:p>
    <w:p>
      <w:pPr>
        <w:pStyle w:val="ListBullet"/>
      </w:pPr>
      <w:r>
        <w:t>显微镜、投影仪等观察设备</w:t>
      </w:r>
    </w:p>
    <w:p/>
    <w:p>
      <w:pPr>
        <w:pStyle w:val="ListNumber"/>
      </w:pPr>
      <w:r>
        <w:t>**设备校准**</w:t>
      </w:r>
    </w:p>
    <w:p>
      <w:pPr>
        <w:pStyle w:val="ListBullet"/>
      </w:pPr>
      <w:r>
        <w:t>制定设备校准计划</w:t>
      </w:r>
    </w:p>
    <w:p>
      <w:pPr>
        <w:pStyle w:val="ListBullet"/>
      </w:pPr>
      <w:r>
        <w:t>按期进行设备校准</w:t>
      </w:r>
    </w:p>
    <w:p>
      <w:pPr>
        <w:pStyle w:val="ListBullet"/>
      </w:pPr>
      <w:r>
        <w:t>保存校准记录</w:t>
      </w:r>
    </w:p>
    <w:p/>
    <w:p>
      <w:pPr>
        <w:pStyle w:val="ListNumber"/>
      </w:pPr>
      <w:r>
        <w:t>**设备维护**</w:t>
      </w:r>
    </w:p>
    <w:p>
      <w:pPr>
        <w:pStyle w:val="ListBullet"/>
      </w:pPr>
      <w:r>
        <w:t>日常清洁保养</w:t>
      </w:r>
    </w:p>
    <w:p>
      <w:pPr>
        <w:pStyle w:val="ListBullet"/>
      </w:pPr>
      <w:r>
        <w:t>定期检查维护</w:t>
      </w:r>
    </w:p>
    <w:p>
      <w:pPr>
        <w:pStyle w:val="ListBullet"/>
      </w:pPr>
      <w:r>
        <w:t>及时维修故障设备</w:t>
      </w:r>
    </w:p>
    <w:p/>
    <w:p>
      <w:pPr>
        <w:pStyle w:val="Heading3"/>
      </w:pPr>
      <w:r>
        <w:t>第十九条 检验环境</w:t>
      </w:r>
    </w:p>
    <w:p>
      <w:pPr>
        <w:pStyle w:val="ListNumber"/>
      </w:pPr>
      <w:r>
        <w:t>**环境要求**</w:t>
      </w:r>
    </w:p>
    <w:p>
      <w:pPr>
        <w:pStyle w:val="ListBullet"/>
      </w:pPr>
      <w:r>
        <w:t>温度：20±5℃</w:t>
      </w:r>
    </w:p>
    <w:p>
      <w:pPr>
        <w:pStyle w:val="ListBullet"/>
      </w:pPr>
      <w:r>
        <w:t>湿度：45-75%RH</w:t>
      </w:r>
    </w:p>
    <w:p>
      <w:pPr>
        <w:pStyle w:val="ListBullet"/>
      </w:pPr>
      <w:r>
        <w:t>照明：≥500lux</w:t>
      </w:r>
    </w:p>
    <w:p>
      <w:pPr>
        <w:pStyle w:val="ListBullet"/>
      </w:pPr>
      <w:r>
        <w:t>清洁：无尘、无污染</w:t>
      </w:r>
    </w:p>
    <w:p/>
    <w:p>
      <w:pPr>
        <w:pStyle w:val="ListNumber"/>
      </w:pPr>
      <w:r>
        <w:t>**环境监控**</w:t>
      </w:r>
    </w:p>
    <w:p>
      <w:pPr>
        <w:pStyle w:val="ListBullet"/>
      </w:pPr>
      <w:r>
        <w:t>定期监测环境参数</w:t>
      </w:r>
    </w:p>
    <w:p>
      <w:pPr>
        <w:pStyle w:val="ListBullet"/>
      </w:pPr>
      <w:r>
        <w:t>记录环境监测数据</w:t>
      </w:r>
    </w:p>
    <w:p>
      <w:pPr>
        <w:pStyle w:val="ListBullet"/>
      </w:pPr>
      <w:r>
        <w:t>异常情况及时处理</w:t>
      </w:r>
    </w:p>
    <w:p/>
    <w:p>
      <w:pPr>
        <w:pStyle w:val="Heading2"/>
      </w:pPr>
      <w:r>
        <w:t>第八章 数据管理与分析</w:t>
      </w:r>
    </w:p>
    <w:p/>
    <w:p>
      <w:pPr>
        <w:pStyle w:val="Heading3"/>
      </w:pPr>
      <w:r>
        <w:t>第二十条 数据记录</w:t>
      </w:r>
    </w:p>
    <w:p>
      <w:pPr>
        <w:pStyle w:val="ListNumber"/>
      </w:pPr>
      <w:r>
        <w:t>**记录要求**</w:t>
      </w:r>
    </w:p>
    <w:p>
      <w:pPr>
        <w:pStyle w:val="ListBullet"/>
      </w:pPr>
      <w:r>
        <w:t>数据真实、准确、完整</w:t>
      </w:r>
    </w:p>
    <w:p>
      <w:pPr>
        <w:pStyle w:val="ListBullet"/>
      </w:pPr>
      <w:r>
        <w:t>字迹清晰、不得涂改</w:t>
      </w:r>
    </w:p>
    <w:p>
      <w:pPr>
        <w:pStyle w:val="ListBullet"/>
      </w:pPr>
      <w:r>
        <w:t>及时填写、按时提交</w:t>
      </w:r>
    </w:p>
    <w:p/>
    <w:p>
      <w:pPr>
        <w:pStyle w:val="ListNumber"/>
      </w:pPr>
      <w:r>
        <w:t>**记录内容**</w:t>
      </w:r>
    </w:p>
    <w:p>
      <w:pPr>
        <w:pStyle w:val="ListBullet"/>
      </w:pPr>
      <w:r>
        <w:t>检验日期、批次、数量</w:t>
      </w:r>
    </w:p>
    <w:p>
      <w:pPr>
        <w:pStyle w:val="ListBullet"/>
      </w:pPr>
      <w:r>
        <w:t>检验项目、标准、结果</w:t>
      </w:r>
    </w:p>
    <w:p>
      <w:pPr>
        <w:pStyle w:val="ListBullet"/>
      </w:pPr>
      <w:r>
        <w:t>检验员签名、审核签名</w:t>
      </w:r>
    </w:p>
    <w:p/>
    <w:p>
      <w:pPr>
        <w:pStyle w:val="Heading3"/>
      </w:pPr>
      <w:r>
        <w:t>第二十一条 数据分析</w:t>
      </w:r>
    </w:p>
    <w:p>
      <w:pPr>
        <w:pStyle w:val="ListNumber"/>
      </w:pPr>
      <w:r>
        <w:t>**统计分析**</w:t>
      </w:r>
    </w:p>
    <w:p>
      <w:pPr>
        <w:pStyle w:val="ListBullet"/>
      </w:pPr>
      <w:r>
        <w:t>计算来料合格率</w:t>
      </w:r>
    </w:p>
    <w:p>
      <w:pPr>
        <w:pStyle w:val="ListBullet"/>
      </w:pPr>
      <w:r>
        <w:t>分析不合格项目分布</w:t>
      </w:r>
    </w:p>
    <w:p>
      <w:pPr>
        <w:pStyle w:val="ListBullet"/>
      </w:pPr>
      <w:r>
        <w:t>识别质量趋势变化</w:t>
      </w:r>
    </w:p>
    <w:p/>
    <w:p>
      <w:pPr>
        <w:pStyle w:val="ListNumber"/>
      </w:pPr>
      <w:r>
        <w:t>**报告编制**</w:t>
      </w:r>
    </w:p>
    <w:p>
      <w:pPr>
        <w:pStyle w:val="ListBullet"/>
      </w:pPr>
      <w:r>
        <w:t>编制月度来料质量报告</w:t>
      </w:r>
    </w:p>
    <w:p>
      <w:pPr>
        <w:pStyle w:val="ListBullet"/>
      </w:pPr>
      <w:r>
        <w:t>分析主要质量问题</w:t>
      </w:r>
    </w:p>
    <w:p>
      <w:pPr>
        <w:pStyle w:val="ListBullet"/>
      </w:pPr>
      <w:r>
        <w:t>提出改进建议</w:t>
      </w:r>
    </w:p>
    <w:p/>
    <w:p>
      <w:pPr>
        <w:pStyle w:val="Heading2"/>
      </w:pPr>
      <w:r>
        <w:t>第九章 培训与能力</w:t>
      </w:r>
    </w:p>
    <w:p/>
    <w:p>
      <w:pPr>
        <w:pStyle w:val="Heading3"/>
      </w:pPr>
      <w:r>
        <w:t>第二十二条 培训体系</w:t>
      </w:r>
    </w:p>
    <w:p>
      <w:pPr>
        <w:pStyle w:val="ListNumber"/>
      </w:pPr>
      <w:r>
        <w:t>**入职培训**</w:t>
      </w:r>
    </w:p>
    <w:p>
      <w:pPr>
        <w:pStyle w:val="ListBullet"/>
      </w:pPr>
      <w:r>
        <w:t>检验标准培训</w:t>
      </w:r>
    </w:p>
    <w:p>
      <w:pPr>
        <w:pStyle w:val="ListBullet"/>
      </w:pPr>
      <w:r>
        <w:t>检验技能培训</w:t>
      </w:r>
    </w:p>
    <w:p>
      <w:pPr>
        <w:pStyle w:val="ListBullet"/>
      </w:pPr>
      <w:r>
        <w:t>设备操作培训</w:t>
      </w:r>
    </w:p>
    <w:p/>
    <w:p>
      <w:pPr>
        <w:pStyle w:val="ListNumber"/>
      </w:pPr>
      <w:r>
        <w:t>**在岗培训**</w:t>
      </w:r>
    </w:p>
    <w:p>
      <w:pPr>
        <w:pStyle w:val="ListBullet"/>
      </w:pPr>
      <w:r>
        <w:t>新标准培训</w:t>
      </w:r>
    </w:p>
    <w:p>
      <w:pPr>
        <w:pStyle w:val="ListBullet"/>
      </w:pPr>
      <w:r>
        <w:t>技能提升培训</w:t>
      </w:r>
    </w:p>
    <w:p>
      <w:pPr>
        <w:pStyle w:val="ListBullet"/>
      </w:pPr>
      <w:r>
        <w:t>质量意识培训</w:t>
      </w:r>
    </w:p>
    <w:p/>
    <w:p>
      <w:pPr>
        <w:pStyle w:val="Heading3"/>
      </w:pPr>
      <w:r>
        <w:t>第二十三条 能力评价</w:t>
      </w:r>
    </w:p>
    <w:p>
      <w:pPr>
        <w:pStyle w:val="ListNumber"/>
      </w:pPr>
      <w:r>
        <w:t>**技能考核**</w:t>
      </w:r>
    </w:p>
    <w:p>
      <w:pPr>
        <w:pStyle w:val="ListBullet"/>
      </w:pPr>
      <w:r>
        <w:t>理论知识考试</w:t>
      </w:r>
    </w:p>
    <w:p>
      <w:pPr>
        <w:pStyle w:val="ListBullet"/>
      </w:pPr>
      <w:r>
        <w:t>实际操作考核</w:t>
      </w:r>
    </w:p>
    <w:p>
      <w:pPr>
        <w:pStyle w:val="ListBullet"/>
      </w:pPr>
      <w:r>
        <w:t>综合能力评价</w:t>
      </w:r>
    </w:p>
    <w:p/>
    <w:p>
      <w:pPr>
        <w:pStyle w:val="ListNumber"/>
      </w:pPr>
      <w:r>
        <w:t>**持续改进**</w:t>
      </w:r>
    </w:p>
    <w:p>
      <w:pPr>
        <w:pStyle w:val="ListBullet"/>
      </w:pPr>
      <w:r>
        <w:t>识别培训需求</w:t>
      </w:r>
    </w:p>
    <w:p>
      <w:pPr>
        <w:pStyle w:val="ListBullet"/>
      </w:pPr>
      <w:r>
        <w:t>制定培训计划</w:t>
      </w:r>
    </w:p>
    <w:p>
      <w:pPr>
        <w:pStyle w:val="ListBullet"/>
      </w:pPr>
      <w:r>
        <w:t>评估培训效果</w:t>
      </w:r>
    </w:p>
    <w:p/>
    <w:p>
      <w:pPr>
        <w:pStyle w:val="Heading2"/>
      </w:pPr>
      <w:r>
        <w:t>第十章 考核与奖惩</w:t>
      </w:r>
    </w:p>
    <w:p/>
    <w:p>
      <w:pPr>
        <w:pStyle w:val="Heading3"/>
      </w:pPr>
      <w:r>
        <w:t>第二十四条 考核指标</w:t>
      </w:r>
    </w:p>
    <w:p>
      <w:pPr>
        <w:pStyle w:val="ListNumber"/>
      </w:pPr>
      <w:r>
        <w:t>**检验准确率**：≥99%（权重40%）</w:t>
      </w:r>
    </w:p>
    <w:p>
      <w:pPr>
        <w:pStyle w:val="ListNumber"/>
      </w:pPr>
      <w:r>
        <w:t>**检验效率**：按时完成率≥95%（权重30%）</w:t>
      </w:r>
    </w:p>
    <w:p>
      <w:pPr>
        <w:pStyle w:val="ListNumber"/>
      </w:pPr>
      <w:r>
        <w:t>**不合格品发现率**：≥95%（权重20%）</w:t>
      </w:r>
    </w:p>
    <w:p>
      <w:pPr>
        <w:pStyle w:val="ListNumber"/>
      </w:pPr>
      <w:r>
        <w:t>**工作质量**：记录规范性（权重10%）</w:t>
      </w:r>
    </w:p>
    <w:p/>
    <w:p>
      <w:pPr>
        <w:pStyle w:val="Heading3"/>
      </w:pPr>
      <w:r>
        <w:t>第二十五条 奖惩措施</w:t>
      </w:r>
    </w:p>
    <w:p>
      <w:pPr>
        <w:pStyle w:val="ListNumber"/>
      </w:pPr>
      <w:r>
        <w:t>**奖励措施**</w:t>
      </w:r>
    </w:p>
    <w:p>
      <w:pPr>
        <w:pStyle w:val="ListBullet"/>
      </w:pPr>
      <w:r>
        <w:t>检验准确率100%：奖励200元/月</w:t>
      </w:r>
    </w:p>
    <w:p>
      <w:pPr>
        <w:pStyle w:val="ListBullet"/>
      </w:pPr>
      <w:r>
        <w:t>发现重大质量问题：奖励500-2000元</w:t>
      </w:r>
    </w:p>
    <w:p>
      <w:pPr>
        <w:pStyle w:val="ListBullet"/>
      </w:pPr>
      <w:r>
        <w:t>提出有效改进建议：奖励300-1000元</w:t>
      </w:r>
    </w:p>
    <w:p/>
    <w:p>
      <w:pPr>
        <w:pStyle w:val="ListNumber"/>
      </w:pPr>
      <w:r>
        <w:t>**处罚措施**</w:t>
      </w:r>
    </w:p>
    <w:p>
      <w:pPr>
        <w:pStyle w:val="ListBullet"/>
      </w:pPr>
      <w:r>
        <w:t>漏检不合格品：扣罚200-1000元</w:t>
      </w:r>
    </w:p>
    <w:p>
      <w:pPr>
        <w:pStyle w:val="ListBullet"/>
      </w:pPr>
      <w:r>
        <w:t>检验数据造假：扣罚500-2000元</w:t>
      </w:r>
    </w:p>
    <w:p>
      <w:pPr>
        <w:pStyle w:val="ListBullet"/>
      </w:pPr>
      <w:r>
        <w:t>违反操作规程：扣罚100-500元</w:t>
      </w:r>
    </w:p>
    <w:p/>
    <w:p>
      <w:pPr>
        <w:pStyle w:val="Heading2"/>
      </w:pPr>
      <w:r>
        <w:t>第十一章 附则</w:t>
      </w:r>
    </w:p>
    <w:p/>
    <w:p>
      <w:pPr>
        <w:pStyle w:val="Heading3"/>
      </w:pPr>
      <w:r>
        <w:t>第二十六条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IQC检验员严格遵守本制度</w:t>
      </w:r>
    </w:p>
    <w:p>
      <w:pPr>
        <w:pStyle w:val="ListNumber"/>
      </w:pPr>
      <w:r>
        <w:t>相关部门积极配合执行</w:t>
      </w:r>
    </w:p>
    <w:p/>
    <w:p>
      <w:pPr>
        <w:pStyle w:val="Heading3"/>
      </w:pPr>
      <w:r>
        <w:t>第二十七条 制度修订</w:t>
      </w:r>
    </w:p>
    <w:p>
      <w:r>
        <w:t>本制度根据实际情况适时修订，修订后重新发布执行。</w:t>
      </w:r>
    </w:p>
    <w:p/>
    <w:p>
      <w:pPr>
        <w:pStyle w:val="Heading3"/>
      </w:pPr>
      <w:r>
        <w:t>第二十八条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