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职责与绩效考核</w:t>
      </w:r>
    </w:p>
    <w:p/>
    <w:p>
      <w:pPr>
        <w:pStyle w:val="Heading2"/>
      </w:pPr>
      <w:r>
        <w:t>第一章 部门职责</w:t>
      </w:r>
    </w:p>
    <w:p/>
    <w:p>
      <w:pPr>
        <w:pStyle w:val="Heading3"/>
      </w:pPr>
      <w:r>
        <w:t>1.1 人事行政部职责</w:t>
      </w:r>
    </w:p>
    <w:p>
      <w:pPr>
        <w:pStyle w:val="ListBullet"/>
      </w:pPr>
      <w:r>
        <w:t>人力资源规划与管理</w:t>
      </w:r>
    </w:p>
    <w:p>
      <w:pPr>
        <w:pStyle w:val="ListBullet"/>
      </w:pPr>
      <w:r>
        <w:t>行政事务管理</w:t>
      </w:r>
    </w:p>
    <w:p>
      <w:pPr>
        <w:pStyle w:val="ListBullet"/>
      </w:pPr>
      <w:r>
        <w:t>员工关系维护</w:t>
      </w:r>
    </w:p>
    <w:p>
      <w:pPr>
        <w:pStyle w:val="ListBullet"/>
      </w:pPr>
      <w:r>
        <w:t>制度建设与执行</w:t>
      </w:r>
    </w:p>
    <w:p/>
    <w:p>
      <w:pPr>
        <w:pStyle w:val="Heading3"/>
      </w:pPr>
      <w:r>
        <w:t>1.2 岗位职责</w:t>
      </w:r>
    </w:p>
    <w:p>
      <w:pPr>
        <w:pStyle w:val="Heading4"/>
      </w:pPr>
      <w:r>
        <w:t>1.2.1 行政主管兼人事专员</w:t>
      </w:r>
    </w:p>
    <w:p>
      <w:pPr>
        <w:pStyle w:val="ListNumber"/>
      </w:pPr>
      <w:r>
        <w:t>人力资源全流程管理</w:t>
      </w:r>
    </w:p>
    <w:p>
      <w:pPr>
        <w:pStyle w:val="ListBullet"/>
      </w:pPr>
      <w:r>
        <w:t>招聘配置：执行职员/员工招聘（渠道维护、面试安排、背景调查）</w:t>
      </w:r>
    </w:p>
    <w:p>
      <w:pPr>
        <w:pStyle w:val="ListBullet"/>
      </w:pPr>
      <w:r>
        <w:t>入职培训：办理入职手续，开展制度培训及劳动合同签订</w:t>
      </w:r>
    </w:p>
    <w:p>
      <w:pPr>
        <w:pStyle w:val="ListBullet"/>
      </w:pPr>
      <w:r>
        <w:t>离职管理：办理离职手续及档案管理</w:t>
      </w:r>
    </w:p>
    <w:p>
      <w:pPr>
        <w:pStyle w:val="ListNumber"/>
      </w:pPr>
      <w:r>
        <w:t>薪酬与劳动关系</w:t>
      </w:r>
    </w:p>
    <w:p>
      <w:pPr>
        <w:pStyle w:val="ListBullet"/>
      </w:pPr>
      <w:r>
        <w:t>考勤工资核算、薪酬方案实施</w:t>
      </w:r>
    </w:p>
    <w:p>
      <w:pPr>
        <w:pStyle w:val="ListBullet"/>
      </w:pPr>
      <w:r>
        <w:t>工伤认定、社保商保申报及年度续保</w:t>
      </w:r>
    </w:p>
    <w:p>
      <w:pPr>
        <w:pStyle w:val="ListBullet"/>
      </w:pPr>
      <w:r>
        <w:t>劳动争议协调处理</w:t>
      </w:r>
    </w:p>
    <w:p>
      <w:pPr>
        <w:pStyle w:val="ListNumber"/>
      </w:pPr>
      <w:r>
        <w:t>行政综合事务</w:t>
      </w:r>
    </w:p>
    <w:p>
      <w:pPr>
        <w:pStyle w:val="ListBullet"/>
      </w:pPr>
      <w:r>
        <w:t>制度文件起草发布</w:t>
      </w:r>
    </w:p>
    <w:p>
      <w:pPr>
        <w:pStyle w:val="ListBullet"/>
      </w:pPr>
      <w:r>
        <w:t>后勤保障（清洁/宿舍/办公用品管理）</w:t>
      </w:r>
    </w:p>
    <w:p>
      <w:pPr>
        <w:pStyle w:val="ListBullet"/>
      </w:pPr>
      <w:r>
        <w:t>会议活动组织与设备维护</w:t>
      </w:r>
    </w:p>
    <w:p>
      <w:pPr>
        <w:pStyle w:val="ListNumber"/>
      </w:pPr>
      <w:r>
        <w:t>专项工作</w:t>
      </w:r>
    </w:p>
    <w:p>
      <w:pPr>
        <w:pStyle w:val="ListBullet"/>
      </w:pPr>
      <w:r>
        <w:t>验厂对接（人权/环境等验厂准备）</w:t>
      </w:r>
    </w:p>
    <w:p>
      <w:pPr>
        <w:pStyle w:val="ListBullet"/>
      </w:pPr>
      <w:r>
        <w:t>政府事务（报表申报、检查接待）</w:t>
      </w:r>
    </w:p>
    <w:p>
      <w:pPr>
        <w:pStyle w:val="ListBullet"/>
      </w:pPr>
      <w:r>
        <w:t>临时交办事项处理</w:t>
      </w:r>
    </w:p>
    <w:p/>
    <w:p>
      <w:pPr>
        <w:pStyle w:val="Heading2"/>
      </w:pPr>
      <w:r>
        <w:t>第二章 绩效考核</w:t>
      </w:r>
    </w:p>
    <w:p>
      <w:pPr>
        <w:pStyle w:val="Heading3"/>
      </w:pPr>
      <w:r>
        <w:t>2.1 考核指标体系</w:t>
      </w:r>
    </w:p>
    <w:p>
      <w:r>
        <w:t>| 维度            | 指标项                  | 考核标准                             | 权重 |</w:t>
      </w:r>
    </w:p>
    <w:p>
      <w:r>
        <w:t>|----------------|-------------------------|------------------------------------|------|</w:t>
      </w:r>
    </w:p>
    <w:p>
      <w:r>
        <w:t>| 人力资源(35%)  | 招聘及时率              | 职员岗15天内到岗，员工岗7天内到岗    | 10%  |</w:t>
      </w:r>
    </w:p>
    <w:p>
      <w:r>
        <w:t>|                | 培训完成率              | 新员工3日内完成制度培训              | 8%   |</w:t>
      </w:r>
    </w:p>
    <w:p>
      <w:r>
        <w:t>|                | 档案完整率              | 人事档案缺失≤1份/月                 | 7%   |</w:t>
      </w:r>
    </w:p>
    <w:p>
      <w:r>
        <w:t>|                | 劳动争议处理            | 劳动纠纷解决周期≤7个工作日           | 10%  |</w:t>
      </w:r>
    </w:p>
    <w:p>
      <w:r>
        <w:t>| 薪酬行政(30%)  | 考勤核算准确率          | 误差≤0.5%，每月5日前完成             | 12%  |</w:t>
      </w:r>
    </w:p>
    <w:p>
      <w:r>
        <w:t>|                | 社保申报及时性          | 每月25日前完成增减员申报              | 10%  |</w:t>
      </w:r>
    </w:p>
    <w:p>
      <w:r>
        <w:t>|                | 办公设备完好率          | 设备故障响应≤2小时                   | 8%   |</w:t>
      </w:r>
    </w:p>
    <w:p>
      <w:r>
        <w:t>| 专项工作(25%)  | 验厂通过率              | 客户验厂整改项≤3个                  | 15%  |</w:t>
      </w:r>
    </w:p>
    <w:p>
      <w:r>
        <w:t>|                | 政府检查合格率          | 政府部门检查零行政处罚               | 10%  |</w:t>
      </w:r>
    </w:p>
    <w:p>
      <w:r>
        <w:t>| 综合表现(10%)  | 工作态度                | 跨部门协作满意度≥90%                 | 5%   |</w:t>
      </w:r>
    </w:p>
    <w:p>
      <w:r>
        <w:t>|                | 临时任务完成度          | 领导交办事项按期完成率100%           | 5%   |</w:t>
      </w:r>
    </w:p>
    <w:p/>
    <w:p>
      <w:pPr>
        <w:pStyle w:val="Heading3"/>
      </w:pPr>
      <w:r>
        <w:t>2.2 考核方式</w:t>
      </w:r>
    </w:p>
    <w:p>
      <w:r>
        <w:t>实行月度考核与年度总评相结合，其中：</w:t>
      </w:r>
    </w:p>
    <w:p>
      <w:pPr>
        <w:pStyle w:val="ListBullet"/>
      </w:pPr>
      <w:r>
        <w:t>月度考核：次月5日前完成</w:t>
      </w:r>
    </w:p>
    <w:p>
      <w:pPr>
        <w:pStyle w:val="ListBullet"/>
      </w:pPr>
      <w:r>
        <w:t>年度考核：次年1月15日前完成</w:t>
      </w:r>
    </w:p>
    <w:p/>
    <w:p>
      <w:pPr>
        <w:pStyle w:val="Heading3"/>
      </w:pPr>
      <w:r>
        <w:t>2.3 异常费用分摊办法</w:t>
      </w:r>
    </w:p>
    <w:p>
      <w:r>
        <w:t>出现以下情形时启动追责：</w:t>
      </w:r>
    </w:p>
    <w:p>
      <w:pPr>
        <w:pStyle w:val="ListNumber"/>
      </w:pPr>
      <w:r>
        <w:t>因工作失误导致的社保滞纳金</w:t>
      </w:r>
    </w:p>
    <w:p>
      <w:pPr>
        <w:pStyle w:val="ListNumber"/>
      </w:pPr>
      <w:r>
        <w:t>验厂不合格产生的整改费用</w:t>
      </w:r>
    </w:p>
    <w:p>
      <w:pPr>
        <w:pStyle w:val="ListNumber"/>
      </w:pPr>
      <w:r>
        <w:t>劳动仲裁败诉的经济赔偿</w:t>
      </w:r>
    </w:p>
    <w:p>
      <w:r>
        <w:t>追责比例根据责任认定结果按30%-100%阶梯执行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