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生产部工艺流程</w:t>
      </w:r>
    </w:p>
    <w:p/>
    <w:p>
      <w:pPr>
        <w:pStyle w:val="Heading2"/>
      </w:pPr>
      <w:r>
        <w:t>1. 总则</w:t>
      </w:r>
    </w:p>
    <w:p/>
    <w:p>
      <w:pPr>
        <w:pStyle w:val="Heading3"/>
      </w:pPr>
      <w:r>
        <w:t>1.1 流程目的</w:t>
      </w:r>
    </w:p>
    <w:p>
      <w:pPr>
        <w:pStyle w:val="ListBullet"/>
      </w:pPr>
      <w:r>
        <w:t>规范小家电产品装配工艺流程</w:t>
      </w:r>
    </w:p>
    <w:p>
      <w:pPr>
        <w:pStyle w:val="ListBullet"/>
      </w:pPr>
      <w:r>
        <w:t>确保产品质量稳定可靠</w:t>
      </w:r>
    </w:p>
    <w:p>
      <w:pPr>
        <w:pStyle w:val="ListBullet"/>
      </w:pPr>
      <w:r>
        <w:t>提高生产效率和一致性</w:t>
      </w:r>
    </w:p>
    <w:p>
      <w:pPr>
        <w:pStyle w:val="ListBullet"/>
      </w:pPr>
      <w:r>
        <w:t>为员工提供标准化作业指导</w:t>
      </w:r>
    </w:p>
    <w:p/>
    <w:p>
      <w:pPr>
        <w:pStyle w:val="Heading3"/>
      </w:pPr>
      <w:r>
        <w:t>1.2 适用范围</w:t>
      </w:r>
    </w:p>
    <w:p>
      <w:pPr>
        <w:pStyle w:val="ListBullet"/>
      </w:pPr>
      <w:r>
        <w:t>生产部所有装配作业</w:t>
      </w:r>
    </w:p>
    <w:p>
      <w:pPr>
        <w:pStyle w:val="ListBullet"/>
      </w:pPr>
      <w:r>
        <w:t>小家电产品装配工艺</w:t>
      </w:r>
    </w:p>
    <w:p>
      <w:pPr>
        <w:pStyle w:val="ListBullet"/>
      </w:pPr>
      <w:r>
        <w:t>质量控制检验流程</w:t>
      </w:r>
    </w:p>
    <w:p>
      <w:pPr>
        <w:pStyle w:val="ListBullet"/>
      </w:pPr>
      <w:r>
        <w:t>异常处理流程</w:t>
      </w:r>
    </w:p>
    <w:p/>
    <w:p>
      <w:pPr>
        <w:pStyle w:val="Heading3"/>
      </w:pPr>
      <w:r>
        <w:t>1.3 基本原则</w:t>
      </w:r>
    </w:p>
    <w:p>
      <w:pPr>
        <w:pStyle w:val="ListBullet"/>
      </w:pPr>
      <w:r>
        <w:t>**标准化作业**：严格按工艺要求执行</w:t>
      </w:r>
    </w:p>
    <w:p>
      <w:pPr>
        <w:pStyle w:val="ListBullet"/>
      </w:pPr>
      <w:r>
        <w:t>**质量第一**：每道工序确保质量</w:t>
      </w:r>
    </w:p>
    <w:p>
      <w:pPr>
        <w:pStyle w:val="ListBullet"/>
      </w:pPr>
      <w:r>
        <w:t>**安全操作**：遵守安全操作规程</w:t>
      </w:r>
    </w:p>
    <w:p>
      <w:pPr>
        <w:pStyle w:val="ListBullet"/>
      </w:pPr>
      <w:r>
        <w:t>**持续改进**：不断优化工艺流程</w:t>
      </w:r>
    </w:p>
    <w:p/>
    <w:p>
      <w:pPr>
        <w:pStyle w:val="Heading2"/>
      </w:pPr>
      <w:r>
        <w:t>2. 装配前准备流程</w:t>
      </w:r>
    </w:p>
    <w:p/>
    <w:p>
      <w:pPr>
        <w:pStyle w:val="Heading3"/>
      </w:pPr>
      <w:r>
        <w:t>2.1 生产准备</w:t>
      </w:r>
    </w:p>
    <w:p>
      <w:pPr>
        <w:pStyle w:val="Heading4"/>
      </w:pPr>
      <w:r>
        <w:t>2.1.1 任务接收</w:t>
      </w:r>
    </w:p>
    <w:p>
      <w:r>
        <w:t>```</w:t>
      </w:r>
    </w:p>
    <w:p>
      <w:r>
        <w:t>接收生产任务单 → 确认产品型号规格 → 核对技术要求 → 确认交付时间</w:t>
      </w:r>
    </w:p>
    <w:p>
      <w:r>
        <w:t>```</w:t>
      </w:r>
    </w:p>
    <w:p/>
    <w:p>
      <w:r>
        <w:t>**操作要点：**</w:t>
      </w:r>
    </w:p>
    <w:p>
      <w:pPr>
        <w:pStyle w:val="ListBullet"/>
      </w:pPr>
      <w:r>
        <w:t>仔细核对生产任务单信息</w:t>
      </w:r>
    </w:p>
    <w:p>
      <w:pPr>
        <w:pStyle w:val="ListBullet"/>
      </w:pPr>
      <w:r>
        <w:t>确认产品BOM清单</w:t>
      </w:r>
    </w:p>
    <w:p>
      <w:pPr>
        <w:pStyle w:val="ListBullet"/>
      </w:pPr>
      <w:r>
        <w:t>了解特殊技术要求</w:t>
      </w:r>
    </w:p>
    <w:p>
      <w:pPr>
        <w:pStyle w:val="ListBullet"/>
      </w:pPr>
      <w:r>
        <w:t>明确质量标准</w:t>
      </w:r>
    </w:p>
    <w:p/>
    <w:p>
      <w:pPr>
        <w:pStyle w:val="Heading4"/>
      </w:pPr>
      <w:r>
        <w:t>2.1.2 物料准备</w:t>
      </w:r>
    </w:p>
    <w:p>
      <w:r>
        <w:t>```</w:t>
      </w:r>
    </w:p>
    <w:p>
      <w:r>
        <w:t>领取物料清单 → 核对物料规格 → 检查物料质量 → 物料上线摆放</w:t>
      </w:r>
    </w:p>
    <w:p>
      <w:r>
        <w:t>```</w:t>
      </w:r>
    </w:p>
    <w:p/>
    <w:p>
      <w:r>
        <w:t>**操作要点：**</w:t>
      </w:r>
    </w:p>
    <w:p>
      <w:pPr>
        <w:pStyle w:val="ListBullet"/>
      </w:pPr>
      <w:r>
        <w:t>按BOM清单领取物料</w:t>
      </w:r>
    </w:p>
    <w:p>
      <w:pPr>
        <w:pStyle w:val="ListBullet"/>
      </w:pPr>
      <w:r>
        <w:t>核对物料型号、规格、数量</w:t>
      </w:r>
    </w:p>
    <w:p>
      <w:pPr>
        <w:pStyle w:val="ListBullet"/>
      </w:pPr>
      <w:r>
        <w:t>检查物料外观质量</w:t>
      </w:r>
    </w:p>
    <w:p>
      <w:pPr>
        <w:pStyle w:val="ListBullet"/>
      </w:pPr>
      <w:r>
        <w:t>按工位需求摆放物料</w:t>
      </w:r>
    </w:p>
    <w:p>
      <w:pPr>
        <w:pStyle w:val="ListBullet"/>
      </w:pPr>
      <w:r>
        <w:t>做好物料标识</w:t>
      </w:r>
    </w:p>
    <w:p/>
    <w:p>
      <w:pPr>
        <w:pStyle w:val="Heading4"/>
      </w:pPr>
      <w:r>
        <w:t>2.1.3 工具设备准备</w:t>
      </w:r>
    </w:p>
    <w:p>
      <w:r>
        <w:t>```</w:t>
      </w:r>
    </w:p>
    <w:p>
      <w:r>
        <w:t>检查装配工具 → 校验测量工具 → 确认设备状态 → 准备辅助材料</w:t>
      </w:r>
    </w:p>
    <w:p>
      <w:r>
        <w:t>```</w:t>
      </w:r>
    </w:p>
    <w:p/>
    <w:p>
      <w:r>
        <w:t>**操作要点：**</w:t>
      </w:r>
    </w:p>
    <w:p>
      <w:pPr>
        <w:pStyle w:val="ListBullet"/>
      </w:pPr>
      <w:r>
        <w:t>检查工具完好性</w:t>
      </w:r>
    </w:p>
    <w:p>
      <w:pPr>
        <w:pStyle w:val="ListBullet"/>
      </w:pPr>
      <w:r>
        <w:t>校验量具精度</w:t>
      </w:r>
    </w:p>
    <w:p>
      <w:pPr>
        <w:pStyle w:val="ListBullet"/>
      </w:pPr>
      <w:r>
        <w:t>确认设备正常运行</w:t>
      </w:r>
    </w:p>
    <w:p>
      <w:pPr>
        <w:pStyle w:val="ListBullet"/>
      </w:pPr>
      <w:r>
        <w:t>准备螺丝刀、扳手等工具</w:t>
      </w:r>
    </w:p>
    <w:p>
      <w:pPr>
        <w:pStyle w:val="ListBullet"/>
      </w:pPr>
      <w:r>
        <w:t>准备胶水、标签等辅材</w:t>
      </w:r>
    </w:p>
    <w:p/>
    <w:p>
      <w:pPr>
        <w:pStyle w:val="Heading3"/>
      </w:pPr>
      <w:r>
        <w:t>2.2 首件确认</w:t>
      </w:r>
    </w:p>
    <w:p>
      <w:pPr>
        <w:pStyle w:val="Heading4"/>
      </w:pPr>
      <w:r>
        <w:t>2.2.1 首件装配</w:t>
      </w:r>
    </w:p>
    <w:p>
      <w:r>
        <w:t>```</w:t>
      </w:r>
    </w:p>
    <w:p>
      <w:r>
        <w:t>装配第一件产品 → 全面质量检查 → 功能测试 → 外观检验</w:t>
      </w:r>
    </w:p>
    <w:p>
      <w:r>
        <w:t>```</w:t>
      </w:r>
    </w:p>
    <w:p/>
    <w:p>
      <w:r>
        <w:t>**操作要点：**</w:t>
      </w:r>
    </w:p>
    <w:p>
      <w:pPr>
        <w:pStyle w:val="ListBullet"/>
      </w:pPr>
      <w:r>
        <w:t>严格按工艺要求装配</w:t>
      </w:r>
    </w:p>
    <w:p>
      <w:pPr>
        <w:pStyle w:val="ListBullet"/>
      </w:pPr>
      <w:r>
        <w:t>重点检查关键尺寸</w:t>
      </w:r>
    </w:p>
    <w:p>
      <w:pPr>
        <w:pStyle w:val="ListBullet"/>
      </w:pPr>
      <w:r>
        <w:t>进行功能性能测试</w:t>
      </w:r>
    </w:p>
    <w:p>
      <w:pPr>
        <w:pStyle w:val="ListBullet"/>
      </w:pPr>
      <w:r>
        <w:t>检查外观质量</w:t>
      </w:r>
    </w:p>
    <w:p/>
    <w:p>
      <w:pPr>
        <w:pStyle w:val="Heading4"/>
      </w:pPr>
      <w:r>
        <w:t>2.2.2 首件确认</w:t>
      </w:r>
    </w:p>
    <w:p>
      <w:r>
        <w:t>```</w:t>
      </w:r>
    </w:p>
    <w:p>
      <w:r>
        <w:t>质检员检验 → 工程部确认 → 生产部主管批准 → 批量生产放行</w:t>
      </w:r>
    </w:p>
    <w:p>
      <w:r>
        <w:t>```</w:t>
      </w:r>
    </w:p>
    <w:p/>
    <w:p>
      <w:r>
        <w:t>**确认标准：**</w:t>
      </w:r>
    </w:p>
    <w:p>
      <w:pPr>
        <w:pStyle w:val="ListBullet"/>
      </w:pPr>
      <w:r>
        <w:t>尺寸符合图纸要求</w:t>
      </w:r>
    </w:p>
    <w:p>
      <w:pPr>
        <w:pStyle w:val="ListBullet"/>
      </w:pPr>
      <w:r>
        <w:t>功能性能达标</w:t>
      </w:r>
    </w:p>
    <w:p>
      <w:pPr>
        <w:pStyle w:val="ListBullet"/>
      </w:pPr>
      <w:r>
        <w:t>外观质量合格</w:t>
      </w:r>
    </w:p>
    <w:p>
      <w:pPr>
        <w:pStyle w:val="ListBullet"/>
      </w:pPr>
      <w:r>
        <w:t>装配工艺可行</w:t>
      </w:r>
    </w:p>
    <w:p/>
    <w:p>
      <w:pPr>
        <w:pStyle w:val="Heading2"/>
      </w:pPr>
      <w:r>
        <w:t>3. 小家电装配工艺流程</w:t>
      </w:r>
    </w:p>
    <w:p/>
    <w:p>
      <w:pPr>
        <w:pStyle w:val="Heading3"/>
      </w:pPr>
      <w:r>
        <w:t>3.1 电饭煲装配流程</w:t>
      </w:r>
    </w:p>
    <w:p>
      <w:pPr>
        <w:pStyle w:val="Heading4"/>
      </w:pPr>
      <w:r>
        <w:t>3.1.1 内胆装配</w:t>
      </w:r>
    </w:p>
    <w:p>
      <w:r>
        <w:t>```</w:t>
      </w:r>
    </w:p>
    <w:p>
      <w:r>
        <w:t>内胆检验 → 安装加热盘 → 连接温控器 → 安装传感器 → 功能测试</w:t>
      </w:r>
    </w:p>
    <w:p>
      <w:r>
        <w:t>```</w:t>
      </w:r>
    </w:p>
    <w:p/>
    <w:p>
      <w:r>
        <w:t>**工艺要点：**</w:t>
      </w:r>
    </w:p>
    <w:p>
      <w:pPr>
        <w:pStyle w:val="ListBullet"/>
      </w:pPr>
      <w:r>
        <w:t>内胆表面无划伤、变形</w:t>
      </w:r>
    </w:p>
    <w:p>
      <w:pPr>
        <w:pStyle w:val="ListBullet"/>
      </w:pPr>
      <w:r>
        <w:t>加热盘安装平整，接触良好</w:t>
      </w:r>
    </w:p>
    <w:p>
      <w:pPr>
        <w:pStyle w:val="ListBullet"/>
      </w:pPr>
      <w:r>
        <w:t>温控器安装位置准确</w:t>
      </w:r>
    </w:p>
    <w:p>
      <w:pPr>
        <w:pStyle w:val="ListBullet"/>
      </w:pPr>
      <w:r>
        <w:t>传感器连接可靠</w:t>
      </w:r>
    </w:p>
    <w:p>
      <w:pPr>
        <w:pStyle w:val="ListBullet"/>
      </w:pPr>
      <w:r>
        <w:t>加热功能测试正常</w:t>
      </w:r>
    </w:p>
    <w:p/>
    <w:p>
      <w:r>
        <w:t>**质量标准：**</w:t>
      </w:r>
    </w:p>
    <w:p>
      <w:pPr>
        <w:pStyle w:val="ListBullet"/>
      </w:pPr>
      <w:r>
        <w:t>内胆与加热盘贴合度≥95%</w:t>
      </w:r>
    </w:p>
    <w:p>
      <w:pPr>
        <w:pStyle w:val="ListBullet"/>
      </w:pPr>
      <w:r>
        <w:t>温控器动作温度误差≤±3℃</w:t>
      </w:r>
    </w:p>
    <w:p>
      <w:pPr>
        <w:pStyle w:val="ListBullet"/>
      </w:pPr>
      <w:r>
        <w:t>传感器阻值在规定范围内</w:t>
      </w:r>
    </w:p>
    <w:p>
      <w:pPr>
        <w:pStyle w:val="ListBullet"/>
      </w:pPr>
      <w:r>
        <w:t>加热功率误差≤±5%</w:t>
      </w:r>
    </w:p>
    <w:p/>
    <w:p>
      <w:pPr>
        <w:pStyle w:val="Heading4"/>
      </w:pPr>
      <w:r>
        <w:t>3.1.2 外壳装配</w:t>
      </w:r>
    </w:p>
    <w:p>
      <w:r>
        <w:t>```</w:t>
      </w:r>
    </w:p>
    <w:p>
      <w:r>
        <w:t>外壳检验 → 安装控制面板 → 连接线束 → 安装指示灯 → 功能测试</w:t>
      </w:r>
    </w:p>
    <w:p>
      <w:r>
        <w:t>```</w:t>
      </w:r>
    </w:p>
    <w:p/>
    <w:p>
      <w:r>
        <w:t>**工艺要点：**</w:t>
      </w:r>
    </w:p>
    <w:p>
      <w:pPr>
        <w:pStyle w:val="ListBullet"/>
      </w:pPr>
      <w:r>
        <w:t>外壳无裂纹、变形</w:t>
      </w:r>
    </w:p>
    <w:p>
      <w:pPr>
        <w:pStyle w:val="ListBullet"/>
      </w:pPr>
      <w:r>
        <w:t>控制面板安装平整</w:t>
      </w:r>
    </w:p>
    <w:p>
      <w:pPr>
        <w:pStyle w:val="ListBullet"/>
      </w:pPr>
      <w:r>
        <w:t>线束连接牢固</w:t>
      </w:r>
    </w:p>
    <w:p>
      <w:pPr>
        <w:pStyle w:val="ListBullet"/>
      </w:pPr>
      <w:r>
        <w:t>指示灯工作正常</w:t>
      </w:r>
    </w:p>
    <w:p/>
    <w:p>
      <w:r>
        <w:t>**质量标准：**</w:t>
      </w:r>
    </w:p>
    <w:p>
      <w:pPr>
        <w:pStyle w:val="ListBullet"/>
      </w:pPr>
      <w:r>
        <w:t>面板与外壳间隙≤0.5mm</w:t>
      </w:r>
    </w:p>
    <w:p>
      <w:pPr>
        <w:pStyle w:val="ListBullet"/>
      </w:pPr>
      <w:r>
        <w:t>线束拉力≥50N</w:t>
      </w:r>
    </w:p>
    <w:p>
      <w:pPr>
        <w:pStyle w:val="ListBullet"/>
      </w:pPr>
      <w:r>
        <w:t>指示灯亮度均匀</w:t>
      </w:r>
    </w:p>
    <w:p>
      <w:pPr>
        <w:pStyle w:val="ListBullet"/>
      </w:pPr>
      <w:r>
        <w:t>按键手感良好</w:t>
      </w:r>
    </w:p>
    <w:p/>
    <w:p>
      <w:pPr>
        <w:pStyle w:val="Heading4"/>
      </w:pPr>
      <w:r>
        <w:t>3.1.3 总装配</w:t>
      </w:r>
    </w:p>
    <w:p>
      <w:r>
        <w:t>```</w:t>
      </w:r>
    </w:p>
    <w:p>
      <w:r>
        <w:t>内胆与外壳装配 → 安装上盖 → 连接电源线 → 安装附件 → 整机测试</w:t>
      </w:r>
    </w:p>
    <w:p>
      <w:r>
        <w:t>```</w:t>
      </w:r>
    </w:p>
    <w:p/>
    <w:p>
      <w:r>
        <w:t>**工艺要点：**</w:t>
      </w:r>
    </w:p>
    <w:p>
      <w:pPr>
        <w:pStyle w:val="ListBullet"/>
      </w:pPr>
      <w:r>
        <w:t>内胆放置到位</w:t>
      </w:r>
    </w:p>
    <w:p>
      <w:pPr>
        <w:pStyle w:val="ListBullet"/>
      </w:pPr>
      <w:r>
        <w:t>上盖密封良好</w:t>
      </w:r>
    </w:p>
    <w:p>
      <w:pPr>
        <w:pStyle w:val="ListBullet"/>
      </w:pPr>
      <w:r>
        <w:t>电源线连接牢固</w:t>
      </w:r>
    </w:p>
    <w:p>
      <w:pPr>
        <w:pStyle w:val="ListBullet"/>
      </w:pPr>
      <w:r>
        <w:t>附件安装完整</w:t>
      </w:r>
    </w:p>
    <w:p/>
    <w:p>
      <w:r>
        <w:t>**质量标准：**</w:t>
      </w:r>
    </w:p>
    <w:p>
      <w:pPr>
        <w:pStyle w:val="ListBullet"/>
      </w:pPr>
      <w:r>
        <w:t>上盖与外壳配合间隙≤1mm</w:t>
      </w:r>
    </w:p>
    <w:p>
      <w:pPr>
        <w:pStyle w:val="ListBullet"/>
      </w:pPr>
      <w:r>
        <w:t>密封圈压缩量适中</w:t>
      </w:r>
    </w:p>
    <w:p>
      <w:pPr>
        <w:pStyle w:val="ListBullet"/>
      </w:pPr>
      <w:r>
        <w:t>电源线拉力≥100N</w:t>
      </w:r>
    </w:p>
    <w:p>
      <w:pPr>
        <w:pStyle w:val="ListBullet"/>
      </w:pPr>
      <w:r>
        <w:t>整机功能正常</w:t>
      </w:r>
    </w:p>
    <w:p/>
    <w:p>
      <w:pPr>
        <w:pStyle w:val="Heading3"/>
      </w:pPr>
      <w:r>
        <w:t>3.2 电水壶装配流程</w:t>
      </w:r>
    </w:p>
    <w:p>
      <w:pPr>
        <w:pStyle w:val="Heading4"/>
      </w:pPr>
      <w:r>
        <w:t>3.2.1 壶体装配</w:t>
      </w:r>
    </w:p>
    <w:p>
      <w:r>
        <w:t>```</w:t>
      </w:r>
    </w:p>
    <w:p>
      <w:r>
        <w:t>壶体检验 → 安装加热底座 → 连接温控开关 → 安装水位指示 → 密封测试</w:t>
      </w:r>
    </w:p>
    <w:p>
      <w:r>
        <w:t>```</w:t>
      </w:r>
    </w:p>
    <w:p/>
    <w:p>
      <w:r>
        <w:t>**工艺要点：**</w:t>
      </w:r>
    </w:p>
    <w:p>
      <w:pPr>
        <w:pStyle w:val="ListBullet"/>
      </w:pPr>
      <w:r>
        <w:t>壶体无漏水、变形</w:t>
      </w:r>
    </w:p>
    <w:p>
      <w:pPr>
        <w:pStyle w:val="ListBullet"/>
      </w:pPr>
      <w:r>
        <w:t>加热底座安装牢固</w:t>
      </w:r>
    </w:p>
    <w:p>
      <w:pPr>
        <w:pStyle w:val="ListBullet"/>
      </w:pPr>
      <w:r>
        <w:t>温控开关动作可靠</w:t>
      </w:r>
    </w:p>
    <w:p>
      <w:pPr>
        <w:pStyle w:val="ListBullet"/>
      </w:pPr>
      <w:r>
        <w:t>水位指示清晰</w:t>
      </w:r>
    </w:p>
    <w:p/>
    <w:p>
      <w:r>
        <w:t>**质量标准：**</w:t>
      </w:r>
    </w:p>
    <w:p>
      <w:pPr>
        <w:pStyle w:val="ListBullet"/>
      </w:pPr>
      <w:r>
        <w:t>密封测试无渗漏</w:t>
      </w:r>
    </w:p>
    <w:p>
      <w:pPr>
        <w:pStyle w:val="ListBullet"/>
      </w:pPr>
      <w:r>
        <w:t>温控开关动作温度100±3℃</w:t>
      </w:r>
    </w:p>
    <w:p>
      <w:pPr>
        <w:pStyle w:val="ListBullet"/>
      </w:pPr>
      <w:r>
        <w:t>水位刻度清晰可见</w:t>
      </w:r>
    </w:p>
    <w:p>
      <w:pPr>
        <w:pStyle w:val="ListBullet"/>
      </w:pPr>
      <w:r>
        <w:t>加热底座平整度≤0.2mm</w:t>
      </w:r>
    </w:p>
    <w:p/>
    <w:p>
      <w:pPr>
        <w:pStyle w:val="Heading4"/>
      </w:pPr>
      <w:r>
        <w:t>3.2.2 手柄盖子装配</w:t>
      </w:r>
    </w:p>
    <w:p>
      <w:r>
        <w:t>```</w:t>
      </w:r>
    </w:p>
    <w:p>
      <w:r>
        <w:t>手柄检验 → 安装到壶体 → 盖子装配 → 安装开关按钮 → 操作测试</w:t>
      </w:r>
    </w:p>
    <w:p>
      <w:r>
        <w:t>```</w:t>
      </w:r>
    </w:p>
    <w:p/>
    <w:p>
      <w:r>
        <w:t>**工艺要点：**</w:t>
      </w:r>
    </w:p>
    <w:p>
      <w:pPr>
        <w:pStyle w:val="ListBullet"/>
      </w:pPr>
      <w:r>
        <w:t>手柄安装牢固</w:t>
      </w:r>
    </w:p>
    <w:p>
      <w:pPr>
        <w:pStyle w:val="ListBullet"/>
      </w:pPr>
      <w:r>
        <w:t>盖子密封良好</w:t>
      </w:r>
    </w:p>
    <w:p>
      <w:pPr>
        <w:pStyle w:val="ListBullet"/>
      </w:pPr>
      <w:r>
        <w:t>按钮操作灵活</w:t>
      </w:r>
    </w:p>
    <w:p>
      <w:pPr>
        <w:pStyle w:val="ListBullet"/>
      </w:pPr>
      <w:r>
        <w:t>整体协调美观</w:t>
      </w:r>
    </w:p>
    <w:p/>
    <w:p>
      <w:r>
        <w:t>**质量标准：**</w:t>
      </w:r>
    </w:p>
    <w:p>
      <w:pPr>
        <w:pStyle w:val="ListBullet"/>
      </w:pPr>
      <w:r>
        <w:t>手柄拉力≥150N</w:t>
      </w:r>
    </w:p>
    <w:p>
      <w:pPr>
        <w:pStyle w:val="ListBullet"/>
      </w:pPr>
      <w:r>
        <w:t>盖子密封无渗漏</w:t>
      </w:r>
    </w:p>
    <w:p>
      <w:pPr>
        <w:pStyle w:val="ListBullet"/>
      </w:pPr>
      <w:r>
        <w:t>按钮操作力5-15N</w:t>
      </w:r>
    </w:p>
    <w:p>
      <w:pPr>
        <w:pStyle w:val="ListBullet"/>
      </w:pPr>
      <w:r>
        <w:t>外观无瑕疵</w:t>
      </w:r>
    </w:p>
    <w:p/>
    <w:p>
      <w:pPr>
        <w:pStyle w:val="Heading4"/>
      </w:pPr>
      <w:r>
        <w:t>3.2.3 底座装配</w:t>
      </w:r>
    </w:p>
    <w:p>
      <w:r>
        <w:t>```</w:t>
      </w:r>
    </w:p>
    <w:p>
      <w:r>
        <w:t>底座检验 → 安装电源接口 → 连接控制电路 → 安装指示灯 → 电气测试</w:t>
      </w:r>
    </w:p>
    <w:p>
      <w:r>
        <w:t>```</w:t>
      </w:r>
    </w:p>
    <w:p/>
    <w:p>
      <w:r>
        <w:t>**工艺要点：**</w:t>
      </w:r>
    </w:p>
    <w:p>
      <w:pPr>
        <w:pStyle w:val="ListBullet"/>
      </w:pPr>
      <w:r>
        <w:t>底座稳定性好</w:t>
      </w:r>
    </w:p>
    <w:p>
      <w:pPr>
        <w:pStyle w:val="ListBullet"/>
      </w:pPr>
      <w:r>
        <w:t>电源接口接触良好</w:t>
      </w:r>
    </w:p>
    <w:p>
      <w:pPr>
        <w:pStyle w:val="ListBullet"/>
      </w:pPr>
      <w:r>
        <w:t>控制电路工作正常</w:t>
      </w:r>
    </w:p>
    <w:p>
      <w:pPr>
        <w:pStyle w:val="ListBullet"/>
      </w:pPr>
      <w:r>
        <w:t>指示灯显示准确</w:t>
      </w:r>
    </w:p>
    <w:p/>
    <w:p>
      <w:r>
        <w:t>**质量标准：**</w:t>
      </w:r>
    </w:p>
    <w:p>
      <w:pPr>
        <w:pStyle w:val="ListBullet"/>
      </w:pPr>
      <w:r>
        <w:t>底座稳定性测试合格</w:t>
      </w:r>
    </w:p>
    <w:p>
      <w:pPr>
        <w:pStyle w:val="ListBullet"/>
      </w:pPr>
      <w:r>
        <w:t>电源接口接触电阻≤0.1Ω</w:t>
      </w:r>
    </w:p>
    <w:p>
      <w:pPr>
        <w:pStyle w:val="ListBullet"/>
      </w:pPr>
      <w:r>
        <w:t>控制电路功能正常</w:t>
      </w:r>
    </w:p>
    <w:p>
      <w:pPr>
        <w:pStyle w:val="ListBullet"/>
      </w:pPr>
      <w:r>
        <w:t>指示灯亮度一致</w:t>
      </w:r>
    </w:p>
    <w:p/>
    <w:p>
      <w:pPr>
        <w:pStyle w:val="Heading3"/>
      </w:pPr>
      <w:r>
        <w:t>3.3 豆浆机装配流程</w:t>
      </w:r>
    </w:p>
    <w:p>
      <w:pPr>
        <w:pStyle w:val="Heading4"/>
      </w:pPr>
      <w:r>
        <w:t>3.3.1 电机装配</w:t>
      </w:r>
    </w:p>
    <w:p>
      <w:r>
        <w:t>```</w:t>
      </w:r>
    </w:p>
    <w:p>
      <w:r>
        <w:t>电机检验 → 安装到机座 → 连接刀片组件 → 安装防护罩 → 运转测试</w:t>
      </w:r>
    </w:p>
    <w:p>
      <w:r>
        <w:t>```</w:t>
      </w:r>
    </w:p>
    <w:p/>
    <w:p>
      <w:r>
        <w:t>**工艺要点：**</w:t>
      </w:r>
    </w:p>
    <w:p>
      <w:pPr>
        <w:pStyle w:val="ListBullet"/>
      </w:pPr>
      <w:r>
        <w:t>电机性能符合要求</w:t>
      </w:r>
    </w:p>
    <w:p>
      <w:pPr>
        <w:pStyle w:val="ListBullet"/>
      </w:pPr>
      <w:r>
        <w:t>安装位置准确</w:t>
      </w:r>
    </w:p>
    <w:p>
      <w:pPr>
        <w:pStyle w:val="ListBullet"/>
      </w:pPr>
      <w:r>
        <w:t>刀片组件平衡</w:t>
      </w:r>
    </w:p>
    <w:p>
      <w:pPr>
        <w:pStyle w:val="ListBullet"/>
      </w:pPr>
      <w:r>
        <w:t>防护罩安装到位</w:t>
      </w:r>
    </w:p>
    <w:p/>
    <w:p>
      <w:r>
        <w:t>**质量标准：**</w:t>
      </w:r>
    </w:p>
    <w:p>
      <w:pPr>
        <w:pStyle w:val="ListBullet"/>
      </w:pPr>
      <w:r>
        <w:t>电机功率误差≤±5%</w:t>
      </w:r>
    </w:p>
    <w:p>
      <w:pPr>
        <w:pStyle w:val="ListBullet"/>
      </w:pPr>
      <w:r>
        <w:t>安装同轴度≤0.1mm</w:t>
      </w:r>
    </w:p>
    <w:p>
      <w:pPr>
        <w:pStyle w:val="ListBullet"/>
      </w:pPr>
      <w:r>
        <w:t>刀片动平衡合格</w:t>
      </w:r>
    </w:p>
    <w:p>
      <w:pPr>
        <w:pStyle w:val="ListBullet"/>
      </w:pPr>
      <w:r>
        <w:t>防护罩牢固可靠</w:t>
      </w:r>
    </w:p>
    <w:p/>
    <w:p>
      <w:pPr>
        <w:pStyle w:val="Heading4"/>
      </w:pPr>
      <w:r>
        <w:t>3.3.2 杯体装配</w:t>
      </w:r>
    </w:p>
    <w:p>
      <w:r>
        <w:t>```</w:t>
      </w:r>
    </w:p>
    <w:p>
      <w:r>
        <w:t>杯体检验 → 安装加热管 → 连接温度传感器 → 安装水位传感器 → 密封测试</w:t>
      </w:r>
    </w:p>
    <w:p>
      <w:r>
        <w:t>```</w:t>
      </w:r>
    </w:p>
    <w:p/>
    <w:p>
      <w:r>
        <w:t>**工艺要点：**</w:t>
      </w:r>
    </w:p>
    <w:p>
      <w:pPr>
        <w:pStyle w:val="ListBullet"/>
      </w:pPr>
      <w:r>
        <w:t>杯体材质安全</w:t>
      </w:r>
    </w:p>
    <w:p>
      <w:pPr>
        <w:pStyle w:val="ListBullet"/>
      </w:pPr>
      <w:r>
        <w:t>加热管分布均匀</w:t>
      </w:r>
    </w:p>
    <w:p>
      <w:pPr>
        <w:pStyle w:val="ListBullet"/>
      </w:pPr>
      <w:r>
        <w:t>传感器位置准确</w:t>
      </w:r>
    </w:p>
    <w:p>
      <w:pPr>
        <w:pStyle w:val="ListBullet"/>
      </w:pPr>
      <w:r>
        <w:t>密封性能良好</w:t>
      </w:r>
    </w:p>
    <w:p/>
    <w:p>
      <w:r>
        <w:t>**质量标准：**</w:t>
      </w:r>
    </w:p>
    <w:p>
      <w:pPr>
        <w:pStyle w:val="ListBullet"/>
      </w:pPr>
      <w:r>
        <w:t>材质符合食品安全标准</w:t>
      </w:r>
    </w:p>
    <w:p>
      <w:pPr>
        <w:pStyle w:val="ListBullet"/>
      </w:pPr>
      <w:r>
        <w:t>加热管功率分布均匀</w:t>
      </w:r>
    </w:p>
    <w:p>
      <w:pPr>
        <w:pStyle w:val="ListBullet"/>
      </w:pPr>
      <w:r>
        <w:t>传感器精度≤±2℃</w:t>
      </w:r>
    </w:p>
    <w:p>
      <w:pPr>
        <w:pStyle w:val="ListBullet"/>
      </w:pPr>
      <w:r>
        <w:t>密封测试无渗漏</w:t>
      </w:r>
    </w:p>
    <w:p/>
    <w:p>
      <w:pPr>
        <w:pStyle w:val="Heading4"/>
      </w:pPr>
      <w:r>
        <w:t>3.3.3 控制系统装配</w:t>
      </w:r>
    </w:p>
    <w:p>
      <w:r>
        <w:t>```</w:t>
      </w:r>
    </w:p>
    <w:p>
      <w:r>
        <w:t>控制板检验 → 安装到机座 → 连接各传感器 → 安装显示面板 → 系统测试</w:t>
      </w:r>
    </w:p>
    <w:p>
      <w:r>
        <w:t>```</w:t>
      </w:r>
    </w:p>
    <w:p/>
    <w:p>
      <w:r>
        <w:t>**工艺要点：**</w:t>
      </w:r>
    </w:p>
    <w:p>
      <w:pPr>
        <w:pStyle w:val="ListBullet"/>
      </w:pPr>
      <w:r>
        <w:t>控制板功能完整</w:t>
      </w:r>
    </w:p>
    <w:p>
      <w:pPr>
        <w:pStyle w:val="ListBullet"/>
      </w:pPr>
      <w:r>
        <w:t>连接线束规范</w:t>
      </w:r>
    </w:p>
    <w:p>
      <w:pPr>
        <w:pStyle w:val="ListBullet"/>
      </w:pPr>
      <w:r>
        <w:t>显示面板清晰</w:t>
      </w:r>
    </w:p>
    <w:p>
      <w:pPr>
        <w:pStyle w:val="ListBullet"/>
      </w:pPr>
      <w:r>
        <w:t>系统运行稳定</w:t>
      </w:r>
    </w:p>
    <w:p/>
    <w:p>
      <w:r>
        <w:t>**质量标准：**</w:t>
      </w:r>
    </w:p>
    <w:p>
      <w:pPr>
        <w:pStyle w:val="ListBullet"/>
      </w:pPr>
      <w:r>
        <w:t>控制板功能测试100%合格</w:t>
      </w:r>
    </w:p>
    <w:p>
      <w:pPr>
        <w:pStyle w:val="ListBullet"/>
      </w:pPr>
      <w:r>
        <w:t>线束连接牢固可靠</w:t>
      </w:r>
    </w:p>
    <w:p>
      <w:pPr>
        <w:pStyle w:val="ListBullet"/>
      </w:pPr>
      <w:r>
        <w:t>显示清晰无坏点</w:t>
      </w:r>
    </w:p>
    <w:p>
      <w:pPr>
        <w:pStyle w:val="ListBullet"/>
      </w:pPr>
      <w:r>
        <w:t>系统运行无故障</w:t>
      </w:r>
    </w:p>
    <w:p/>
    <w:p>
      <w:pPr>
        <w:pStyle w:val="Heading2"/>
      </w:pPr>
      <w:r>
        <w:t>4. 质量控制流程</w:t>
      </w:r>
    </w:p>
    <w:p/>
    <w:p>
      <w:pPr>
        <w:pStyle w:val="Heading3"/>
      </w:pPr>
      <w:r>
        <w:t>4.1 过程检验</w:t>
      </w:r>
    </w:p>
    <w:p>
      <w:pPr>
        <w:pStyle w:val="Heading4"/>
      </w:pPr>
      <w:r>
        <w:t>4.1.1 关键工序检验</w:t>
      </w:r>
    </w:p>
    <w:p>
      <w:r>
        <w:t>```</w:t>
      </w:r>
    </w:p>
    <w:p>
      <w:r>
        <w:t>工序完成 → 自检确认 → 互检验证 → 专检抽查 → 记录结果</w:t>
      </w:r>
    </w:p>
    <w:p>
      <w:r>
        <w:t>```</w:t>
      </w:r>
    </w:p>
    <w:p/>
    <w:p>
      <w:r>
        <w:t>**检验要点：**</w:t>
      </w:r>
    </w:p>
    <w:p>
      <w:pPr>
        <w:pStyle w:val="ListBullet"/>
      </w:pPr>
      <w:r>
        <w:t>尺寸精度检查</w:t>
      </w:r>
    </w:p>
    <w:p>
      <w:pPr>
        <w:pStyle w:val="ListBullet"/>
      </w:pPr>
      <w:r>
        <w:t>装配质量确认</w:t>
      </w:r>
    </w:p>
    <w:p>
      <w:pPr>
        <w:pStyle w:val="ListBullet"/>
      </w:pPr>
      <w:r>
        <w:t>功能性能测试</w:t>
      </w:r>
    </w:p>
    <w:p>
      <w:pPr>
        <w:pStyle w:val="ListBullet"/>
      </w:pPr>
      <w:r>
        <w:t>外观质量检验</w:t>
      </w:r>
    </w:p>
    <w:p/>
    <w:p>
      <w:r>
        <w:t>**检验频次：**</w:t>
      </w:r>
    </w:p>
    <w:p>
      <w:pPr>
        <w:pStyle w:val="ListBullet"/>
      </w:pPr>
      <w:r>
        <w:t>关键工序：100%检验</w:t>
      </w:r>
    </w:p>
    <w:p>
      <w:pPr>
        <w:pStyle w:val="ListBullet"/>
      </w:pPr>
      <w:r>
        <w:t>一般工序：按抽样标准</w:t>
      </w:r>
    </w:p>
    <w:p>
      <w:pPr>
        <w:pStyle w:val="ListBullet"/>
      </w:pPr>
      <w:r>
        <w:t>首件：必须检验</w:t>
      </w:r>
    </w:p>
    <w:p>
      <w:pPr>
        <w:pStyle w:val="ListBullet"/>
      </w:pPr>
      <w:r>
        <w:t>末件：必须检验</w:t>
      </w:r>
    </w:p>
    <w:p/>
    <w:p>
      <w:pPr>
        <w:pStyle w:val="Heading4"/>
      </w:pPr>
      <w:r>
        <w:t>4.1.2 检验记录</w:t>
      </w:r>
    </w:p>
    <w:p>
      <w:r>
        <w:t>```</w:t>
      </w:r>
    </w:p>
    <w:p>
      <w:r>
        <w:t>填写检验记录 → 标识检验状态 → 不合格品隔离 → 数据统计分析</w:t>
      </w:r>
    </w:p>
    <w:p>
      <w:r>
        <w:t>```</w:t>
      </w:r>
    </w:p>
    <w:p/>
    <w:p>
      <w:r>
        <w:t>**记录要求：**</w:t>
      </w:r>
    </w:p>
    <w:p>
      <w:pPr>
        <w:pStyle w:val="ListBullet"/>
      </w:pPr>
      <w:r>
        <w:t>检验项目完整</w:t>
      </w:r>
    </w:p>
    <w:p>
      <w:pPr>
        <w:pStyle w:val="ListBullet"/>
      </w:pPr>
      <w:r>
        <w:t>检验数据准确</w:t>
      </w:r>
    </w:p>
    <w:p>
      <w:pPr>
        <w:pStyle w:val="ListBullet"/>
      </w:pPr>
      <w:r>
        <w:t>检验结论明确</w:t>
      </w:r>
    </w:p>
    <w:p>
      <w:pPr>
        <w:pStyle w:val="ListBullet"/>
      </w:pPr>
      <w:r>
        <w:t>检验员签字</w:t>
      </w:r>
    </w:p>
    <w:p/>
    <w:p>
      <w:pPr>
        <w:pStyle w:val="Heading3"/>
      </w:pPr>
      <w:r>
        <w:t>4.2 成品检验</w:t>
      </w:r>
    </w:p>
    <w:p>
      <w:pPr>
        <w:pStyle w:val="Heading4"/>
      </w:pPr>
      <w:r>
        <w:t>4.2.1 外观检验</w:t>
      </w:r>
    </w:p>
    <w:p>
      <w:r>
        <w:t>```</w:t>
      </w:r>
    </w:p>
    <w:p>
      <w:r>
        <w:t>整体外观检查 → 表面质量检验 → 标识标签检查 → 包装质量确认</w:t>
      </w:r>
    </w:p>
    <w:p>
      <w:r>
        <w:t>```</w:t>
      </w:r>
    </w:p>
    <w:p/>
    <w:p>
      <w:r>
        <w:t>**检验标准：**</w:t>
      </w:r>
    </w:p>
    <w:p>
      <w:pPr>
        <w:pStyle w:val="ListBullet"/>
      </w:pPr>
      <w:r>
        <w:t>外观无划伤、污渍</w:t>
      </w:r>
    </w:p>
    <w:p>
      <w:pPr>
        <w:pStyle w:val="ListBullet"/>
      </w:pPr>
      <w:r>
        <w:t>表面光洁度符合要求</w:t>
      </w:r>
    </w:p>
    <w:p>
      <w:pPr>
        <w:pStyle w:val="ListBullet"/>
      </w:pPr>
      <w:r>
        <w:t>标识标签正确完整</w:t>
      </w:r>
    </w:p>
    <w:p>
      <w:pPr>
        <w:pStyle w:val="ListBullet"/>
      </w:pPr>
      <w:r>
        <w:t>包装规范美观</w:t>
      </w:r>
    </w:p>
    <w:p/>
    <w:p>
      <w:pPr>
        <w:pStyle w:val="Heading4"/>
      </w:pPr>
      <w:r>
        <w:t>4.2.2 功能测试</w:t>
      </w:r>
    </w:p>
    <w:p>
      <w:r>
        <w:t>```</w:t>
      </w:r>
    </w:p>
    <w:p>
      <w:r>
        <w:t>通电测试 → 功能验证 → 性能测试 → 安全检查 → 老化试验</w:t>
      </w:r>
    </w:p>
    <w:p>
      <w:r>
        <w:t>```</w:t>
      </w:r>
    </w:p>
    <w:p/>
    <w:p>
      <w:r>
        <w:t>**测试项目：**</w:t>
      </w:r>
    </w:p>
    <w:p>
      <w:pPr>
        <w:pStyle w:val="ListBullet"/>
      </w:pPr>
      <w:r>
        <w:t>基本功能正常</w:t>
      </w:r>
    </w:p>
    <w:p>
      <w:pPr>
        <w:pStyle w:val="ListBullet"/>
      </w:pPr>
      <w:r>
        <w:t>性能参数达标</w:t>
      </w:r>
    </w:p>
    <w:p>
      <w:pPr>
        <w:pStyle w:val="ListBullet"/>
      </w:pPr>
      <w:r>
        <w:t>安全保护有效</w:t>
      </w:r>
    </w:p>
    <w:p>
      <w:pPr>
        <w:pStyle w:val="ListBullet"/>
      </w:pPr>
      <w:r>
        <w:t>可靠性验证</w:t>
      </w:r>
    </w:p>
    <w:p/>
    <w:p>
      <w:pPr>
        <w:pStyle w:val="Heading4"/>
      </w:pPr>
      <w:r>
        <w:t>4.2.3 最终检验</w:t>
      </w:r>
    </w:p>
    <w:p>
      <w:r>
        <w:t>```</w:t>
      </w:r>
    </w:p>
    <w:p>
      <w:r>
        <w:t>综合评价 → 检验结论 → 合格品放行 → 不合格品处理 → 质量记录</w:t>
      </w:r>
    </w:p>
    <w:p>
      <w:r>
        <w:t>```</w:t>
      </w:r>
    </w:p>
    <w:p/>
    <w:p>
      <w:r>
        <w:t>**放行标准：**</w:t>
      </w:r>
    </w:p>
    <w:p>
      <w:pPr>
        <w:pStyle w:val="ListBullet"/>
      </w:pPr>
      <w:r>
        <w:t>所有检验项目合格</w:t>
      </w:r>
    </w:p>
    <w:p>
      <w:pPr>
        <w:pStyle w:val="ListBullet"/>
      </w:pPr>
      <w:r>
        <w:t>质量记录完整</w:t>
      </w:r>
    </w:p>
    <w:p>
      <w:pPr>
        <w:pStyle w:val="ListBullet"/>
      </w:pPr>
      <w:r>
        <w:t>检验员确认签字</w:t>
      </w:r>
    </w:p>
    <w:p>
      <w:pPr>
        <w:pStyle w:val="ListBullet"/>
      </w:pPr>
      <w:r>
        <w:t>质量主管批准</w:t>
      </w:r>
    </w:p>
    <w:p/>
    <w:p>
      <w:pPr>
        <w:pStyle w:val="Heading2"/>
      </w:pPr>
      <w:r>
        <w:t>5. 异常处理流程</w:t>
      </w:r>
    </w:p>
    <w:p/>
    <w:p>
      <w:pPr>
        <w:pStyle w:val="Heading3"/>
      </w:pPr>
      <w:r>
        <w:t>5.1 质量异常处理</w:t>
      </w:r>
    </w:p>
    <w:p>
      <w:pPr>
        <w:pStyle w:val="Heading4"/>
      </w:pPr>
      <w:r>
        <w:t>5.1.1 异常发现</w:t>
      </w:r>
    </w:p>
    <w:p>
      <w:r>
        <w:t>```</w:t>
      </w:r>
    </w:p>
    <w:p>
      <w:r>
        <w:t>发现质量问题 → 立即停产 → 隔离不合格品 → 分析问题原因</w:t>
      </w:r>
    </w:p>
    <w:p>
      <w:r>
        <w:t>```</w:t>
      </w:r>
    </w:p>
    <w:p/>
    <w:p>
      <w:r>
        <w:t>**处理要点：**</w:t>
      </w:r>
    </w:p>
    <w:p>
      <w:pPr>
        <w:pStyle w:val="ListBullet"/>
      </w:pPr>
      <w:r>
        <w:t>及时发现问题</w:t>
      </w:r>
    </w:p>
    <w:p>
      <w:pPr>
        <w:pStyle w:val="ListBullet"/>
      </w:pPr>
      <w:r>
        <w:t>迅速采取措施</w:t>
      </w:r>
    </w:p>
    <w:p>
      <w:pPr>
        <w:pStyle w:val="ListBullet"/>
      </w:pPr>
      <w:r>
        <w:t>防止问题扩散</w:t>
      </w:r>
    </w:p>
    <w:p>
      <w:pPr>
        <w:pStyle w:val="ListBullet"/>
      </w:pPr>
      <w:r>
        <w:t>查找根本原因</w:t>
      </w:r>
    </w:p>
    <w:p/>
    <w:p>
      <w:pPr>
        <w:pStyle w:val="Heading4"/>
      </w:pPr>
      <w:r>
        <w:t>5.1.2 原因分析</w:t>
      </w:r>
    </w:p>
    <w:p>
      <w:r>
        <w:t>```</w:t>
      </w:r>
    </w:p>
    <w:p>
      <w:r>
        <w:t>现场调查 → 数据分析 → 原因确认 → 制定对策 → 验证效果</w:t>
      </w:r>
    </w:p>
    <w:p>
      <w:r>
        <w:t>```</w:t>
      </w:r>
    </w:p>
    <w:p/>
    <w:p>
      <w:r>
        <w:t>**分析方法：**</w:t>
      </w:r>
    </w:p>
    <w:p>
      <w:pPr>
        <w:pStyle w:val="ListBullet"/>
      </w:pPr>
      <w:r>
        <w:t>5Why分析法</w:t>
      </w:r>
    </w:p>
    <w:p>
      <w:pPr>
        <w:pStyle w:val="ListBullet"/>
      </w:pPr>
      <w:r>
        <w:t>鱼骨图分析</w:t>
      </w:r>
    </w:p>
    <w:p>
      <w:pPr>
        <w:pStyle w:val="ListBullet"/>
      </w:pPr>
      <w:r>
        <w:t>数据统计分析</w:t>
      </w:r>
    </w:p>
    <w:p>
      <w:pPr>
        <w:pStyle w:val="ListBullet"/>
      </w:pPr>
      <w:r>
        <w:t>实验验证</w:t>
      </w:r>
    </w:p>
    <w:p/>
    <w:p>
      <w:pPr>
        <w:pStyle w:val="Heading4"/>
      </w:pPr>
      <w:r>
        <w:t>5.1.3 纠正措施</w:t>
      </w:r>
    </w:p>
    <w:p>
      <w:r>
        <w:t>```</w:t>
      </w:r>
    </w:p>
    <w:p>
      <w:r>
        <w:t>制定纠正措施 → 实施整改 → 验证效果 → 标准化固化 → 预防再发生</w:t>
      </w:r>
    </w:p>
    <w:p>
      <w:r>
        <w:t>```</w:t>
      </w:r>
    </w:p>
    <w:p/>
    <w:p>
      <w:r>
        <w:t>**措施要求：**</w:t>
      </w:r>
    </w:p>
    <w:p>
      <w:pPr>
        <w:pStyle w:val="ListBullet"/>
      </w:pPr>
      <w:r>
        <w:t>针对性强</w:t>
      </w:r>
    </w:p>
    <w:p>
      <w:pPr>
        <w:pStyle w:val="ListBullet"/>
      </w:pPr>
      <w:r>
        <w:t>可操作性好</w:t>
      </w:r>
    </w:p>
    <w:p>
      <w:pPr>
        <w:pStyle w:val="ListBullet"/>
      </w:pPr>
      <w:r>
        <w:t>效果可验证</w:t>
      </w:r>
    </w:p>
    <w:p>
      <w:pPr>
        <w:pStyle w:val="ListBullet"/>
      </w:pPr>
      <w:r>
        <w:t>可持续执行</w:t>
      </w:r>
    </w:p>
    <w:p/>
    <w:p>
      <w:pPr>
        <w:pStyle w:val="Heading3"/>
      </w:pPr>
      <w:r>
        <w:t>5.2 设备异常处理</w:t>
      </w:r>
    </w:p>
    <w:p>
      <w:pPr>
        <w:pStyle w:val="Heading4"/>
      </w:pPr>
      <w:r>
        <w:t>5.2.1 故障处理</w:t>
      </w:r>
    </w:p>
    <w:p>
      <w:r>
        <w:t>```</w:t>
      </w:r>
    </w:p>
    <w:p>
      <w:r>
        <w:t>发现设备故障 → 立即停机 → 报告维修 → 等待修复 → 验收确认</w:t>
      </w:r>
    </w:p>
    <w:p>
      <w:r>
        <w:t>```</w:t>
      </w:r>
    </w:p>
    <w:p/>
    <w:p>
      <w:r>
        <w:t>**处理原则：**</w:t>
      </w:r>
    </w:p>
    <w:p>
      <w:pPr>
        <w:pStyle w:val="ListBullet"/>
      </w:pPr>
      <w:r>
        <w:t>安全第一</w:t>
      </w:r>
    </w:p>
    <w:p>
      <w:pPr>
        <w:pStyle w:val="ListBullet"/>
      </w:pPr>
      <w:r>
        <w:t>及时报告</w:t>
      </w:r>
    </w:p>
    <w:p>
      <w:pPr>
        <w:pStyle w:val="ListBullet"/>
      </w:pPr>
      <w:r>
        <w:t>配合维修</w:t>
      </w:r>
    </w:p>
    <w:p>
      <w:pPr>
        <w:pStyle w:val="ListBullet"/>
      </w:pPr>
      <w:r>
        <w:t>验收确认</w:t>
      </w:r>
    </w:p>
    <w:p/>
    <w:p>
      <w:pPr>
        <w:pStyle w:val="Heading4"/>
      </w:pPr>
      <w:r>
        <w:t>5.2.2 临时措施</w:t>
      </w:r>
    </w:p>
    <w:p>
      <w:r>
        <w:t>```</w:t>
      </w:r>
    </w:p>
    <w:p>
      <w:r>
        <w:t>评估影响 → 调整生产计划 → 人员重新安排 → 替代方案实施</w:t>
      </w:r>
    </w:p>
    <w:p>
      <w:r>
        <w:t>```</w:t>
      </w:r>
    </w:p>
    <w:p/>
    <w:p>
      <w:r>
        <w:t>**应急预案：**</w:t>
      </w:r>
    </w:p>
    <w:p>
      <w:pPr>
        <w:pStyle w:val="ListBullet"/>
      </w:pPr>
      <w:r>
        <w:t>备用设备启用</w:t>
      </w:r>
    </w:p>
    <w:p>
      <w:pPr>
        <w:pStyle w:val="ListBullet"/>
      </w:pPr>
      <w:r>
        <w:t>人工作业替代</w:t>
      </w:r>
    </w:p>
    <w:p>
      <w:pPr>
        <w:pStyle w:val="ListBullet"/>
      </w:pPr>
      <w:r>
        <w:t>外协加工</w:t>
      </w:r>
    </w:p>
    <w:p>
      <w:pPr>
        <w:pStyle w:val="ListBullet"/>
      </w:pPr>
      <w:r>
        <w:t>调整生产顺序</w:t>
      </w:r>
    </w:p>
    <w:p/>
    <w:p>
      <w:pPr>
        <w:pStyle w:val="Heading3"/>
      </w:pPr>
      <w:r>
        <w:t>5.3 物料异常处理</w:t>
      </w:r>
    </w:p>
    <w:p>
      <w:pPr>
        <w:pStyle w:val="Heading4"/>
      </w:pPr>
      <w:r>
        <w:t>5.3.1 物料不良</w:t>
      </w:r>
    </w:p>
    <w:p>
      <w:r>
        <w:t>```</w:t>
      </w:r>
    </w:p>
    <w:p>
      <w:r>
        <w:t>发现物料不良 → 停止使用 → 隔离标识 → 联系供应商 → 更换合格物料</w:t>
      </w:r>
    </w:p>
    <w:p>
      <w:r>
        <w:t>```</w:t>
      </w:r>
    </w:p>
    <w:p/>
    <w:p>
      <w:r>
        <w:t>**处理要求：**</w:t>
      </w:r>
    </w:p>
    <w:p>
      <w:pPr>
        <w:pStyle w:val="ListBullet"/>
      </w:pPr>
      <w:r>
        <w:t>及时识别</w:t>
      </w:r>
    </w:p>
    <w:p>
      <w:pPr>
        <w:pStyle w:val="ListBullet"/>
      </w:pPr>
      <w:r>
        <w:t>立即隔离</w:t>
      </w:r>
    </w:p>
    <w:p>
      <w:pPr>
        <w:pStyle w:val="ListBullet"/>
      </w:pPr>
      <w:r>
        <w:t>追溯来源</w:t>
      </w:r>
    </w:p>
    <w:p>
      <w:pPr>
        <w:pStyle w:val="ListBullet"/>
      </w:pPr>
      <w:r>
        <w:t>快速更换</w:t>
      </w:r>
    </w:p>
    <w:p/>
    <w:p>
      <w:pPr>
        <w:pStyle w:val="Heading4"/>
      </w:pPr>
      <w:r>
        <w:t>5.3.2 物料短缺</w:t>
      </w:r>
    </w:p>
    <w:p>
      <w:r>
        <w:t>```</w:t>
      </w:r>
    </w:p>
    <w:p>
      <w:r>
        <w:t>发现物料短缺 → 联系PMC部 → 紧急采购 → 调整生产计划 → 确保供应</w:t>
      </w:r>
    </w:p>
    <w:p>
      <w:r>
        <w:t>```</w:t>
      </w:r>
    </w:p>
    <w:p/>
    <w:p>
      <w:r>
        <w:t>**应急措施：**</w:t>
      </w:r>
    </w:p>
    <w:p>
      <w:pPr>
        <w:pStyle w:val="ListBullet"/>
      </w:pPr>
      <w:r>
        <w:t>库存调配</w:t>
      </w:r>
    </w:p>
    <w:p>
      <w:pPr>
        <w:pStyle w:val="ListBullet"/>
      </w:pPr>
      <w:r>
        <w:t>紧急采购</w:t>
      </w:r>
    </w:p>
    <w:p>
      <w:pPr>
        <w:pStyle w:val="ListBullet"/>
      </w:pPr>
      <w:r>
        <w:t>替代物料</w:t>
      </w:r>
    </w:p>
    <w:p>
      <w:pPr>
        <w:pStyle w:val="ListBullet"/>
      </w:pPr>
      <w:r>
        <w:t>计划调整</w:t>
      </w:r>
    </w:p>
    <w:p/>
    <w:p>
      <w:pPr>
        <w:pStyle w:val="Heading2"/>
      </w:pPr>
      <w:r>
        <w:t>6. 工艺改进流程</w:t>
      </w:r>
    </w:p>
    <w:p/>
    <w:p>
      <w:pPr>
        <w:pStyle w:val="Heading3"/>
      </w:pPr>
      <w:r>
        <w:t>6.1 改进识别</w:t>
      </w:r>
    </w:p>
    <w:p>
      <w:pPr>
        <w:pStyle w:val="Heading4"/>
      </w:pPr>
      <w:r>
        <w:t>6.1.1 问题收集</w:t>
      </w:r>
    </w:p>
    <w:p>
      <w:r>
        <w:t>```</w:t>
      </w:r>
    </w:p>
    <w:p>
      <w:r>
        <w:t>员工建议 → 质量分析 → 效率评估 → 成本分析 → 改进机会识别</w:t>
      </w:r>
    </w:p>
    <w:p>
      <w:r>
        <w:t>```</w:t>
      </w:r>
    </w:p>
    <w:p/>
    <w:p>
      <w:r>
        <w:t>**收集渠道：**</w:t>
      </w:r>
    </w:p>
    <w:p>
      <w:pPr>
        <w:pStyle w:val="ListBullet"/>
      </w:pPr>
      <w:r>
        <w:t>员工合理化建议</w:t>
      </w:r>
    </w:p>
    <w:p>
      <w:pPr>
        <w:pStyle w:val="ListBullet"/>
      </w:pPr>
      <w:r>
        <w:t>质量问题分析</w:t>
      </w:r>
    </w:p>
    <w:p>
      <w:pPr>
        <w:pStyle w:val="ListBullet"/>
      </w:pPr>
      <w:r>
        <w:t>效率瓶颈分析</w:t>
      </w:r>
    </w:p>
    <w:p>
      <w:pPr>
        <w:pStyle w:val="ListBullet"/>
      </w:pPr>
      <w:r>
        <w:t>成本控制需要</w:t>
      </w:r>
    </w:p>
    <w:p/>
    <w:p>
      <w:pPr>
        <w:pStyle w:val="Heading4"/>
      </w:pPr>
      <w:r>
        <w:t>6.1.2 改进评估</w:t>
      </w:r>
    </w:p>
    <w:p>
      <w:r>
        <w:t>```</w:t>
      </w:r>
    </w:p>
    <w:p>
      <w:r>
        <w:t>技术可行性 → 经济效益分析 → 实施难度评估 → 风险评估 → 改进决策</w:t>
      </w:r>
    </w:p>
    <w:p>
      <w:r>
        <w:t>```</w:t>
      </w:r>
    </w:p>
    <w:p/>
    <w:p>
      <w:r>
        <w:t>**评估标准：**</w:t>
      </w:r>
    </w:p>
    <w:p>
      <w:pPr>
        <w:pStyle w:val="ListBullet"/>
      </w:pPr>
      <w:r>
        <w:t>技术先进性</w:t>
      </w:r>
    </w:p>
    <w:p>
      <w:pPr>
        <w:pStyle w:val="ListBullet"/>
      </w:pPr>
      <w:r>
        <w:t>经济合理性</w:t>
      </w:r>
    </w:p>
    <w:p>
      <w:pPr>
        <w:pStyle w:val="ListBullet"/>
      </w:pPr>
      <w:r>
        <w:t>实施可行性</w:t>
      </w:r>
    </w:p>
    <w:p>
      <w:pPr>
        <w:pStyle w:val="ListBullet"/>
      </w:pPr>
      <w:r>
        <w:t>风险可控性</w:t>
      </w:r>
    </w:p>
    <w:p/>
    <w:p>
      <w:pPr>
        <w:pStyle w:val="Heading3"/>
      </w:pPr>
      <w:r>
        <w:t>6.2 改进实施</w:t>
      </w:r>
    </w:p>
    <w:p>
      <w:pPr>
        <w:pStyle w:val="Heading4"/>
      </w:pPr>
      <w:r>
        <w:t>6.2.1 方案制定</w:t>
      </w:r>
    </w:p>
    <w:p>
      <w:r>
        <w:t>```</w:t>
      </w:r>
    </w:p>
    <w:p>
      <w:r>
        <w:t>改进方案设计 → 技术验证 → 试验验证 → 方案优化 → 实施计划</w:t>
      </w:r>
    </w:p>
    <w:p>
      <w:r>
        <w:t>```</w:t>
      </w:r>
    </w:p>
    <w:p/>
    <w:p>
      <w:r>
        <w:t>**方案要求：**</w:t>
      </w:r>
    </w:p>
    <w:p>
      <w:pPr>
        <w:pStyle w:val="ListBullet"/>
      </w:pPr>
      <w:r>
        <w:t>目标明确</w:t>
      </w:r>
    </w:p>
    <w:p>
      <w:pPr>
        <w:pStyle w:val="ListBullet"/>
      </w:pPr>
      <w:r>
        <w:t>措施具体</w:t>
      </w:r>
    </w:p>
    <w:p>
      <w:pPr>
        <w:pStyle w:val="ListBullet"/>
      </w:pPr>
      <w:r>
        <w:t>时间节点清晰</w:t>
      </w:r>
    </w:p>
    <w:p>
      <w:pPr>
        <w:pStyle w:val="ListBullet"/>
      </w:pPr>
      <w:r>
        <w:t>责任人明确</w:t>
      </w:r>
    </w:p>
    <w:p/>
    <w:p>
      <w:pPr>
        <w:pStyle w:val="Heading4"/>
      </w:pPr>
      <w:r>
        <w:t>6.2.2 试点实施</w:t>
      </w:r>
    </w:p>
    <w:p>
      <w:r>
        <w:t>```</w:t>
      </w:r>
    </w:p>
    <w:p>
      <w:r>
        <w:t>小批量试点 → 效果验证 → 问题改进 → 扩大试点 → 全面推广</w:t>
      </w:r>
    </w:p>
    <w:p>
      <w:r>
        <w:t>```</w:t>
      </w:r>
    </w:p>
    <w:p/>
    <w:p>
      <w:r>
        <w:t>**实施步骤：**</w:t>
      </w:r>
    </w:p>
    <w:p>
      <w:pPr>
        <w:pStyle w:val="ListBullet"/>
      </w:pPr>
      <w:r>
        <w:t>选择试点产品</w:t>
      </w:r>
    </w:p>
    <w:p>
      <w:pPr>
        <w:pStyle w:val="ListBullet"/>
      </w:pPr>
      <w:r>
        <w:t>严格按方案执行</w:t>
      </w:r>
    </w:p>
    <w:p>
      <w:pPr>
        <w:pStyle w:val="ListBullet"/>
      </w:pPr>
      <w:r>
        <w:t>收集数据分析</w:t>
      </w:r>
    </w:p>
    <w:p>
      <w:pPr>
        <w:pStyle w:val="ListBullet"/>
      </w:pPr>
      <w:r>
        <w:t>持续优化改进</w:t>
      </w:r>
    </w:p>
    <w:p/>
    <w:p>
      <w:pPr>
        <w:pStyle w:val="Heading3"/>
      </w:pPr>
      <w:r>
        <w:t>6.3 成果固化</w:t>
      </w:r>
    </w:p>
    <w:p>
      <w:pPr>
        <w:pStyle w:val="Heading4"/>
      </w:pPr>
      <w:r>
        <w:t>6.3.1 标准化</w:t>
      </w:r>
    </w:p>
    <w:p>
      <w:r>
        <w:t>```</w:t>
      </w:r>
    </w:p>
    <w:p>
      <w:r>
        <w:t>修订工艺文件 → 更新作业指导书 → 培训操作人员 → 建立检查机制</w:t>
      </w:r>
    </w:p>
    <w:p>
      <w:r>
        <w:t>```</w:t>
      </w:r>
    </w:p>
    <w:p/>
    <w:p>
      <w:r>
        <w:t>**固化要求：**</w:t>
      </w:r>
    </w:p>
    <w:p>
      <w:pPr>
        <w:pStyle w:val="ListBullet"/>
      </w:pPr>
      <w:r>
        <w:t>文件及时更新</w:t>
      </w:r>
    </w:p>
    <w:p>
      <w:pPr>
        <w:pStyle w:val="ListBullet"/>
      </w:pPr>
      <w:r>
        <w:t>培训全员覆盖</w:t>
      </w:r>
    </w:p>
    <w:p>
      <w:pPr>
        <w:pStyle w:val="ListBullet"/>
      </w:pPr>
      <w:r>
        <w:t>检查机制有效</w:t>
      </w:r>
    </w:p>
    <w:p>
      <w:pPr>
        <w:pStyle w:val="ListBullet"/>
      </w:pPr>
      <w:r>
        <w:t>持续改进</w:t>
      </w:r>
    </w:p>
    <w:p/>
    <w:p>
      <w:pPr>
        <w:pStyle w:val="Heading4"/>
      </w:pPr>
      <w:r>
        <w:t>6.3.2 推广应用</w:t>
      </w:r>
    </w:p>
    <w:p>
      <w:r>
        <w:t>```</w:t>
      </w:r>
    </w:p>
    <w:p>
      <w:r>
        <w:t>经验总结 → 推广计划 → 培训宣贯 → 监督检查 → 效果评估</w:t>
      </w:r>
    </w:p>
    <w:p>
      <w:r>
        <w:t>```</w:t>
      </w:r>
    </w:p>
    <w:p/>
    <w:p>
      <w:r>
        <w:t>**推广策略：**</w:t>
      </w:r>
    </w:p>
    <w:p>
      <w:pPr>
        <w:pStyle w:val="ListBullet"/>
      </w:pPr>
      <w:r>
        <w:t>典型示范</w:t>
      </w:r>
    </w:p>
    <w:p>
      <w:pPr>
        <w:pStyle w:val="ListBullet"/>
      </w:pPr>
      <w:r>
        <w:t>分步推进</w:t>
      </w:r>
    </w:p>
    <w:p>
      <w:pPr>
        <w:pStyle w:val="ListBullet"/>
      </w:pPr>
      <w:r>
        <w:t>重点突破</w:t>
      </w:r>
    </w:p>
    <w:p>
      <w:pPr>
        <w:pStyle w:val="ListBullet"/>
      </w:pPr>
      <w:r>
        <w:t>全面覆盖</w:t>
      </w:r>
    </w:p>
    <w:p/>
    <w:p>
      <w:pPr>
        <w:pStyle w:val="Heading2"/>
      </w:pPr>
      <w:r>
        <w:t>7. 工艺文件管理</w:t>
      </w:r>
    </w:p>
    <w:p/>
    <w:p>
      <w:pPr>
        <w:pStyle w:val="Heading3"/>
      </w:pPr>
      <w:r>
        <w:t>7.1 文件体系</w:t>
      </w:r>
    </w:p>
    <w:p>
      <w:pPr>
        <w:pStyle w:val="Heading4"/>
      </w:pPr>
      <w:r>
        <w:t>7.1.1 文件分类</w:t>
      </w:r>
    </w:p>
    <w:p>
      <w:pPr>
        <w:pStyle w:val="ListBullet"/>
      </w:pPr>
      <w:r>
        <w:t>**工艺规程**：总体工艺要求</w:t>
      </w:r>
    </w:p>
    <w:p>
      <w:pPr>
        <w:pStyle w:val="ListBullet"/>
      </w:pPr>
      <w:r>
        <w:t>**作业指导书**：具体操作指导</w:t>
      </w:r>
    </w:p>
    <w:p>
      <w:pPr>
        <w:pStyle w:val="ListBullet"/>
      </w:pPr>
      <w:r>
        <w:t>**检验规范**：质量检验标准</w:t>
      </w:r>
    </w:p>
    <w:p>
      <w:pPr>
        <w:pStyle w:val="ListBullet"/>
      </w:pPr>
      <w:r>
        <w:t>**设备操作规程**：设备使用指导</w:t>
      </w:r>
    </w:p>
    <w:p/>
    <w:p>
      <w:pPr>
        <w:pStyle w:val="Heading4"/>
      </w:pPr>
      <w:r>
        <w:t>7.1.2 文件编号</w:t>
      </w:r>
    </w:p>
    <w:p>
      <w:r>
        <w:t>```</w:t>
      </w:r>
    </w:p>
    <w:p>
      <w:r>
        <w:t>SCB-GY-XXX-YY</w:t>
      </w:r>
    </w:p>
    <w:p>
      <w:r>
        <w:t>SCB：生产部代码</w:t>
      </w:r>
    </w:p>
    <w:p>
      <w:r>
        <w:t>GY：工艺文件代码</w:t>
      </w:r>
    </w:p>
    <w:p>
      <w:r>
        <w:t>XXX：产品代码</w:t>
      </w:r>
    </w:p>
    <w:p>
      <w:r>
        <w:t>YY：版本号</w:t>
      </w:r>
    </w:p>
    <w:p>
      <w:r>
        <w:t>```</w:t>
      </w:r>
    </w:p>
    <w:p/>
    <w:p>
      <w:pPr>
        <w:pStyle w:val="Heading3"/>
      </w:pPr>
      <w:r>
        <w:t>7.2 文件控制</w:t>
      </w:r>
    </w:p>
    <w:p>
      <w:pPr>
        <w:pStyle w:val="Heading4"/>
      </w:pPr>
      <w:r>
        <w:t>7.2.1 文件审批</w:t>
      </w:r>
    </w:p>
    <w:p>
      <w:r>
        <w:t>```</w:t>
      </w:r>
    </w:p>
    <w:p>
      <w:r>
        <w:t>编制 → 审核 → 批准 → 发布 → 实施</w:t>
      </w:r>
    </w:p>
    <w:p>
      <w:r>
        <w:t>```</w:t>
      </w:r>
    </w:p>
    <w:p/>
    <w:p>
      <w:r>
        <w:t>**审批权限：**</w:t>
      </w:r>
    </w:p>
    <w:p>
      <w:pPr>
        <w:pStyle w:val="ListBullet"/>
      </w:pPr>
      <w:r>
        <w:t>编制：工艺员</w:t>
      </w:r>
    </w:p>
    <w:p>
      <w:pPr>
        <w:pStyle w:val="ListBullet"/>
      </w:pPr>
      <w:r>
        <w:t>审核：工程部</w:t>
      </w:r>
    </w:p>
    <w:p>
      <w:pPr>
        <w:pStyle w:val="ListBullet"/>
      </w:pPr>
      <w:r>
        <w:t>批准：装配部主管</w:t>
      </w:r>
    </w:p>
    <w:p>
      <w:pPr>
        <w:pStyle w:val="ListBullet"/>
      </w:pPr>
      <w:r>
        <w:t>发布：文控员</w:t>
      </w:r>
    </w:p>
    <w:p/>
    <w:p>
      <w:pPr>
        <w:pStyle w:val="Heading4"/>
      </w:pPr>
      <w:r>
        <w:t>7.2.2 文件更新</w:t>
      </w:r>
    </w:p>
    <w:p>
      <w:r>
        <w:t>```</w:t>
      </w:r>
    </w:p>
    <w:p>
      <w:r>
        <w:t>变更申请 → 影响评估 → 修订文件 → 重新审批 → 替换发布</w:t>
      </w:r>
    </w:p>
    <w:p>
      <w:r>
        <w:t>```</w:t>
      </w:r>
    </w:p>
    <w:p/>
    <w:p>
      <w:r>
        <w:t>**更新要求：**</w:t>
      </w:r>
    </w:p>
    <w:p>
      <w:pPr>
        <w:pStyle w:val="ListBullet"/>
      </w:pPr>
      <w:r>
        <w:t>及时响应变更</w:t>
      </w:r>
    </w:p>
    <w:p>
      <w:pPr>
        <w:pStyle w:val="ListBullet"/>
      </w:pPr>
      <w:r>
        <w:t>评估变更影响</w:t>
      </w:r>
    </w:p>
    <w:p>
      <w:pPr>
        <w:pStyle w:val="ListBullet"/>
      </w:pPr>
      <w:r>
        <w:t>严格审批程序</w:t>
      </w:r>
    </w:p>
    <w:p>
      <w:pPr>
        <w:pStyle w:val="ListBullet"/>
      </w:pPr>
      <w:r>
        <w:t>确保版本统一</w:t>
      </w:r>
    </w:p>
    <w:p/>
    <w:p>
      <w:pPr>
        <w:pStyle w:val="Heading3"/>
      </w:pPr>
      <w:r>
        <w:t>7.3 文件使用</w:t>
      </w:r>
    </w:p>
    <w:p>
      <w:pPr>
        <w:pStyle w:val="Heading4"/>
      </w:pPr>
      <w:r>
        <w:t>7.3.1 文件发放</w:t>
      </w:r>
    </w:p>
    <w:p>
      <w:pPr>
        <w:pStyle w:val="ListBullet"/>
      </w:pPr>
      <w:r>
        <w:t>按需发放</w:t>
      </w:r>
    </w:p>
    <w:p>
      <w:pPr>
        <w:pStyle w:val="ListBullet"/>
      </w:pPr>
      <w:r>
        <w:t>受控管理</w:t>
      </w:r>
    </w:p>
    <w:p>
      <w:pPr>
        <w:pStyle w:val="ListBullet"/>
      </w:pPr>
      <w:r>
        <w:t>及时更新</w:t>
      </w:r>
    </w:p>
    <w:p>
      <w:pPr>
        <w:pStyle w:val="ListBullet"/>
      </w:pPr>
      <w:r>
        <w:t>回收废止版本</w:t>
      </w:r>
    </w:p>
    <w:p/>
    <w:p>
      <w:pPr>
        <w:pStyle w:val="Heading4"/>
      </w:pPr>
      <w:r>
        <w:t>7.3.2 文件培训</w:t>
      </w:r>
    </w:p>
    <w:p>
      <w:pPr>
        <w:pStyle w:val="ListBullet"/>
      </w:pPr>
      <w:r>
        <w:t>新文件发布培训</w:t>
      </w:r>
    </w:p>
    <w:p>
      <w:pPr>
        <w:pStyle w:val="ListBullet"/>
      </w:pPr>
      <w:r>
        <w:t>定期复习培训</w:t>
      </w:r>
    </w:p>
    <w:p>
      <w:pPr>
        <w:pStyle w:val="ListBullet"/>
      </w:pPr>
      <w:r>
        <w:t>考核确认掌握</w:t>
      </w:r>
    </w:p>
    <w:p>
      <w:pPr>
        <w:pStyle w:val="ListBullet"/>
      </w:pPr>
      <w:r>
        <w:t>建立培训记录</w:t>
      </w:r>
    </w:p>
    <w:p/>
    <w:p>
      <w:pPr>
        <w:pStyle w:val="Heading2"/>
      </w:pPr>
      <w:r>
        <w:t>8. 附则</w:t>
      </w:r>
    </w:p>
    <w:p/>
    <w:p>
      <w:pPr>
        <w:pStyle w:val="Heading3"/>
      </w:pPr>
      <w:r>
        <w:t>8.1 流程执行</w:t>
      </w:r>
    </w:p>
    <w:p>
      <w:pPr>
        <w:pStyle w:val="ListBullet"/>
      </w:pPr>
      <w:r>
        <w:t>本流程自发布之日起执行</w:t>
      </w:r>
    </w:p>
    <w:p>
      <w:pPr>
        <w:pStyle w:val="ListBullet"/>
      </w:pPr>
      <w:r>
        <w:t>全体员工必须严格遵守</w:t>
      </w:r>
    </w:p>
    <w:p>
      <w:pPr>
        <w:pStyle w:val="ListBullet"/>
      </w:pPr>
      <w:r>
        <w:t>违反流程按制度处理</w:t>
      </w:r>
    </w:p>
    <w:p>
      <w:pPr>
        <w:pStyle w:val="ListBullet"/>
      </w:pPr>
      <w:r>
        <w:t>定期评估流程有效性</w:t>
      </w:r>
    </w:p>
    <w:p/>
    <w:p>
      <w:pPr>
        <w:pStyle w:val="Heading3"/>
      </w:pPr>
      <w:r>
        <w:t>8.2 流程改进</w:t>
      </w:r>
    </w:p>
    <w:p>
      <w:pPr>
        <w:pStyle w:val="ListBullet"/>
      </w:pPr>
      <w:r>
        <w:t>根据实际需要持续改进</w:t>
      </w:r>
    </w:p>
    <w:p>
      <w:pPr>
        <w:pStyle w:val="ListBullet"/>
      </w:pPr>
      <w:r>
        <w:t>重大修订需报批准</w:t>
      </w:r>
    </w:p>
    <w:p>
      <w:pPr>
        <w:pStyle w:val="ListBullet"/>
      </w:pPr>
      <w:r>
        <w:t>修订后及时培训</w:t>
      </w:r>
    </w:p>
    <w:p>
      <w:pPr>
        <w:pStyle w:val="ListBullet"/>
      </w:pPr>
      <w:r>
        <w:t>确保流程先进性</w:t>
      </w:r>
    </w:p>
    <w:p/>
    <w:p>
      <w:pPr>
        <w:pStyle w:val="Heading3"/>
      </w:pPr>
      <w:r>
        <w:t>8.3 解释权限</w:t>
      </w:r>
    </w:p>
    <w:p>
      <w:pPr>
        <w:pStyle w:val="ListBullet"/>
      </w:pPr>
      <w:r>
        <w:t>本流程由装配部负责解释</w:t>
      </w:r>
    </w:p>
    <w:p>
      <w:pPr>
        <w:pStyle w:val="ListBullet"/>
      </w:pPr>
      <w:r>
        <w:t>执行中的问题由生产部主管协调</w:t>
      </w:r>
    </w:p>
    <w:p>
      <w:pPr>
        <w:pStyle w:val="ListBullet"/>
      </w:pPr>
      <w:r>
        <w:t>技术问题由工程部支持解决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