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YDS-Lab标准目录结构适配Trae方案的修改分析报告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一、核心前提：YDS-Lab标准目录结构核心逻辑回顾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基于前期沟通，YDS-Lab标准目录结构以“智能体定义-部门工作区-工具链-项目管理”为核心框架，原始结构简化如下：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YDS-Lab/</w:t>
              <w:br/>
              <w:t>├── Struc/                  # 核心结构目录</w:t>
              <w:br/>
              <w:t>│   ├── Agents/             # 智能体定义目录（按部门角色划分）</w:t>
              <w:br/>
              <w:t>│   │   ├── ceo/            # 总经理智能体（人设、职责、工具配置）</w:t>
              <w:br/>
              <w:t>│   │   ├── marketing/      # 企划部智能体</w:t>
              <w:br/>
              <w:t>│   │   ├── tech/           # 技术部智能体</w:t>
              <w:br/>
              <w:t>│   │   └── ...（其他部门）</w:t>
              <w:br/>
              <w:t>│   ├── Departments/        # 部门工作区（数据存储与协作）</w:t>
              <w:br/>
              <w:t>│   │   ├── GeneralOffice/  # 总经办文档库</w:t>
              <w:br/>
              <w:t>│   │   ├── MarketingDept/  # 企划部工作区</w:t>
              <w:br/>
              <w:t>│   │   └── ...（其他部门）</w:t>
              <w:br/>
              <w:t>│   └── Tools/              # 工具链目录（按功能划分）</w:t>
              <w:br/>
              <w:t>│       ├── integration/    # 跨部门集成工具</w:t>
              <w:br/>
              <w:t>│       ├── security/       # 安全工具</w:t>
              <w:br/>
              <w:t>│       └── ...</w:t>
              <w:br/>
              <w:t>├── Projects/               # 项目管理目录（按项目编号划分）</w:t>
              <w:br/>
              <w:t>│   ├── 001-dewatermark-ai/ # 示例项目：AI去水印工具</w:t>
              <w:br/>
              <w:t>│   └── ...</w:t>
              <w:br/>
              <w:t>└── Models/                 # 模型配置目录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└── config/             # 模型参数与适配配置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核心逻辑：</w:t>
      </w:r>
      <w:r>
        <w:rPr>
          <w:rFonts w:eastAsia="等线" w:ascii="Arial" w:cs="Arial" w:hAnsi="Arial"/>
          <w:b w:val="true"/>
          <w:sz w:val="22"/>
        </w:rPr>
        <w:t>按“角色定义-数据存储-工具支撑-项目落地”分层，实现智能体与现实部门的精准映射，支持全流程协作</w:t>
      </w:r>
      <w:r>
        <w:rPr>
          <w:rFonts w:eastAsia="等线" w:ascii="Arial" w:cs="Arial" w:hAnsi="Arial"/>
          <w:sz w:val="22"/>
        </w:rPr>
        <w:t>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二、适配性分析：现有目录结构与Trae方案的匹配度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结合当前Trae适配版方案（智能体配置、协作机制、业务流程），现有目录结构的匹配度及问题如下：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2.1 高匹配度模块（无需修改）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目录模块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匹配的Trae方案核心需求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适配依据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Struc/Agents/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各部门智能体自定义配置（人设、职责、工具集）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方案3.2节“各部门智能体详细配置”中，总经理、前端开发、财务总监等智能体的配置逻辑，与该目录“按角色建子目录”的设计完全一致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Struc/Departments/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Trae共享工作区的数据存储与协作需求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方案3.3节“共享工作区”用于存储各部门输出（如企划部调研报告、技术部代码），与该目录“部门工作区”的定位完全匹配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Projects/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项目交付流程的全周期管理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方案4.2节“项目交付流程”中，从研发到交付的全环节输出（代码、测试报告、交付包），可直接按该目录的项目编号规则存储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2.2 需优化模块（适配Trae特性）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目录模块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现有问题（与Trae方案不匹配点）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优化方向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Struc/Tools/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未体现Trae核心的“MCP协议工具集成”特性；2. 未区分“智能体专属工具”与“公共工具”，与方案3.2节“各智能体工具配置”逻辑脱节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 新增“MCP/”子目录，存储MCP协议适配的工具（如Figma MCP、GitHub MCP）；2. 在各部门工具目录下新增“exclusive/”（专属工具）和“public/”（公共工具）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Struc/Agents/[部门]/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现有仅含“define.py”等配置文件，未体现Trae智能体的“触发规则”“输出规范”等核心配置（方案3.2节明确要求）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在各智能体子目录下新增“trigger.yaml”（触发规则配置）和“output_spec.yaml”（输出规范），适配Trae的自动化触发需求</w:t>
            </w:r>
          </w:p>
        </w:tc>
      </w:tr>
      <w:tr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Models/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未区分“Trae轻量模型”与“核心模型”，与方案5.2节“智能体能力优化”中“核心智能体用高性能模型”的逻辑不符</w:t>
            </w:r>
          </w:p>
        </w:tc>
        <w:tc>
          <w:tcPr>
            <w:tcW w:w="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新增“lightweight/”（轻量模型，用于非核心任务）和“core/”（核心模型，如GPT-4 Turbo）子目录，适配不同智能体的模型需求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2.3 需新增模块（补全Trae协作机制）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现有目录缺少支撑Trae“智能体协作流程”和“安全管控”的专属目录，需新增以下模块：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Struc/Workflow/</w:t>
      </w:r>
      <w:r>
        <w:rPr>
          <w:rFonts w:eastAsia="等线" w:ascii="Arial" w:cs="Arial" w:hAnsi="Arial"/>
          <w:sz w:val="22"/>
        </w:rPr>
        <w:t>：存储Trae流程自动化引擎的配置文件（如方案4.2节“项目交付流程”的流转规则），子目录按流程类型划分（如“project_delivery/”“operation_promotion/”）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Struc/Security/</w:t>
      </w:r>
      <w:r>
        <w:rPr>
          <w:rFonts w:eastAsia="等线" w:ascii="Arial" w:cs="Arial" w:hAnsi="Arial"/>
          <w:sz w:val="22"/>
        </w:rPr>
        <w:t>：独立于Tools目录，存储Trae数据安全相关配置（如方案5.1节的“AES加密配置”“权限控制清单”），避免与工具配置混淆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Struc/Log/</w:t>
      </w:r>
      <w:r>
        <w:rPr>
          <w:rFonts w:eastAsia="等线" w:ascii="Arial" w:cs="Arial" w:hAnsi="Arial"/>
          <w:sz w:val="22"/>
        </w:rPr>
        <w:t>：存储智能体协作日志（如方案3.3节“冲突管控”的操作日志、方案4.3节“流程优化”的数据分析原始数据），支撑迭代优化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三、最终优化后目录结构（Trae适配版）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YDS-Lab/</w:t>
              <w:br/>
              <w:t>├── Struc/                  # 核心结构目录（优化后）</w:t>
              <w:br/>
              <w:t>│   ├── Agents/             # 智能体定义目录（新增配置文件）</w:t>
              <w:br/>
              <w:t>│   │   ├── ceo/            # 总经理智能体</w:t>
              <w:br/>
              <w:t>│   │   │   ├── define.py   # 人设与职责配置</w:t>
              <w:br/>
              <w:t>│   │   │   ├── prompt.py   # 提示词配置</w:t>
              <w:br/>
              <w:t>│   │   │   ├── trigger.yaml# 触发规则（如1小时内拆解任务）</w:t>
              <w:br/>
              <w:t>│   │   │   └── output_spec.yaml # 输出规范（如决策报告格式）</w:t>
              <w:br/>
              <w:t>│   │   ├── marketing/      # 企划部智能体（同上述结构）</w:t>
              <w:br/>
              <w:t>│   │   ├── tech/           # 技术部智能体（同上述结构）</w:t>
              <w:br/>
              <w:t>│   │   └── ...（其他部门）</w:t>
              <w:br/>
              <w:t>│   ├── Departments/        # 部门工作区（未修改）</w:t>
              <w:br/>
              <w:t>│   │   ├── GeneralOffice/  # 总经办文档库</w:t>
              <w:br/>
              <w:t>│   │   ├── MarketingDept/  # 企划部工作区</w:t>
              <w:br/>
              <w:t>│   │   └── ...（其他部门）</w:t>
              <w:br/>
              <w:t>│   ├── Tools/              # 工具链目录（新增MCP适配）</w:t>
              <w:br/>
              <w:t>│   │   ├── MCP/            # MCP协议工具集成</w:t>
              <w:br/>
              <w:t>│   │   │   ├── figma_mcp/  # Figma MCP配置</w:t>
              <w:br/>
              <w:t>│   │   │   └── github_mcp/ # GitHub MCP配置</w:t>
              <w:br/>
              <w:t>│   │   ├── integration/    # 跨部门集成工具</w:t>
              <w:br/>
              <w:t>│   │   ├── security/       # 基础安全工具</w:t>
              <w:br/>
              <w:t>│   │   └── [部门]/         # 部门工具（分专属/公共）</w:t>
              <w:br/>
              <w:t>│   │       ├── exclusive/  # 部门专属工具（如技术部的编译工具）</w:t>
              <w:br/>
              <w:t>│   │       └── public/     # 公共工具（如通用报表工具）</w:t>
              <w:br/>
              <w:t>│   ├── Workflow/           # 新增：流程自动化配置</w:t>
              <w:br/>
              <w:t>│   │   ├── project_delivery/ # 项目交付流程规则</w:t>
              <w:br/>
              <w:t>│   │   └── operation_promotion/ # 运营推广流程规则</w:t>
              <w:br/>
              <w:t>│   ├── Security/           # 新增：数据安全配置</w:t>
              <w:br/>
              <w:t>│   │   ├── encryption.yaml # 加密规则配置（AES-256）</w:t>
              <w:br/>
              <w:t>│   │   └── permission.yaml # 权限控制清单</w:t>
              <w:br/>
              <w:t>│   └── Log/                # 新增：协作与操作日志</w:t>
              <w:br/>
              <w:t>│       ├── collaboration/  # 智能体协作日志</w:t>
              <w:br/>
              <w:t>│       └── process/        # 流程执行日志</w:t>
              <w:br/>
              <w:t>├── Projects/               # 项目管理目录（未修改）</w:t>
              <w:br/>
              <w:t>│   ├── 001-dewatermark-ai/ # 示例项目：AI去水印工具</w:t>
              <w:br/>
              <w:t>│   └── ...</w:t>
              <w:br/>
              <w:t>└── Models/                 # 模型配置目录（优化后）</w:t>
              <w:br/>
              <w:t xml:space="preserve">    ├── core/               # 核心模型（如GPT-4 Turbo）</w:t>
              <w:br/>
              <w:t xml:space="preserve">    ├── lightweight/        # 轻量模型（用于非核心任务）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└── config/             # 模型参数配置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四、修改必要性总结与实施建议</w:t>
      </w:r>
      <w:bookmarkEnd w:id="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4.1 修改必要性</w:t>
      </w:r>
      <w:bookmarkEnd w:id="7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现有YDS-Lab标准目录结构</w:t>
            </w:r>
            <w:r>
              <w:rPr>
                <w:rFonts w:eastAsia="等线" w:ascii="Arial" w:cs="Arial" w:hAnsi="Arial"/>
                <w:b w:val="true"/>
                <w:sz w:val="22"/>
              </w:rPr>
              <w:t>需要针对性修改</w:t>
            </w:r>
            <w:r>
              <w:rPr>
                <w:rFonts w:eastAsia="等线" w:ascii="Arial" w:cs="Arial" w:hAnsi="Arial"/>
                <w:sz w:val="22"/>
              </w:rPr>
              <w:t>，核心原因：1. 原始结构未适配Trae的MCP协议、流程自动化等核心特性；2. 缺少智能体协作日志、安全配置等支撑模块，无法落地方案中的风险管控和流程优化机制；3. 智能体配置文件不完整，无法体现Trae的触发规则、输出规范等关键配置。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4.2 实施建议</w:t>
      </w:r>
      <w:bookmarkEnd w:id="8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分阶段实施</w:t>
      </w:r>
      <w:r>
        <w:rPr>
          <w:rFonts w:eastAsia="等线" w:ascii="Arial" w:cs="Arial" w:hAnsi="Arial"/>
          <w:sz w:val="22"/>
        </w:rPr>
        <w:t>：</w:t>
        <w:br/>
      </w:r>
      <w:r>
        <w:rPr>
          <w:rFonts w:eastAsia="等线" w:ascii="Arial" w:cs="Arial" w:hAnsi="Arial"/>
          <w:sz w:val="22"/>
        </w:rPr>
        <w:t xml:space="preserve">  第一阶段（基础搭建期第1个月）：完成Struc/Agents/的配置文件新增（trigger.yaml等）和Models/的目录拆分，支撑智能体初始化配置；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第二阶段（基础搭建期第2个月）：新增Struc/Workflow/和Struc/Security/，配置核心流程规则和安全策略；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第三阶段（试点验证期第5个月）：优化Struc/Tools/的MCP适配，根据试点项目需求补充工具配置。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兼容性保障</w:t>
      </w:r>
      <w:r>
        <w:rPr>
          <w:rFonts w:eastAsia="等线" w:ascii="Arial" w:cs="Arial" w:hAnsi="Arial"/>
          <w:sz w:val="22"/>
        </w:rPr>
        <w:t>：保留原始目录的核心逻辑（如Agents/、Departments/），仅新增或优化子目录，避免对历史配置的大幅改动；同时在根目录新增“directory_change_log.md”，记录目录修改轨迹，便于团队追溯。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文档同步</w:t>
      </w:r>
      <w:r>
        <w:rPr>
          <w:rFonts w:eastAsia="等线" w:ascii="Arial" w:cs="Arial" w:hAnsi="Arial"/>
          <w:sz w:val="22"/>
        </w:rPr>
        <w:t>：在各新增/优化目录下同步新增“README.md”，明确目录用途、配置规范（如trigger.yaml的字段说明、MCP工具的适配步骤）及责任人，适配团队协作需求。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验证机制</w:t>
      </w:r>
      <w:r>
        <w:rPr>
          <w:rFonts w:eastAsia="等线" w:ascii="Arial" w:cs="Arial" w:hAnsi="Arial"/>
          <w:sz w:val="22"/>
        </w:rPr>
        <w:t>：每个阶段修改完成后，通过“目录配置校验清单”（含目录完整性、配置文件规范性、与Trae方案匹配度三项指标）进行自检，确保修改落地有效。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|（注：文档部分内容可能由 AI 生成)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0997">
    <w:lvl>
      <w:start w:val="1"/>
      <w:numFmt w:val="decimal"/>
      <w:suff w:val="tab"/>
      <w:lvlText w:val="%1."/>
      <w:rPr>
        <w:color w:val="3370ff"/>
      </w:rPr>
    </w:lvl>
  </w:abstractNum>
  <w:abstractNum w:abstractNumId="40998">
    <w:lvl>
      <w:start w:val="2"/>
      <w:numFmt w:val="decimal"/>
      <w:suff w:val="tab"/>
      <w:lvlText w:val="%1."/>
      <w:rPr>
        <w:color w:val="3370ff"/>
      </w:rPr>
    </w:lvl>
  </w:abstractNum>
  <w:abstractNum w:abstractNumId="40999">
    <w:lvl>
      <w:start w:val="3"/>
      <w:numFmt w:val="decimal"/>
      <w:suff w:val="tab"/>
      <w:lvlText w:val="%1."/>
      <w:rPr>
        <w:color w:val="3370ff"/>
      </w:rPr>
    </w:lvl>
  </w:abstractNum>
  <w:abstractNum w:abstractNumId="41000">
    <w:lvl>
      <w:start w:val="1"/>
      <w:numFmt w:val="decimal"/>
      <w:suff w:val="tab"/>
      <w:lvlText w:val="%1."/>
      <w:rPr>
        <w:color w:val="3370ff"/>
      </w:rPr>
    </w:lvl>
  </w:abstractNum>
  <w:abstractNum w:abstractNumId="41001">
    <w:lvl>
      <w:start w:val="2"/>
      <w:numFmt w:val="decimal"/>
      <w:suff w:val="tab"/>
      <w:lvlText w:val="%1."/>
      <w:rPr>
        <w:color w:val="3370ff"/>
      </w:rPr>
    </w:lvl>
  </w:abstractNum>
  <w:abstractNum w:abstractNumId="41002">
    <w:lvl>
      <w:start w:val="3"/>
      <w:numFmt w:val="decimal"/>
      <w:suff w:val="tab"/>
      <w:lvlText w:val="%1."/>
      <w:rPr>
        <w:color w:val="3370ff"/>
      </w:rPr>
    </w:lvl>
  </w:abstractNum>
  <w:abstractNum w:abstractNumId="41003">
    <w:lvl>
      <w:start w:val="4"/>
      <w:numFmt w:val="decimal"/>
      <w:suff w:val="tab"/>
      <w:lvlText w:val="%1."/>
      <w:rPr>
        <w:color w:val="3370ff"/>
      </w:rPr>
    </w:lvl>
  </w:abstractNum>
  <w:abstractNum w:abstractNumId="41004">
    <w:lvl>
      <w:start w:val="5"/>
      <w:numFmt w:val="decimal"/>
      <w:suff w:val="tab"/>
      <w:lvlText w:val="%1."/>
      <w:rPr>
        <w:color w:val="3370ff"/>
      </w:rPr>
    </w:lvl>
  </w:abstractNum>
  <w:abstractNum w:abstractNumId="41005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40997"/>
  </w:num>
  <w:num w:numId="2">
    <w:abstractNumId w:val="40998"/>
  </w:num>
  <w:num w:numId="3">
    <w:abstractNumId w:val="40999"/>
  </w:num>
  <w:num w:numId="4">
    <w:abstractNumId w:val="41000"/>
  </w:num>
  <w:num w:numId="5">
    <w:abstractNumId w:val="41001"/>
  </w:num>
  <w:num w:numId="6">
    <w:abstractNumId w:val="41002"/>
  </w:num>
  <w:num w:numId="7">
    <w:abstractNumId w:val="41003"/>
  </w:num>
  <w:num w:numId="8">
    <w:abstractNumId w:val="41004"/>
  </w:num>
  <w:num w:numId="9">
    <w:abstractNumId w:val="4100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2025-10-29T05:31:24Z</dcterms:created>
  <dc:creator>Apache POI</dc:creator>
</cp:coreProperties>
</file>