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Final – Mes.Opc.Acquisition.Runtime (Top du Top NSU)</w:t>
      </w:r>
    </w:p>
    <w:p/>
    <w:p>
      <w:r>
        <w:t>RAPPORT FINAL – MES.OPC.ACQUISITION.RUNTIME</w:t>
      </w:r>
    </w:p>
    <w:p/>
    <w:p>
      <w:r>
        <w:t>1. PROBLÈME INITIAL</w:t>
      </w:r>
    </w:p>
    <w:p>
      <w:r>
        <w:t>Les NodeId OPC UA étaient stockés sous la forme ns=&lt;index&gt;. Les index de namespace</w:t>
      </w:r>
    </w:p>
    <w:p>
      <w:r>
        <w:t>changent dynamiquement sur le serveur Softing dataFEED, provoquant des erreurs</w:t>
      </w:r>
    </w:p>
    <w:p>
      <w:r>
        <w:t>80850000 et des pertes de souscriptions.</w:t>
      </w:r>
    </w:p>
    <w:p/>
    <w:p>
      <w:r>
        <w:t>2. SOLUTION TOP DU TOP (NSU)</w:t>
      </w:r>
    </w:p>
    <w:p>
      <w:r>
        <w:t>La solution consiste à stocker en base de données les NodeId au format stable :</w:t>
      </w:r>
    </w:p>
    <w:p>
      <w:r>
        <w:t>nsu=&lt;NamespaceUri&gt;;s=...</w:t>
      </w:r>
    </w:p>
    <w:p>
      <w:r>
        <w:t>Le runtime résout automatiquement l’index réel à partir de l’URI.</w:t>
      </w:r>
    </w:p>
    <w:p/>
    <w:p>
      <w:r>
        <w:t>3. ÉVOLUTIONS APPORTÉES</w:t>
      </w:r>
    </w:p>
    <w:p>
      <w:r>
        <w:t>- Ajout des colonnes OpcNodeIdNsu dans :</w:t>
      </w:r>
    </w:p>
    <w:p>
      <w:r>
        <w:t xml:space="preserve">  MachineTagMapping</w:t>
      </w:r>
    </w:p>
    <w:p>
      <w:r>
        <w:t xml:space="preserve">  MachineCycleRule</w:t>
      </w:r>
    </w:p>
    <w:p>
      <w:r>
        <w:t xml:space="preserve">  AnalyticsSummaryItem</w:t>
      </w:r>
    </w:p>
    <w:p>
      <w:r>
        <w:t>- Migration NSU automatique au démarrage (une seule fois)</w:t>
      </w:r>
    </w:p>
    <w:p>
      <w:r>
        <w:t>- Runtime NSU-first avec fallback</w:t>
      </w:r>
    </w:p>
    <w:p>
      <w:r>
        <w:t>- Détection de cycle :</w:t>
      </w:r>
    </w:p>
    <w:p>
      <w:r>
        <w:t xml:space="preserve">  * Machines SP1..SP5</w:t>
      </w:r>
    </w:p>
    <w:p>
      <w:r>
        <w:t xml:space="preserve">  * Machines Line-only</w:t>
      </w:r>
    </w:p>
    <w:p>
      <w:r>
        <w:t>- Snapshot OPC robuste</w:t>
      </w:r>
    </w:p>
    <w:p>
      <w:r>
        <w:t>- Élargissement MachineTagValue.OpcNodeId à NVARCHAR(1200)</w:t>
      </w:r>
    </w:p>
    <w:p/>
    <w:p>
      <w:r>
        <w:t>4. RÉSULTAT</w:t>
      </w:r>
    </w:p>
    <w:p>
      <w:r>
        <w:t>La solution est désormais stable, robuste et industrialisable.</w:t>
      </w:r>
    </w:p>
    <w:p>
      <w:r>
        <w:t>Les changements de namespace OPC n’impactent plus le runtime.</w:t>
      </w:r>
    </w:p>
    <w:p/>
    <w:p>
      <w:r>
        <w:t>FIN DU RAPPORT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