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AA" w:rsidRDefault="006831A2">
      <w:pPr>
        <w:jc w:val="center"/>
        <w:rPr>
          <w:b/>
          <w:sz w:val="36"/>
          <w:szCs w:val="36"/>
          <w:u w:val="single"/>
        </w:rPr>
      </w:pPr>
      <w:r>
        <w:rPr>
          <w:b/>
          <w:sz w:val="36"/>
          <w:szCs w:val="36"/>
          <w:u w:val="single"/>
        </w:rPr>
        <w:t>DAILY ASSESSMENT FORMAT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504"/>
        <w:gridCol w:w="1306"/>
        <w:gridCol w:w="3178"/>
      </w:tblGrid>
      <w:tr w:rsidR="000A1FAA">
        <w:tc>
          <w:tcPr>
            <w:tcW w:w="1362" w:type="dxa"/>
          </w:tcPr>
          <w:p w:rsidR="000A1FAA" w:rsidRDefault="006831A2">
            <w:pPr>
              <w:rPr>
                <w:b/>
                <w:sz w:val="24"/>
                <w:szCs w:val="24"/>
              </w:rPr>
            </w:pPr>
            <w:r>
              <w:rPr>
                <w:b/>
                <w:sz w:val="24"/>
                <w:szCs w:val="24"/>
              </w:rPr>
              <w:t>Date:</w:t>
            </w:r>
          </w:p>
        </w:tc>
        <w:tc>
          <w:tcPr>
            <w:tcW w:w="3504" w:type="dxa"/>
          </w:tcPr>
          <w:p w:rsidR="000A1FAA" w:rsidRDefault="006831A2">
            <w:pPr>
              <w:rPr>
                <w:b/>
                <w:sz w:val="24"/>
                <w:szCs w:val="24"/>
              </w:rPr>
            </w:pPr>
            <w:r>
              <w:rPr>
                <w:b/>
                <w:sz w:val="24"/>
                <w:szCs w:val="24"/>
              </w:rPr>
              <w:t>21/05/2020</w:t>
            </w:r>
          </w:p>
        </w:tc>
        <w:tc>
          <w:tcPr>
            <w:tcW w:w="1306" w:type="dxa"/>
          </w:tcPr>
          <w:p w:rsidR="000A1FAA" w:rsidRDefault="006831A2">
            <w:pPr>
              <w:rPr>
                <w:b/>
                <w:sz w:val="24"/>
                <w:szCs w:val="24"/>
              </w:rPr>
            </w:pPr>
            <w:r>
              <w:rPr>
                <w:b/>
                <w:sz w:val="24"/>
                <w:szCs w:val="24"/>
              </w:rPr>
              <w:t>Name:</w:t>
            </w:r>
          </w:p>
        </w:tc>
        <w:tc>
          <w:tcPr>
            <w:tcW w:w="3178" w:type="dxa"/>
          </w:tcPr>
          <w:p w:rsidR="000A1FAA" w:rsidRDefault="006831A2">
            <w:pPr>
              <w:rPr>
                <w:b/>
                <w:sz w:val="24"/>
                <w:szCs w:val="24"/>
              </w:rPr>
            </w:pPr>
            <w:proofErr w:type="spellStart"/>
            <w:r>
              <w:rPr>
                <w:b/>
                <w:sz w:val="24"/>
                <w:szCs w:val="24"/>
              </w:rPr>
              <w:t>Shilpa</w:t>
            </w:r>
            <w:proofErr w:type="spellEnd"/>
            <w:r>
              <w:rPr>
                <w:b/>
                <w:sz w:val="24"/>
                <w:szCs w:val="24"/>
              </w:rPr>
              <w:t xml:space="preserve"> S</w:t>
            </w:r>
          </w:p>
        </w:tc>
      </w:tr>
      <w:tr w:rsidR="000A1FAA">
        <w:tc>
          <w:tcPr>
            <w:tcW w:w="1362" w:type="dxa"/>
          </w:tcPr>
          <w:p w:rsidR="000A1FAA" w:rsidRDefault="006831A2">
            <w:pPr>
              <w:rPr>
                <w:b/>
                <w:sz w:val="24"/>
                <w:szCs w:val="24"/>
              </w:rPr>
            </w:pPr>
            <w:r>
              <w:rPr>
                <w:b/>
                <w:sz w:val="24"/>
                <w:szCs w:val="24"/>
              </w:rPr>
              <w:t>Course:</w:t>
            </w:r>
          </w:p>
        </w:tc>
        <w:tc>
          <w:tcPr>
            <w:tcW w:w="3504" w:type="dxa"/>
          </w:tcPr>
          <w:p w:rsidR="000A1FAA" w:rsidRDefault="006831A2">
            <w:pPr>
              <w:rPr>
                <w:b/>
                <w:sz w:val="24"/>
                <w:szCs w:val="24"/>
              </w:rPr>
            </w:pPr>
            <w:r>
              <w:rPr>
                <w:b/>
                <w:sz w:val="24"/>
                <w:szCs w:val="24"/>
              </w:rPr>
              <w:t>TCS ION</w:t>
            </w:r>
          </w:p>
        </w:tc>
        <w:tc>
          <w:tcPr>
            <w:tcW w:w="1306" w:type="dxa"/>
          </w:tcPr>
          <w:p w:rsidR="000A1FAA" w:rsidRDefault="006831A2">
            <w:pPr>
              <w:rPr>
                <w:b/>
                <w:sz w:val="24"/>
                <w:szCs w:val="24"/>
              </w:rPr>
            </w:pPr>
            <w:r>
              <w:rPr>
                <w:b/>
                <w:sz w:val="24"/>
                <w:szCs w:val="24"/>
              </w:rPr>
              <w:t>USN:</w:t>
            </w:r>
          </w:p>
        </w:tc>
        <w:tc>
          <w:tcPr>
            <w:tcW w:w="3178" w:type="dxa"/>
          </w:tcPr>
          <w:p w:rsidR="000A1FAA" w:rsidRDefault="006831A2">
            <w:pPr>
              <w:rPr>
                <w:b/>
                <w:sz w:val="24"/>
                <w:szCs w:val="24"/>
              </w:rPr>
            </w:pPr>
            <w:r>
              <w:rPr>
                <w:b/>
                <w:sz w:val="24"/>
                <w:szCs w:val="24"/>
              </w:rPr>
              <w:t>4AL14EC078</w:t>
            </w:r>
          </w:p>
        </w:tc>
      </w:tr>
      <w:tr w:rsidR="000A1FAA">
        <w:tc>
          <w:tcPr>
            <w:tcW w:w="1362" w:type="dxa"/>
          </w:tcPr>
          <w:p w:rsidR="000A1FAA" w:rsidRDefault="006831A2">
            <w:pPr>
              <w:rPr>
                <w:b/>
                <w:sz w:val="24"/>
                <w:szCs w:val="24"/>
              </w:rPr>
            </w:pPr>
            <w:r>
              <w:rPr>
                <w:b/>
                <w:sz w:val="24"/>
                <w:szCs w:val="24"/>
              </w:rPr>
              <w:t>Topic:</w:t>
            </w:r>
          </w:p>
        </w:tc>
        <w:tc>
          <w:tcPr>
            <w:tcW w:w="3504" w:type="dxa"/>
          </w:tcPr>
          <w:p w:rsidR="000A1FAA" w:rsidRDefault="006831A2">
            <w:pPr>
              <w:rPr>
                <w:b/>
                <w:sz w:val="24"/>
                <w:szCs w:val="24"/>
              </w:rPr>
            </w:pPr>
            <w:r>
              <w:rPr>
                <w:b/>
                <w:sz w:val="24"/>
                <w:szCs w:val="24"/>
              </w:rPr>
              <w:t xml:space="preserve">Learn Corporate Telephone </w:t>
            </w:r>
          </w:p>
          <w:p w:rsidR="000A1FAA" w:rsidRDefault="006831A2">
            <w:pPr>
              <w:rPr>
                <w:b/>
                <w:sz w:val="24"/>
                <w:szCs w:val="24"/>
              </w:rPr>
            </w:pPr>
            <w:r>
              <w:rPr>
                <w:b/>
                <w:sz w:val="24"/>
                <w:szCs w:val="24"/>
              </w:rPr>
              <w:t>Etiquette</w:t>
            </w:r>
          </w:p>
          <w:p w:rsidR="000A1FAA" w:rsidRDefault="006831A2">
            <w:pPr>
              <w:rPr>
                <w:b/>
                <w:sz w:val="24"/>
                <w:szCs w:val="24"/>
              </w:rPr>
            </w:pPr>
            <w:r>
              <w:rPr>
                <w:b/>
                <w:sz w:val="24"/>
                <w:szCs w:val="24"/>
              </w:rPr>
              <w:t xml:space="preserve">Understand Accounting </w:t>
            </w:r>
          </w:p>
          <w:p w:rsidR="000A1FAA" w:rsidRDefault="006831A2">
            <w:pPr>
              <w:rPr>
                <w:b/>
                <w:sz w:val="24"/>
                <w:szCs w:val="24"/>
              </w:rPr>
            </w:pPr>
            <w:r>
              <w:rPr>
                <w:b/>
                <w:sz w:val="24"/>
                <w:szCs w:val="24"/>
              </w:rPr>
              <w:t>Fundamentals</w:t>
            </w:r>
          </w:p>
          <w:p w:rsidR="000A1FAA" w:rsidRDefault="006831A2">
            <w:pPr>
              <w:rPr>
                <w:rFonts w:ascii="Arial" w:eastAsia="Arial" w:hAnsi="Arial" w:cs="Arial"/>
                <w:sz w:val="25"/>
                <w:szCs w:val="25"/>
              </w:rPr>
            </w:pPr>
            <w:r>
              <w:rPr>
                <w:b/>
                <w:sz w:val="24"/>
                <w:szCs w:val="24"/>
              </w:rPr>
              <w:t>Gain Foundational Skills in IT</w:t>
            </w:r>
          </w:p>
          <w:p w:rsidR="000A1FAA" w:rsidRDefault="000A1FAA">
            <w:pPr>
              <w:rPr>
                <w:b/>
                <w:sz w:val="24"/>
                <w:szCs w:val="24"/>
              </w:rPr>
            </w:pPr>
          </w:p>
        </w:tc>
        <w:tc>
          <w:tcPr>
            <w:tcW w:w="1306" w:type="dxa"/>
          </w:tcPr>
          <w:p w:rsidR="000A1FAA" w:rsidRDefault="006831A2">
            <w:pPr>
              <w:rPr>
                <w:b/>
                <w:sz w:val="24"/>
                <w:szCs w:val="24"/>
              </w:rPr>
            </w:pPr>
            <w:r>
              <w:rPr>
                <w:b/>
                <w:sz w:val="24"/>
                <w:szCs w:val="24"/>
              </w:rPr>
              <w:t>Semester &amp; Section:</w:t>
            </w:r>
          </w:p>
        </w:tc>
        <w:tc>
          <w:tcPr>
            <w:tcW w:w="3178" w:type="dxa"/>
          </w:tcPr>
          <w:p w:rsidR="000A1FAA" w:rsidRDefault="006831A2">
            <w:pPr>
              <w:rPr>
                <w:b/>
                <w:sz w:val="24"/>
                <w:szCs w:val="24"/>
              </w:rPr>
            </w:pPr>
            <w:r>
              <w:rPr>
                <w:b/>
                <w:sz w:val="24"/>
                <w:szCs w:val="24"/>
              </w:rPr>
              <w:t>8</w:t>
            </w:r>
            <w:r>
              <w:rPr>
                <w:b/>
                <w:sz w:val="24"/>
                <w:szCs w:val="24"/>
                <w:vertAlign w:val="superscript"/>
              </w:rPr>
              <w:t>th</w:t>
            </w:r>
            <w:r>
              <w:rPr>
                <w:b/>
                <w:sz w:val="24"/>
                <w:szCs w:val="24"/>
              </w:rPr>
              <w:t xml:space="preserve"> - </w:t>
            </w:r>
            <w:proofErr w:type="spellStart"/>
            <w:r>
              <w:rPr>
                <w:b/>
                <w:sz w:val="24"/>
                <w:szCs w:val="24"/>
              </w:rPr>
              <w:t>Asec</w:t>
            </w:r>
            <w:proofErr w:type="spellEnd"/>
          </w:p>
        </w:tc>
      </w:tr>
      <w:tr w:rsidR="000A1FAA">
        <w:tc>
          <w:tcPr>
            <w:tcW w:w="1362" w:type="dxa"/>
          </w:tcPr>
          <w:p w:rsidR="000A1FAA" w:rsidRDefault="006831A2">
            <w:pPr>
              <w:rPr>
                <w:b/>
                <w:sz w:val="24"/>
                <w:szCs w:val="24"/>
              </w:rPr>
            </w:pPr>
            <w:proofErr w:type="spellStart"/>
            <w:r>
              <w:rPr>
                <w:b/>
                <w:sz w:val="24"/>
                <w:szCs w:val="24"/>
              </w:rPr>
              <w:t>Github</w:t>
            </w:r>
            <w:proofErr w:type="spellEnd"/>
            <w:r>
              <w:rPr>
                <w:b/>
                <w:sz w:val="24"/>
                <w:szCs w:val="24"/>
              </w:rPr>
              <w:t xml:space="preserve"> Repository:</w:t>
            </w:r>
          </w:p>
        </w:tc>
        <w:tc>
          <w:tcPr>
            <w:tcW w:w="3504" w:type="dxa"/>
          </w:tcPr>
          <w:p w:rsidR="000A1FAA" w:rsidRDefault="006831A2">
            <w:pPr>
              <w:rPr>
                <w:b/>
                <w:sz w:val="24"/>
                <w:szCs w:val="24"/>
              </w:rPr>
            </w:pPr>
            <w:proofErr w:type="spellStart"/>
            <w:r>
              <w:rPr>
                <w:b/>
                <w:sz w:val="24"/>
                <w:szCs w:val="24"/>
              </w:rPr>
              <w:t>Shilpa</w:t>
            </w:r>
            <w:proofErr w:type="spellEnd"/>
            <w:r>
              <w:rPr>
                <w:b/>
                <w:sz w:val="24"/>
                <w:szCs w:val="24"/>
              </w:rPr>
              <w:t>-online</w:t>
            </w:r>
          </w:p>
        </w:tc>
        <w:tc>
          <w:tcPr>
            <w:tcW w:w="1306" w:type="dxa"/>
          </w:tcPr>
          <w:p w:rsidR="000A1FAA" w:rsidRDefault="000A1FAA">
            <w:pPr>
              <w:rPr>
                <w:b/>
                <w:sz w:val="24"/>
                <w:szCs w:val="24"/>
              </w:rPr>
            </w:pPr>
          </w:p>
        </w:tc>
        <w:tc>
          <w:tcPr>
            <w:tcW w:w="3178" w:type="dxa"/>
          </w:tcPr>
          <w:p w:rsidR="000A1FAA" w:rsidRDefault="000A1FAA">
            <w:pPr>
              <w:rPr>
                <w:b/>
                <w:sz w:val="24"/>
                <w:szCs w:val="24"/>
              </w:rPr>
            </w:pPr>
          </w:p>
        </w:tc>
      </w:tr>
    </w:tbl>
    <w:p w:rsidR="000A1FAA" w:rsidRDefault="000A1FAA">
      <w:pPr>
        <w:rPr>
          <w:b/>
          <w:sz w:val="24"/>
          <w:szCs w:val="24"/>
        </w:rPr>
      </w:pPr>
    </w:p>
    <w:tbl>
      <w:tblPr>
        <w:tblStyle w:val="a0"/>
        <w:tblW w:w="9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5"/>
      </w:tblGrid>
      <w:tr w:rsidR="000A1FAA">
        <w:trPr>
          <w:trHeight w:val="737"/>
        </w:trPr>
        <w:tc>
          <w:tcPr>
            <w:tcW w:w="9415" w:type="dxa"/>
          </w:tcPr>
          <w:p w:rsidR="000A1FAA" w:rsidRDefault="006831A2">
            <w:pPr>
              <w:jc w:val="center"/>
              <w:rPr>
                <w:b/>
                <w:sz w:val="24"/>
                <w:szCs w:val="24"/>
              </w:rPr>
            </w:pPr>
            <w:r>
              <w:rPr>
                <w:b/>
                <w:sz w:val="24"/>
                <w:szCs w:val="24"/>
              </w:rPr>
              <w:t>FORENOON SESSION DETAILS</w:t>
            </w:r>
          </w:p>
        </w:tc>
      </w:tr>
      <w:tr w:rsidR="000A1FAA">
        <w:trPr>
          <w:trHeight w:val="7568"/>
        </w:trPr>
        <w:tc>
          <w:tcPr>
            <w:tcW w:w="9415" w:type="dxa"/>
          </w:tcPr>
          <w:p w:rsidR="000A1FAA" w:rsidRDefault="006831A2">
            <w:pPr>
              <w:rPr>
                <w:b/>
                <w:sz w:val="24"/>
                <w:szCs w:val="24"/>
              </w:rPr>
            </w:pPr>
            <w:r>
              <w:rPr>
                <w:b/>
                <w:sz w:val="24"/>
                <w:szCs w:val="24"/>
              </w:rPr>
              <w:t>Image of session</w:t>
            </w:r>
          </w:p>
          <w:p w:rsidR="000A1FAA" w:rsidRDefault="000A1FAA">
            <w:pPr>
              <w:rPr>
                <w:b/>
                <w:sz w:val="24"/>
                <w:szCs w:val="24"/>
              </w:rPr>
            </w:pPr>
          </w:p>
          <w:p w:rsidR="006831A2" w:rsidRDefault="006831A2">
            <w:pPr>
              <w:rPr>
                <w:b/>
                <w:sz w:val="24"/>
                <w:szCs w:val="24"/>
              </w:rPr>
            </w:pPr>
          </w:p>
          <w:p w:rsidR="006831A2" w:rsidRDefault="006831A2">
            <w:pPr>
              <w:rPr>
                <w:b/>
                <w:sz w:val="24"/>
                <w:szCs w:val="24"/>
              </w:rPr>
            </w:pPr>
          </w:p>
          <w:p w:rsidR="006831A2" w:rsidRDefault="006831A2">
            <w:pPr>
              <w:rPr>
                <w:b/>
                <w:sz w:val="24"/>
                <w:szCs w:val="24"/>
              </w:rPr>
            </w:pPr>
            <w:bookmarkStart w:id="0" w:name="_GoBack"/>
            <w:r w:rsidRPr="006831A2">
              <w:rPr>
                <w:b/>
                <w:noProof/>
                <w:sz w:val="24"/>
                <w:szCs w:val="24"/>
                <w:lang w:val="en-IN"/>
              </w:rPr>
              <w:drawing>
                <wp:inline distT="0" distB="0" distL="0" distR="0">
                  <wp:extent cx="5692140" cy="1828800"/>
                  <wp:effectExtent l="0" t="0" r="3810" b="0"/>
                  <wp:docPr id="17" name="Picture 17" descr="C:\Users\muddhu\OneDrive\Pictures\Screenshots\Screenshot (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ddhu\OneDrive\Pictures\Screenshots\Screenshot (87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2140" cy="1828800"/>
                          </a:xfrm>
                          <a:prstGeom prst="rect">
                            <a:avLst/>
                          </a:prstGeom>
                          <a:noFill/>
                          <a:ln>
                            <a:noFill/>
                          </a:ln>
                        </pic:spPr>
                      </pic:pic>
                    </a:graphicData>
                  </a:graphic>
                </wp:inline>
              </w:drawing>
            </w:r>
            <w:bookmarkEnd w:id="0"/>
          </w:p>
          <w:p w:rsidR="000A1FAA" w:rsidRDefault="000A1FAA">
            <w:pPr>
              <w:jc w:val="center"/>
              <w:rPr>
                <w:b/>
                <w:sz w:val="24"/>
                <w:szCs w:val="24"/>
              </w:rPr>
            </w:pPr>
          </w:p>
          <w:p w:rsidR="000A1FAA" w:rsidRDefault="000A1FAA">
            <w:pPr>
              <w:jc w:val="center"/>
              <w:rPr>
                <w:b/>
                <w:sz w:val="24"/>
                <w:szCs w:val="24"/>
              </w:rPr>
            </w:pPr>
          </w:p>
          <w:p w:rsidR="000A1FAA" w:rsidRDefault="006831A2">
            <w:pPr>
              <w:jc w:val="center"/>
              <w:rPr>
                <w:b/>
                <w:sz w:val="24"/>
                <w:szCs w:val="24"/>
              </w:rPr>
            </w:pPr>
            <w:r>
              <w:rPr>
                <w:noProof/>
                <w:lang w:val="en-IN"/>
              </w:rPr>
              <w:drawing>
                <wp:inline distT="0" distB="0" distL="0" distR="0">
                  <wp:extent cx="5151354" cy="1957515"/>
                  <wp:effectExtent l="38100" t="38100" r="38100" b="381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51354" cy="1957515"/>
                          </a:xfrm>
                          <a:prstGeom prst="rect">
                            <a:avLst/>
                          </a:prstGeom>
                          <a:ln w="38100">
                            <a:solidFill>
                              <a:srgbClr val="000000"/>
                            </a:solidFill>
                            <a:prstDash val="solid"/>
                          </a:ln>
                        </pic:spPr>
                      </pic:pic>
                    </a:graphicData>
                  </a:graphic>
                </wp:inline>
              </w:drawing>
            </w:r>
          </w:p>
          <w:p w:rsidR="000A1FAA" w:rsidRDefault="000A1FAA">
            <w:pPr>
              <w:jc w:val="center"/>
              <w:rPr>
                <w:b/>
                <w:sz w:val="24"/>
                <w:szCs w:val="24"/>
              </w:rPr>
            </w:pPr>
          </w:p>
          <w:p w:rsidR="000A1FAA" w:rsidRDefault="000A1FAA">
            <w:pPr>
              <w:rPr>
                <w:b/>
                <w:sz w:val="24"/>
                <w:szCs w:val="24"/>
              </w:rPr>
            </w:pPr>
          </w:p>
          <w:p w:rsidR="000A1FAA" w:rsidRDefault="000A1FAA">
            <w:pPr>
              <w:rPr>
                <w:b/>
                <w:sz w:val="24"/>
                <w:szCs w:val="24"/>
              </w:rPr>
            </w:pPr>
          </w:p>
          <w:p w:rsidR="000A1FAA" w:rsidRDefault="000A1FAA">
            <w:pPr>
              <w:rPr>
                <w:b/>
                <w:sz w:val="24"/>
                <w:szCs w:val="24"/>
              </w:rPr>
            </w:pPr>
          </w:p>
          <w:p w:rsidR="000A1FAA" w:rsidRDefault="000A1FAA">
            <w:pPr>
              <w:rPr>
                <w:b/>
                <w:sz w:val="24"/>
                <w:szCs w:val="24"/>
              </w:rPr>
            </w:pPr>
          </w:p>
          <w:p w:rsidR="000A1FAA" w:rsidRDefault="000A1FAA">
            <w:pPr>
              <w:rPr>
                <w:b/>
                <w:sz w:val="24"/>
                <w:szCs w:val="24"/>
              </w:rPr>
            </w:pPr>
          </w:p>
          <w:p w:rsidR="000A1FAA" w:rsidRDefault="000A1FAA">
            <w:pPr>
              <w:rPr>
                <w:b/>
                <w:sz w:val="24"/>
                <w:szCs w:val="24"/>
              </w:rPr>
            </w:pPr>
          </w:p>
          <w:p w:rsidR="000A1FAA" w:rsidRDefault="000A1FAA">
            <w:pPr>
              <w:jc w:val="center"/>
              <w:rPr>
                <w:b/>
                <w:sz w:val="24"/>
                <w:szCs w:val="24"/>
              </w:rPr>
            </w:pPr>
          </w:p>
          <w:p w:rsidR="000A1FAA" w:rsidRDefault="006831A2">
            <w:pPr>
              <w:jc w:val="center"/>
              <w:rPr>
                <w:b/>
                <w:sz w:val="24"/>
                <w:szCs w:val="24"/>
              </w:rPr>
            </w:pPr>
            <w:r>
              <w:rPr>
                <w:noProof/>
                <w:lang w:val="en-IN"/>
              </w:rPr>
              <w:drawing>
                <wp:inline distT="0" distB="0" distL="0" distR="0">
                  <wp:extent cx="3780057" cy="2087059"/>
                  <wp:effectExtent l="38100" t="38100" r="38100" b="381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80057" cy="2087059"/>
                          </a:xfrm>
                          <a:prstGeom prst="rect">
                            <a:avLst/>
                          </a:prstGeom>
                          <a:ln w="38100">
                            <a:solidFill>
                              <a:srgbClr val="000000"/>
                            </a:solidFill>
                            <a:prstDash val="solid"/>
                          </a:ln>
                        </pic:spPr>
                      </pic:pic>
                    </a:graphicData>
                  </a:graphic>
                </wp:inline>
              </w:drawing>
            </w:r>
          </w:p>
          <w:p w:rsidR="000A1FAA" w:rsidRDefault="000A1FAA">
            <w:pPr>
              <w:jc w:val="center"/>
              <w:rPr>
                <w:b/>
                <w:sz w:val="24"/>
                <w:szCs w:val="24"/>
              </w:rPr>
            </w:pPr>
          </w:p>
          <w:p w:rsidR="000A1FAA" w:rsidRDefault="006831A2">
            <w:pPr>
              <w:jc w:val="center"/>
              <w:rPr>
                <w:b/>
                <w:sz w:val="24"/>
                <w:szCs w:val="24"/>
              </w:rPr>
            </w:pPr>
            <w:r>
              <w:rPr>
                <w:noProof/>
                <w:lang w:val="en-IN"/>
              </w:rPr>
              <w:drawing>
                <wp:inline distT="0" distB="0" distL="0" distR="0">
                  <wp:extent cx="3617651" cy="1912869"/>
                  <wp:effectExtent l="38100" t="38100" r="38100" b="381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17651" cy="1912869"/>
                          </a:xfrm>
                          <a:prstGeom prst="rect">
                            <a:avLst/>
                          </a:prstGeom>
                          <a:ln w="38100">
                            <a:solidFill>
                              <a:srgbClr val="000000"/>
                            </a:solidFill>
                            <a:prstDash val="solid"/>
                          </a:ln>
                        </pic:spPr>
                      </pic:pic>
                    </a:graphicData>
                  </a:graphic>
                </wp:inline>
              </w:drawing>
            </w:r>
          </w:p>
          <w:p w:rsidR="000A1FAA" w:rsidRDefault="000A1FAA">
            <w:pPr>
              <w:rPr>
                <w:b/>
                <w:sz w:val="24"/>
                <w:szCs w:val="24"/>
              </w:rPr>
            </w:pPr>
          </w:p>
          <w:p w:rsidR="000A1FAA" w:rsidRDefault="000A1FAA">
            <w:pPr>
              <w:rPr>
                <w:b/>
                <w:sz w:val="24"/>
                <w:szCs w:val="24"/>
              </w:rPr>
            </w:pPr>
          </w:p>
          <w:p w:rsidR="000A1FAA" w:rsidRDefault="000A1FAA">
            <w:pPr>
              <w:rPr>
                <w:b/>
                <w:sz w:val="24"/>
                <w:szCs w:val="24"/>
              </w:rPr>
            </w:pPr>
          </w:p>
          <w:p w:rsidR="000A1FAA" w:rsidRDefault="000A1FAA">
            <w:pPr>
              <w:rPr>
                <w:b/>
                <w:sz w:val="24"/>
                <w:szCs w:val="24"/>
              </w:rPr>
            </w:pPr>
          </w:p>
          <w:p w:rsidR="000A1FAA" w:rsidRDefault="000A1FAA">
            <w:pPr>
              <w:rPr>
                <w:b/>
                <w:sz w:val="24"/>
                <w:szCs w:val="24"/>
              </w:rPr>
            </w:pPr>
          </w:p>
        </w:tc>
      </w:tr>
    </w:tbl>
    <w:p w:rsidR="000A1FAA" w:rsidRDefault="000A1FAA">
      <w:pPr>
        <w:jc w:val="center"/>
      </w:pPr>
    </w:p>
    <w:p w:rsidR="000A1FAA" w:rsidRDefault="000A1FAA">
      <w:pPr>
        <w:jc w:val="center"/>
      </w:pPr>
    </w:p>
    <w:p w:rsidR="000A1FAA" w:rsidRDefault="000A1FAA">
      <w:pPr>
        <w:jc w:val="center"/>
      </w:pPr>
    </w:p>
    <w:p w:rsidR="000A1FAA" w:rsidRDefault="000A1FAA">
      <w:pPr>
        <w:jc w:val="center"/>
      </w:pPr>
    </w:p>
    <w:p w:rsidR="000A1FAA" w:rsidRDefault="000A1FAA">
      <w:pPr>
        <w:jc w:val="center"/>
      </w:pPr>
    </w:p>
    <w:p w:rsidR="000A1FAA" w:rsidRDefault="000A1FAA">
      <w:pPr>
        <w:jc w:val="center"/>
      </w:pPr>
    </w:p>
    <w:p w:rsidR="000A1FAA" w:rsidRDefault="000A1FAA">
      <w:pPr>
        <w:jc w:val="center"/>
      </w:pPr>
    </w:p>
    <w:p w:rsidR="000A1FAA" w:rsidRDefault="000A1FAA">
      <w:pPr>
        <w:jc w:val="center"/>
      </w:pPr>
    </w:p>
    <w:p w:rsidR="000A1FAA" w:rsidRDefault="006831A2">
      <w:pPr>
        <w:rPr>
          <w:b/>
          <w:sz w:val="28"/>
          <w:szCs w:val="28"/>
        </w:rPr>
      </w:pPr>
      <w:r>
        <w:rPr>
          <w:b/>
          <w:sz w:val="28"/>
          <w:szCs w:val="28"/>
          <w:u w:val="single"/>
        </w:rPr>
        <w:t xml:space="preserve">Report </w:t>
      </w:r>
      <w:r>
        <w:rPr>
          <w:b/>
          <w:sz w:val="28"/>
          <w:szCs w:val="28"/>
        </w:rPr>
        <w:t>–</w:t>
      </w:r>
    </w:p>
    <w:p w:rsidR="000A1FAA" w:rsidRDefault="006831A2">
      <w:pPr>
        <w:spacing w:after="0" w:line="240" w:lineRule="auto"/>
        <w:rPr>
          <w:rFonts w:ascii="Arial" w:eastAsia="Arial" w:hAnsi="Arial" w:cs="Arial"/>
          <w:b/>
          <w:sz w:val="24"/>
          <w:szCs w:val="24"/>
        </w:rPr>
      </w:pPr>
      <w:r>
        <w:rPr>
          <w:rFonts w:ascii="Arial" w:eastAsia="Arial" w:hAnsi="Arial" w:cs="Arial"/>
          <w:b/>
          <w:sz w:val="24"/>
          <w:szCs w:val="24"/>
        </w:rPr>
        <w:t>Learn Corporate Telephone Etiquette</w:t>
      </w:r>
    </w:p>
    <w:p w:rsidR="000A1FAA" w:rsidRDefault="000A1FAA">
      <w:pPr>
        <w:spacing w:after="0" w:line="240" w:lineRule="auto"/>
        <w:jc w:val="both"/>
        <w:rPr>
          <w:rFonts w:ascii="Arial" w:eastAsia="Arial" w:hAnsi="Arial" w:cs="Arial"/>
          <w:b/>
          <w:sz w:val="24"/>
          <w:szCs w:val="24"/>
        </w:rPr>
      </w:pPr>
    </w:p>
    <w:p w:rsidR="000A1FAA" w:rsidRDefault="006831A2">
      <w:pPr>
        <w:spacing w:line="360" w:lineRule="auto"/>
        <w:jc w:val="both"/>
        <w:rPr>
          <w:rFonts w:ascii="Arial" w:eastAsia="Arial" w:hAnsi="Arial" w:cs="Arial"/>
          <w:color w:val="404040"/>
          <w:sz w:val="24"/>
          <w:szCs w:val="24"/>
          <w:highlight w:val="white"/>
        </w:rPr>
      </w:pPr>
      <w:r>
        <w:rPr>
          <w:rFonts w:ascii="Arial" w:eastAsia="Arial" w:hAnsi="Arial" w:cs="Arial"/>
          <w:color w:val="404040"/>
          <w:sz w:val="24"/>
          <w:szCs w:val="24"/>
          <w:highlight w:val="white"/>
        </w:rPr>
        <w:t>In this online course on Learn Corporate Telephone Etiquette I learn that what we say, how much we say and how we say plays an important role in the impression we create on the listener. Through this module I learn important guidelines to be followed for e</w:t>
      </w:r>
      <w:r>
        <w:rPr>
          <w:rFonts w:ascii="Arial" w:eastAsia="Arial" w:hAnsi="Arial" w:cs="Arial"/>
          <w:color w:val="404040"/>
          <w:sz w:val="24"/>
          <w:szCs w:val="24"/>
          <w:highlight w:val="white"/>
        </w:rPr>
        <w:t>ffective corporate telephonic communication.</w:t>
      </w:r>
    </w:p>
    <w:p w:rsidR="000A1FAA" w:rsidRDefault="006831A2">
      <w:pPr>
        <w:spacing w:line="360" w:lineRule="auto"/>
        <w:rPr>
          <w:rFonts w:ascii="Lato" w:eastAsia="Lato" w:hAnsi="Lato" w:cs="Lato"/>
          <w:color w:val="404040"/>
          <w:sz w:val="21"/>
          <w:szCs w:val="21"/>
          <w:highlight w:val="white"/>
        </w:rPr>
      </w:pPr>
      <w:r>
        <w:rPr>
          <w:rFonts w:ascii="Arial" w:eastAsia="Arial" w:hAnsi="Arial" w:cs="Arial"/>
          <w:color w:val="404040"/>
          <w:sz w:val="24"/>
          <w:szCs w:val="24"/>
          <w:highlight w:val="white"/>
        </w:rPr>
        <w:t>Throughout this course I learned following things</w:t>
      </w:r>
      <w:r>
        <w:rPr>
          <w:rFonts w:ascii="Lato" w:eastAsia="Lato" w:hAnsi="Lato" w:cs="Lato"/>
          <w:color w:val="404040"/>
          <w:sz w:val="25"/>
          <w:szCs w:val="25"/>
          <w:highlight w:val="white"/>
        </w:rPr>
        <w:t xml:space="preserve"> </w:t>
      </w:r>
      <w:r>
        <w:rPr>
          <w:rFonts w:ascii="Lato" w:eastAsia="Lato" w:hAnsi="Lato" w:cs="Lato"/>
          <w:color w:val="404040"/>
          <w:sz w:val="21"/>
          <w:szCs w:val="21"/>
          <w:highlight w:val="white"/>
        </w:rPr>
        <w:t>–</w:t>
      </w:r>
    </w:p>
    <w:p w:rsidR="000A1FAA" w:rsidRDefault="006831A2">
      <w:pPr>
        <w:spacing w:line="360" w:lineRule="auto"/>
        <w:rPr>
          <w:sz w:val="24"/>
          <w:szCs w:val="24"/>
        </w:rPr>
      </w:pPr>
      <w:r>
        <w:rPr>
          <w:noProof/>
          <w:lang w:val="en-IN"/>
        </w:rPr>
        <w:drawing>
          <wp:inline distT="0" distB="0" distL="0" distR="0">
            <wp:extent cx="3181350" cy="29146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181350" cy="2914650"/>
                    </a:xfrm>
                    <a:prstGeom prst="rect">
                      <a:avLst/>
                    </a:prstGeom>
                    <a:ln/>
                  </pic:spPr>
                </pic:pic>
              </a:graphicData>
            </a:graphic>
          </wp:inline>
        </w:drawing>
      </w:r>
    </w:p>
    <w:p w:rsidR="000A1FAA" w:rsidRDefault="006831A2">
      <w:pPr>
        <w:spacing w:line="360" w:lineRule="auto"/>
        <w:rPr>
          <w:rFonts w:ascii="Arial" w:eastAsia="Arial" w:hAnsi="Arial" w:cs="Arial"/>
          <w:b/>
          <w:sz w:val="24"/>
          <w:szCs w:val="24"/>
        </w:rPr>
      </w:pPr>
      <w:proofErr w:type="gramStart"/>
      <w:r>
        <w:rPr>
          <w:rFonts w:ascii="Arial" w:eastAsia="Arial" w:hAnsi="Arial" w:cs="Arial"/>
          <w:b/>
          <w:sz w:val="24"/>
          <w:szCs w:val="24"/>
        </w:rPr>
        <w:t>Do’s</w:t>
      </w:r>
      <w:proofErr w:type="gramEnd"/>
      <w:r>
        <w:rPr>
          <w:rFonts w:ascii="Arial" w:eastAsia="Arial" w:hAnsi="Arial" w:cs="Arial"/>
          <w:b/>
          <w:sz w:val="24"/>
          <w:szCs w:val="24"/>
        </w:rPr>
        <w:t xml:space="preserve"> of Telephone Etiquette</w:t>
      </w:r>
    </w:p>
    <w:p w:rsidR="000A1FAA" w:rsidRDefault="006831A2">
      <w:pPr>
        <w:spacing w:line="360" w:lineRule="auto"/>
        <w:rPr>
          <w:rFonts w:ascii="Arial" w:eastAsia="Arial" w:hAnsi="Arial" w:cs="Arial"/>
          <w:sz w:val="24"/>
          <w:szCs w:val="24"/>
        </w:rPr>
      </w:pPr>
      <w:r>
        <w:rPr>
          <w:noProof/>
          <w:lang w:val="en-IN"/>
        </w:rPr>
        <w:lastRenderedPageBreak/>
        <w:drawing>
          <wp:inline distT="0" distB="0" distL="0" distR="0">
            <wp:extent cx="3990975" cy="18002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990975" cy="1800225"/>
                    </a:xfrm>
                    <a:prstGeom prst="rect">
                      <a:avLst/>
                    </a:prstGeom>
                    <a:ln/>
                  </pic:spPr>
                </pic:pic>
              </a:graphicData>
            </a:graphic>
          </wp:inline>
        </w:drawing>
      </w:r>
    </w:p>
    <w:p w:rsidR="000A1FAA" w:rsidRDefault="000A1FAA">
      <w:pPr>
        <w:spacing w:line="360" w:lineRule="auto"/>
        <w:rPr>
          <w:rFonts w:ascii="Arial" w:eastAsia="Arial" w:hAnsi="Arial" w:cs="Arial"/>
          <w:sz w:val="24"/>
          <w:szCs w:val="24"/>
        </w:rPr>
      </w:pPr>
    </w:p>
    <w:p w:rsidR="000A1FAA" w:rsidRDefault="000A1FAA">
      <w:pPr>
        <w:spacing w:line="360" w:lineRule="auto"/>
        <w:rPr>
          <w:rFonts w:ascii="Arial" w:eastAsia="Arial" w:hAnsi="Arial" w:cs="Arial"/>
          <w:sz w:val="24"/>
          <w:szCs w:val="24"/>
        </w:rPr>
      </w:pPr>
    </w:p>
    <w:p w:rsidR="000A1FAA" w:rsidRDefault="006831A2">
      <w:pPr>
        <w:spacing w:line="360" w:lineRule="auto"/>
        <w:rPr>
          <w:rFonts w:ascii="Arial" w:eastAsia="Arial" w:hAnsi="Arial" w:cs="Arial"/>
          <w:b/>
          <w:sz w:val="24"/>
          <w:szCs w:val="24"/>
        </w:rPr>
      </w:pPr>
      <w:r>
        <w:rPr>
          <w:rFonts w:ascii="Arial" w:eastAsia="Arial" w:hAnsi="Arial" w:cs="Arial"/>
          <w:b/>
          <w:sz w:val="24"/>
          <w:szCs w:val="24"/>
        </w:rPr>
        <w:t>Don’ts of Telephone Etiquette</w:t>
      </w:r>
    </w:p>
    <w:p w:rsidR="000A1FAA" w:rsidRDefault="006831A2">
      <w:pPr>
        <w:spacing w:line="360" w:lineRule="auto"/>
        <w:rPr>
          <w:rFonts w:ascii="Arial" w:eastAsia="Arial" w:hAnsi="Arial" w:cs="Arial"/>
          <w:b/>
          <w:sz w:val="24"/>
          <w:szCs w:val="24"/>
        </w:rPr>
      </w:pPr>
      <w:r>
        <w:rPr>
          <w:noProof/>
          <w:lang w:val="en-IN"/>
        </w:rPr>
        <w:drawing>
          <wp:inline distT="0" distB="0" distL="0" distR="0">
            <wp:extent cx="2609850" cy="15049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609850" cy="1504950"/>
                    </a:xfrm>
                    <a:prstGeom prst="rect">
                      <a:avLst/>
                    </a:prstGeom>
                    <a:ln/>
                  </pic:spPr>
                </pic:pic>
              </a:graphicData>
            </a:graphic>
          </wp:inline>
        </w:drawing>
      </w:r>
    </w:p>
    <w:p w:rsidR="000A1FAA" w:rsidRDefault="006831A2">
      <w:pPr>
        <w:spacing w:line="360" w:lineRule="auto"/>
        <w:rPr>
          <w:rFonts w:ascii="Arial" w:eastAsia="Arial" w:hAnsi="Arial" w:cs="Arial"/>
          <w:b/>
          <w:sz w:val="24"/>
          <w:szCs w:val="24"/>
        </w:rPr>
      </w:pPr>
      <w:r>
        <w:rPr>
          <w:rFonts w:ascii="Arial" w:eastAsia="Arial" w:hAnsi="Arial" w:cs="Arial"/>
          <w:b/>
          <w:sz w:val="24"/>
          <w:szCs w:val="24"/>
        </w:rPr>
        <w:t>Telephone Courtesies</w:t>
      </w:r>
    </w:p>
    <w:p w:rsidR="000A1FAA" w:rsidRDefault="006831A2">
      <w:pPr>
        <w:spacing w:line="360" w:lineRule="auto"/>
        <w:rPr>
          <w:rFonts w:ascii="Arial" w:eastAsia="Arial" w:hAnsi="Arial" w:cs="Arial"/>
          <w:b/>
          <w:sz w:val="24"/>
          <w:szCs w:val="24"/>
        </w:rPr>
      </w:pPr>
      <w:r>
        <w:rPr>
          <w:noProof/>
          <w:lang w:val="en-IN"/>
        </w:rPr>
        <w:drawing>
          <wp:inline distT="0" distB="0" distL="0" distR="0">
            <wp:extent cx="3238500" cy="17811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238500" cy="1781175"/>
                    </a:xfrm>
                    <a:prstGeom prst="rect">
                      <a:avLst/>
                    </a:prstGeom>
                    <a:ln/>
                  </pic:spPr>
                </pic:pic>
              </a:graphicData>
            </a:graphic>
          </wp:inline>
        </w:drawing>
      </w:r>
    </w:p>
    <w:p w:rsidR="000A1FAA" w:rsidRDefault="006831A2">
      <w:pPr>
        <w:spacing w:after="0" w:line="240" w:lineRule="auto"/>
        <w:rPr>
          <w:rFonts w:ascii="Arial" w:eastAsia="Arial" w:hAnsi="Arial" w:cs="Arial"/>
          <w:b/>
          <w:sz w:val="24"/>
          <w:szCs w:val="24"/>
        </w:rPr>
      </w:pPr>
      <w:r>
        <w:rPr>
          <w:rFonts w:ascii="Arial" w:eastAsia="Arial" w:hAnsi="Arial" w:cs="Arial"/>
          <w:b/>
          <w:sz w:val="24"/>
          <w:szCs w:val="24"/>
        </w:rPr>
        <w:t>Understand Accounting Fundamentals</w:t>
      </w:r>
    </w:p>
    <w:p w:rsidR="000A1FAA" w:rsidRDefault="000A1FAA">
      <w:pPr>
        <w:spacing w:after="0" w:line="240" w:lineRule="auto"/>
        <w:rPr>
          <w:rFonts w:ascii="Arial" w:eastAsia="Arial" w:hAnsi="Arial" w:cs="Arial"/>
          <w:b/>
          <w:sz w:val="24"/>
          <w:szCs w:val="24"/>
        </w:rPr>
      </w:pPr>
    </w:p>
    <w:p w:rsidR="000A1FAA" w:rsidRDefault="006831A2">
      <w:pPr>
        <w:spacing w:after="0" w:line="240" w:lineRule="auto"/>
        <w:rPr>
          <w:rFonts w:ascii="Arial" w:eastAsia="Arial" w:hAnsi="Arial" w:cs="Arial"/>
          <w:b/>
          <w:sz w:val="24"/>
          <w:szCs w:val="24"/>
        </w:rPr>
      </w:pPr>
      <w:r>
        <w:rPr>
          <w:rFonts w:ascii="Arial" w:eastAsia="Arial" w:hAnsi="Arial" w:cs="Arial"/>
          <w:b/>
          <w:sz w:val="24"/>
          <w:szCs w:val="24"/>
        </w:rPr>
        <w:t>Basics of Accounting –</w:t>
      </w:r>
    </w:p>
    <w:p w:rsidR="000A1FAA" w:rsidRDefault="000A1FAA">
      <w:pPr>
        <w:spacing w:after="0" w:line="240" w:lineRule="auto"/>
        <w:rPr>
          <w:rFonts w:ascii="Arial" w:eastAsia="Arial" w:hAnsi="Arial" w:cs="Arial"/>
          <w:b/>
          <w:sz w:val="24"/>
          <w:szCs w:val="24"/>
        </w:rPr>
      </w:pPr>
    </w:p>
    <w:p w:rsidR="000A1FAA" w:rsidRDefault="006831A2">
      <w:pPr>
        <w:spacing w:after="0" w:line="240" w:lineRule="auto"/>
        <w:jc w:val="both"/>
        <w:rPr>
          <w:rFonts w:ascii="Arial" w:eastAsia="Arial" w:hAnsi="Arial" w:cs="Arial"/>
          <w:sz w:val="24"/>
          <w:szCs w:val="24"/>
        </w:rPr>
      </w:pPr>
      <w:r>
        <w:rPr>
          <w:rFonts w:ascii="Arial" w:eastAsia="Arial" w:hAnsi="Arial" w:cs="Arial"/>
          <w:color w:val="404040"/>
          <w:sz w:val="24"/>
          <w:szCs w:val="24"/>
          <w:highlight w:val="white"/>
        </w:rPr>
        <w:t>Accounting is the practice of recording and reporting on </w:t>
      </w:r>
      <w:hyperlink r:id="rId13">
        <w:r>
          <w:rPr>
            <w:rFonts w:ascii="Arial" w:eastAsia="Arial" w:hAnsi="Arial" w:cs="Arial"/>
            <w:color w:val="404040"/>
            <w:sz w:val="24"/>
            <w:szCs w:val="24"/>
            <w:highlight w:val="white"/>
          </w:rPr>
          <w:t>business transactions</w:t>
        </w:r>
      </w:hyperlink>
      <w:r>
        <w:rPr>
          <w:rFonts w:ascii="Arial" w:eastAsia="Arial" w:hAnsi="Arial" w:cs="Arial"/>
          <w:color w:val="404040"/>
          <w:sz w:val="24"/>
          <w:szCs w:val="24"/>
          <w:highlight w:val="white"/>
        </w:rPr>
        <w:t xml:space="preserve">. </w:t>
      </w:r>
    </w:p>
    <w:p w:rsidR="000A1FAA" w:rsidRDefault="006831A2">
      <w:pPr>
        <w:spacing w:after="0" w:line="240" w:lineRule="auto"/>
        <w:jc w:val="both"/>
        <w:rPr>
          <w:rFonts w:ascii="Arial" w:eastAsia="Arial" w:hAnsi="Arial" w:cs="Arial"/>
          <w:color w:val="404040"/>
          <w:sz w:val="24"/>
          <w:szCs w:val="24"/>
        </w:rPr>
      </w:pPr>
      <w:r>
        <w:rPr>
          <w:rFonts w:ascii="Arial" w:eastAsia="Arial" w:hAnsi="Arial" w:cs="Arial"/>
          <w:color w:val="404040"/>
          <w:sz w:val="24"/>
          <w:szCs w:val="24"/>
          <w:highlight w:val="white"/>
        </w:rPr>
        <w:lastRenderedPageBreak/>
        <w:t>System of record keeping - First, there must be a rational approach to record keepi</w:t>
      </w:r>
      <w:r>
        <w:rPr>
          <w:rFonts w:ascii="Arial" w:eastAsia="Arial" w:hAnsi="Arial" w:cs="Arial"/>
          <w:color w:val="404040"/>
          <w:sz w:val="24"/>
          <w:szCs w:val="24"/>
          <w:highlight w:val="white"/>
        </w:rPr>
        <w:t>ng. This means setting up </w:t>
      </w:r>
      <w:hyperlink r:id="rId14">
        <w:r>
          <w:rPr>
            <w:rFonts w:ascii="Arial" w:eastAsia="Arial" w:hAnsi="Arial" w:cs="Arial"/>
            <w:color w:val="404040"/>
            <w:sz w:val="24"/>
            <w:szCs w:val="24"/>
            <w:highlight w:val="white"/>
          </w:rPr>
          <w:t>accounts</w:t>
        </w:r>
      </w:hyperlink>
      <w:r>
        <w:rPr>
          <w:rFonts w:ascii="Arial" w:eastAsia="Arial" w:hAnsi="Arial" w:cs="Arial"/>
          <w:color w:val="404040"/>
          <w:sz w:val="24"/>
          <w:szCs w:val="24"/>
          <w:highlight w:val="white"/>
        </w:rPr>
        <w:t> in which information is stored. Accounts fall into the following classifications:</w:t>
      </w:r>
    </w:p>
    <w:p w:rsidR="000A1FAA" w:rsidRDefault="006831A2">
      <w:pPr>
        <w:numPr>
          <w:ilvl w:val="0"/>
          <w:numId w:val="1"/>
        </w:numPr>
        <w:shd w:val="clear" w:color="auto" w:fill="FFFFFF"/>
        <w:spacing w:before="280" w:after="0"/>
        <w:ind w:left="0"/>
        <w:rPr>
          <w:color w:val="404040"/>
        </w:rPr>
      </w:pPr>
      <w:r>
        <w:rPr>
          <w:rFonts w:ascii="Arial" w:eastAsia="Arial" w:hAnsi="Arial" w:cs="Arial"/>
          <w:color w:val="404040"/>
          <w:sz w:val="24"/>
          <w:szCs w:val="24"/>
        </w:rPr>
        <w:t>Assets - These are items purchased or acquired, but not immed</w:t>
      </w:r>
      <w:r>
        <w:rPr>
          <w:rFonts w:ascii="Arial" w:eastAsia="Arial" w:hAnsi="Arial" w:cs="Arial"/>
          <w:color w:val="404040"/>
          <w:sz w:val="24"/>
          <w:szCs w:val="24"/>
        </w:rPr>
        <w:t>iately consumed. Examples are </w:t>
      </w:r>
      <w:hyperlink r:id="rId15">
        <w:r>
          <w:rPr>
            <w:rFonts w:ascii="Arial" w:eastAsia="Arial" w:hAnsi="Arial" w:cs="Arial"/>
            <w:color w:val="404040"/>
            <w:sz w:val="24"/>
            <w:szCs w:val="24"/>
          </w:rPr>
          <w:t>accounts receivable</w:t>
        </w:r>
      </w:hyperlink>
      <w:r>
        <w:rPr>
          <w:rFonts w:ascii="Arial" w:eastAsia="Arial" w:hAnsi="Arial" w:cs="Arial"/>
          <w:color w:val="404040"/>
          <w:sz w:val="24"/>
          <w:szCs w:val="24"/>
        </w:rPr>
        <w:t> and </w:t>
      </w:r>
      <w:hyperlink r:id="rId16">
        <w:r>
          <w:rPr>
            <w:rFonts w:ascii="Arial" w:eastAsia="Arial" w:hAnsi="Arial" w:cs="Arial"/>
            <w:color w:val="404040"/>
            <w:sz w:val="24"/>
            <w:szCs w:val="24"/>
          </w:rPr>
          <w:t>inventory</w:t>
        </w:r>
      </w:hyperlink>
      <w:r>
        <w:rPr>
          <w:rFonts w:ascii="Arial" w:eastAsia="Arial" w:hAnsi="Arial" w:cs="Arial"/>
          <w:color w:val="404040"/>
          <w:sz w:val="24"/>
          <w:szCs w:val="24"/>
        </w:rPr>
        <w:t>.</w:t>
      </w:r>
    </w:p>
    <w:p w:rsidR="000A1FAA" w:rsidRDefault="006831A2">
      <w:pPr>
        <w:numPr>
          <w:ilvl w:val="0"/>
          <w:numId w:val="1"/>
        </w:numPr>
        <w:shd w:val="clear" w:color="auto" w:fill="FFFFFF"/>
        <w:spacing w:after="0"/>
        <w:ind w:left="0"/>
        <w:rPr>
          <w:color w:val="404040"/>
        </w:rPr>
      </w:pPr>
      <w:r>
        <w:rPr>
          <w:rFonts w:ascii="Arial" w:eastAsia="Arial" w:hAnsi="Arial" w:cs="Arial"/>
          <w:color w:val="404040"/>
          <w:sz w:val="24"/>
          <w:szCs w:val="24"/>
        </w:rPr>
        <w:t>Liabilities - These ar</w:t>
      </w:r>
      <w:r>
        <w:rPr>
          <w:rFonts w:ascii="Arial" w:eastAsia="Arial" w:hAnsi="Arial" w:cs="Arial"/>
          <w:color w:val="404040"/>
          <w:sz w:val="24"/>
          <w:szCs w:val="24"/>
        </w:rPr>
        <w:t>e obligations of the business, to be paid at a later date. Examples are </w:t>
      </w:r>
      <w:hyperlink r:id="rId17">
        <w:r>
          <w:rPr>
            <w:rFonts w:ascii="Arial" w:eastAsia="Arial" w:hAnsi="Arial" w:cs="Arial"/>
            <w:color w:val="404040"/>
            <w:sz w:val="24"/>
            <w:szCs w:val="24"/>
          </w:rPr>
          <w:t>accounts payable</w:t>
        </w:r>
      </w:hyperlink>
      <w:r>
        <w:rPr>
          <w:rFonts w:ascii="Arial" w:eastAsia="Arial" w:hAnsi="Arial" w:cs="Arial"/>
          <w:color w:val="404040"/>
          <w:sz w:val="24"/>
          <w:szCs w:val="24"/>
        </w:rPr>
        <w:t> and </w:t>
      </w:r>
      <w:hyperlink r:id="rId18">
        <w:r>
          <w:rPr>
            <w:rFonts w:ascii="Arial" w:eastAsia="Arial" w:hAnsi="Arial" w:cs="Arial"/>
            <w:color w:val="404040"/>
            <w:sz w:val="24"/>
            <w:szCs w:val="24"/>
          </w:rPr>
          <w:t>loans payable</w:t>
        </w:r>
      </w:hyperlink>
      <w:r>
        <w:rPr>
          <w:rFonts w:ascii="Arial" w:eastAsia="Arial" w:hAnsi="Arial" w:cs="Arial"/>
          <w:color w:val="404040"/>
          <w:sz w:val="24"/>
          <w:szCs w:val="24"/>
        </w:rPr>
        <w:t>.</w:t>
      </w:r>
    </w:p>
    <w:p w:rsidR="000A1FAA" w:rsidRDefault="006831A2">
      <w:pPr>
        <w:numPr>
          <w:ilvl w:val="0"/>
          <w:numId w:val="1"/>
        </w:numPr>
        <w:shd w:val="clear" w:color="auto" w:fill="FFFFFF"/>
        <w:spacing w:after="0"/>
        <w:ind w:left="0"/>
        <w:rPr>
          <w:color w:val="404040"/>
        </w:rPr>
      </w:pPr>
      <w:r>
        <w:rPr>
          <w:rFonts w:ascii="Arial" w:eastAsia="Arial" w:hAnsi="Arial" w:cs="Arial"/>
          <w:color w:val="404040"/>
          <w:sz w:val="24"/>
          <w:szCs w:val="24"/>
        </w:rPr>
        <w:t>Equity- This is assets minus liabilities, and represents the ownership interest of the owners of the business.</w:t>
      </w:r>
    </w:p>
    <w:p w:rsidR="000A1FAA" w:rsidRDefault="006831A2">
      <w:pPr>
        <w:numPr>
          <w:ilvl w:val="0"/>
          <w:numId w:val="1"/>
        </w:numPr>
        <w:shd w:val="clear" w:color="auto" w:fill="FFFFFF"/>
        <w:spacing w:after="0"/>
        <w:ind w:left="0"/>
        <w:rPr>
          <w:color w:val="404040"/>
        </w:rPr>
      </w:pPr>
      <w:r>
        <w:rPr>
          <w:rFonts w:ascii="Arial" w:eastAsia="Arial" w:hAnsi="Arial" w:cs="Arial"/>
          <w:color w:val="404040"/>
          <w:sz w:val="24"/>
          <w:szCs w:val="24"/>
        </w:rPr>
        <w:t>Revenue- This is the amount billed to customers in exchange for the delivery of goods or provision of services.</w:t>
      </w:r>
    </w:p>
    <w:p w:rsidR="000A1FAA" w:rsidRDefault="006831A2">
      <w:pPr>
        <w:numPr>
          <w:ilvl w:val="0"/>
          <w:numId w:val="1"/>
        </w:numPr>
        <w:shd w:val="clear" w:color="auto" w:fill="FFFFFF"/>
        <w:spacing w:after="280"/>
        <w:ind w:left="0"/>
        <w:rPr>
          <w:color w:val="404040"/>
        </w:rPr>
      </w:pPr>
      <w:r>
        <w:rPr>
          <w:rFonts w:ascii="Arial" w:eastAsia="Arial" w:hAnsi="Arial" w:cs="Arial"/>
          <w:color w:val="404040"/>
          <w:sz w:val="24"/>
          <w:szCs w:val="24"/>
        </w:rPr>
        <w:t>Expenses- Thi</w:t>
      </w:r>
      <w:r>
        <w:rPr>
          <w:rFonts w:ascii="Arial" w:eastAsia="Arial" w:hAnsi="Arial" w:cs="Arial"/>
          <w:color w:val="404040"/>
          <w:sz w:val="24"/>
          <w:szCs w:val="24"/>
        </w:rPr>
        <w:t>s is the amount of assets consumed during the measurement period. Examples are rent expense and wages expense.</w:t>
      </w:r>
    </w:p>
    <w:p w:rsidR="000A1FAA" w:rsidRDefault="006831A2">
      <w:pPr>
        <w:shd w:val="clear" w:color="auto" w:fill="FFFFFF"/>
        <w:spacing w:before="280" w:after="280"/>
        <w:rPr>
          <w:rFonts w:ascii="Arial" w:eastAsia="Arial" w:hAnsi="Arial" w:cs="Arial"/>
          <w:b/>
          <w:color w:val="333333"/>
          <w:sz w:val="24"/>
          <w:szCs w:val="24"/>
          <w:highlight w:val="white"/>
        </w:rPr>
      </w:pPr>
      <w:r>
        <w:rPr>
          <w:rFonts w:ascii="Arial" w:eastAsia="Arial" w:hAnsi="Arial" w:cs="Arial"/>
          <w:b/>
          <w:color w:val="333333"/>
          <w:sz w:val="24"/>
          <w:szCs w:val="24"/>
          <w:highlight w:val="white"/>
        </w:rPr>
        <w:t>Gain Foundational Skills in IT</w:t>
      </w:r>
    </w:p>
    <w:p w:rsidR="000A1FAA" w:rsidRDefault="006831A2">
      <w:pPr>
        <w:shd w:val="clear" w:color="auto" w:fill="FFFFFF"/>
        <w:spacing w:before="280" w:after="280" w:line="360" w:lineRule="auto"/>
        <w:ind w:firstLine="720"/>
        <w:jc w:val="both"/>
        <w:rPr>
          <w:rFonts w:ascii="Arial" w:eastAsia="Arial" w:hAnsi="Arial" w:cs="Arial"/>
          <w:color w:val="404040"/>
          <w:sz w:val="24"/>
          <w:szCs w:val="24"/>
        </w:rPr>
      </w:pPr>
      <w:r>
        <w:rPr>
          <w:rFonts w:ascii="Arial" w:eastAsia="Arial" w:hAnsi="Arial" w:cs="Arial"/>
          <w:color w:val="404040"/>
          <w:sz w:val="24"/>
          <w:szCs w:val="24"/>
        </w:rPr>
        <w:t>Foundational skills are the fundamental, portable skills that are essential to conveying and receiving information that is critical to training and workplace success. These skills are fundamental in that they serve as a basis - the foundation for supportin</w:t>
      </w:r>
      <w:r>
        <w:rPr>
          <w:rFonts w:ascii="Arial" w:eastAsia="Arial" w:hAnsi="Arial" w:cs="Arial"/>
          <w:color w:val="404040"/>
          <w:sz w:val="24"/>
          <w:szCs w:val="24"/>
        </w:rPr>
        <w:t>g additional operations/tasks and learning. Reading a manual, listening to instructions, writing a memo, and working well in a team are all examples of using foundational skills on the job. Foundational skills are important across a wide variety of jobs, b</w:t>
      </w:r>
      <w:r>
        <w:rPr>
          <w:rFonts w:ascii="Arial" w:eastAsia="Arial" w:hAnsi="Arial" w:cs="Arial"/>
          <w:color w:val="404040"/>
          <w:sz w:val="24"/>
          <w:szCs w:val="24"/>
        </w:rPr>
        <w:t xml:space="preserve">oth skilled and professional. They are also necessary to learn more job-specific knowledge and skills. This is true across a wide variety of skilled and professional jobs. </w:t>
      </w:r>
    </w:p>
    <w:p w:rsidR="000A1FAA" w:rsidRDefault="006831A2">
      <w:pPr>
        <w:shd w:val="clear" w:color="auto" w:fill="FFFFFF"/>
        <w:spacing w:before="280" w:after="280" w:line="360" w:lineRule="auto"/>
        <w:ind w:firstLine="720"/>
        <w:jc w:val="both"/>
        <w:rPr>
          <w:rFonts w:ascii="Arial" w:eastAsia="Arial" w:hAnsi="Arial" w:cs="Arial"/>
          <w:sz w:val="24"/>
          <w:szCs w:val="24"/>
        </w:rPr>
      </w:pPr>
      <w:r>
        <w:rPr>
          <w:rFonts w:ascii="Arial" w:eastAsia="Arial" w:hAnsi="Arial" w:cs="Arial"/>
          <w:color w:val="404040"/>
          <w:sz w:val="24"/>
          <w:szCs w:val="24"/>
        </w:rPr>
        <w:t>The bottom line is that the importance of foundational skills will only increase. E</w:t>
      </w:r>
      <w:r>
        <w:rPr>
          <w:rFonts w:ascii="Arial" w:eastAsia="Arial" w:hAnsi="Arial" w:cs="Arial"/>
          <w:color w:val="404040"/>
          <w:sz w:val="24"/>
          <w:szCs w:val="24"/>
        </w:rPr>
        <w:t>ducators and employers must work together to ensure that workers are prepared for the jobs of today and tomorrow that will keep our nation competitive in the global marketplace</w:t>
      </w:r>
      <w:r>
        <w:rPr>
          <w:rFonts w:ascii="Arial" w:eastAsia="Arial" w:hAnsi="Arial" w:cs="Arial"/>
          <w:sz w:val="24"/>
          <w:szCs w:val="24"/>
        </w:rPr>
        <w:t>.</w:t>
      </w:r>
    </w:p>
    <w:p w:rsidR="000A1FAA" w:rsidRDefault="000A1FAA">
      <w:pPr>
        <w:shd w:val="clear" w:color="auto" w:fill="FFFFFF"/>
        <w:spacing w:before="280" w:after="280" w:line="360" w:lineRule="auto"/>
        <w:ind w:firstLine="720"/>
        <w:jc w:val="both"/>
        <w:rPr>
          <w:rFonts w:ascii="Arial" w:eastAsia="Arial" w:hAnsi="Arial" w:cs="Arial"/>
          <w:sz w:val="24"/>
          <w:szCs w:val="24"/>
        </w:rPr>
      </w:pPr>
    </w:p>
    <w:p w:rsidR="000A1FAA" w:rsidRDefault="000A1FAA">
      <w:pPr>
        <w:shd w:val="clear" w:color="auto" w:fill="FFFFFF"/>
        <w:spacing w:before="280" w:after="280" w:line="360" w:lineRule="auto"/>
        <w:ind w:firstLine="720"/>
        <w:jc w:val="both"/>
        <w:rPr>
          <w:rFonts w:ascii="Arial" w:eastAsia="Arial" w:hAnsi="Arial" w:cs="Arial"/>
          <w:sz w:val="24"/>
          <w:szCs w:val="24"/>
        </w:rPr>
      </w:pPr>
    </w:p>
    <w:p w:rsidR="000A1FAA" w:rsidRDefault="000A1FAA">
      <w:pPr>
        <w:shd w:val="clear" w:color="auto" w:fill="FFFFFF"/>
        <w:spacing w:before="280" w:after="280" w:line="360" w:lineRule="auto"/>
        <w:ind w:firstLine="720"/>
        <w:jc w:val="both"/>
        <w:rPr>
          <w:rFonts w:ascii="Arial" w:eastAsia="Arial" w:hAnsi="Arial" w:cs="Arial"/>
          <w:sz w:val="24"/>
          <w:szCs w:val="24"/>
        </w:rPr>
      </w:pPr>
    </w:p>
    <w:p w:rsidR="000A1FAA" w:rsidRDefault="000A1FAA">
      <w:pPr>
        <w:shd w:val="clear" w:color="auto" w:fill="FFFFFF"/>
        <w:spacing w:before="280" w:after="280" w:line="360" w:lineRule="auto"/>
        <w:ind w:firstLine="720"/>
        <w:jc w:val="both"/>
        <w:rPr>
          <w:rFonts w:ascii="Arial" w:eastAsia="Arial" w:hAnsi="Arial" w:cs="Arial"/>
          <w:sz w:val="24"/>
          <w:szCs w:val="24"/>
        </w:rPr>
      </w:pPr>
    </w:p>
    <w:p w:rsidR="000A1FAA" w:rsidRDefault="000A1FAA">
      <w:pPr>
        <w:shd w:val="clear" w:color="auto" w:fill="FFFFFF"/>
        <w:spacing w:before="280" w:after="280" w:line="360" w:lineRule="auto"/>
        <w:ind w:firstLine="720"/>
        <w:jc w:val="both"/>
        <w:rPr>
          <w:rFonts w:ascii="Arial" w:eastAsia="Arial" w:hAnsi="Arial" w:cs="Arial"/>
          <w:sz w:val="24"/>
          <w:szCs w:val="24"/>
        </w:rPr>
      </w:pPr>
    </w:p>
    <w:p w:rsidR="000A1FAA" w:rsidRDefault="000A1FAA">
      <w:pPr>
        <w:shd w:val="clear" w:color="auto" w:fill="FFFFFF"/>
        <w:spacing w:before="280" w:after="280" w:line="360" w:lineRule="auto"/>
        <w:ind w:firstLine="720"/>
        <w:jc w:val="both"/>
        <w:rPr>
          <w:rFonts w:ascii="Arial" w:eastAsia="Arial" w:hAnsi="Arial" w:cs="Arial"/>
          <w:sz w:val="24"/>
          <w:szCs w:val="24"/>
        </w:rPr>
      </w:pPr>
    </w:p>
    <w:p w:rsidR="000A1FAA" w:rsidRDefault="000A1FAA">
      <w:pPr>
        <w:shd w:val="clear" w:color="auto" w:fill="FFFFFF"/>
        <w:spacing w:before="280" w:after="280" w:line="360" w:lineRule="auto"/>
        <w:ind w:firstLine="720"/>
        <w:jc w:val="both"/>
        <w:rPr>
          <w:rFonts w:ascii="Arial" w:eastAsia="Arial" w:hAnsi="Arial" w:cs="Arial"/>
          <w:sz w:val="24"/>
          <w:szCs w:val="24"/>
        </w:rPr>
      </w:pPr>
    </w:p>
    <w:p w:rsidR="000A1FAA" w:rsidRDefault="000A1FAA">
      <w:pPr>
        <w:shd w:val="clear" w:color="auto" w:fill="FFFFFF"/>
        <w:spacing w:before="280" w:after="280" w:line="360" w:lineRule="auto"/>
        <w:ind w:firstLine="720"/>
        <w:jc w:val="both"/>
        <w:rPr>
          <w:rFonts w:ascii="Arial" w:eastAsia="Arial" w:hAnsi="Arial" w:cs="Arial"/>
          <w:sz w:val="24"/>
          <w:szCs w:val="24"/>
        </w:rPr>
      </w:pPr>
    </w:p>
    <w:p w:rsidR="000A1FAA" w:rsidRDefault="000A1FAA">
      <w:pPr>
        <w:shd w:val="clear" w:color="auto" w:fill="FFFFFF"/>
        <w:spacing w:before="280" w:after="280" w:line="360" w:lineRule="auto"/>
        <w:ind w:firstLine="720"/>
        <w:jc w:val="both"/>
        <w:rPr>
          <w:rFonts w:ascii="Arial" w:eastAsia="Arial" w:hAnsi="Arial" w:cs="Arial"/>
          <w:sz w:val="24"/>
          <w:szCs w:val="24"/>
        </w:rPr>
      </w:pPr>
    </w:p>
    <w:sectPr w:rsidR="000A1F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D4EC0"/>
    <w:multiLevelType w:val="multilevel"/>
    <w:tmpl w:val="D22A26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46FC02A8"/>
    <w:multiLevelType w:val="multilevel"/>
    <w:tmpl w:val="2B9453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77815100"/>
    <w:multiLevelType w:val="multilevel"/>
    <w:tmpl w:val="67582C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AA"/>
    <w:rsid w:val="000A1FAA"/>
    <w:rsid w:val="00683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991E14-2D2D-4F53-9C3F-980FEA37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ccountingtools.com/articles/2017/11/30/business-transaction" TargetMode="External"/><Relationship Id="rId18" Type="http://schemas.openxmlformats.org/officeDocument/2006/relationships/hyperlink" Target="https://www.accountingtools.com/articles/2017/5/9/loan-payab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ccountingtools.com/articles/2017/5/5/accounts-payable" TargetMode="External"/><Relationship Id="rId2" Type="http://schemas.openxmlformats.org/officeDocument/2006/relationships/styles" Target="styles.xml"/><Relationship Id="rId16" Type="http://schemas.openxmlformats.org/officeDocument/2006/relationships/hyperlink" Target="https://www.accountingtools.com/articles/2017/5/13/invento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ccountingtools.com/articles/2017/5/7/accounts-receivabl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ccountingtools.com/articles/2017/5/7/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muddhu</dc:creator>
  <cp:lastModifiedBy>Tutuki Alam</cp:lastModifiedBy>
  <cp:revision>2</cp:revision>
  <dcterms:created xsi:type="dcterms:W3CDTF">2020-05-21T13:56:00Z</dcterms:created>
  <dcterms:modified xsi:type="dcterms:W3CDTF">2020-05-21T13:56:00Z</dcterms:modified>
</cp:coreProperties>
</file>