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5DB" w:rsidRDefault="003E2421">
      <w:pPr>
        <w:pStyle w:val="Title"/>
        <w:jc w:val="center"/>
      </w:pPr>
      <w:r>
        <w:rPr>
          <w:rFonts w:ascii="Calibri" w:eastAsia="Calibri" w:hAnsi="Calibri" w:cs="Calibri"/>
        </w:rPr>
        <w:t>GridSight EV: A Geospatial Intelligence Platform for EV Charging Infrastructure</w:t>
      </w:r>
    </w:p>
    <w:p w:rsidR="00F425DB" w:rsidRDefault="003E2421">
      <w:pPr>
        <w:pStyle w:val="Heading2"/>
      </w:pPr>
      <w:r>
        <w:rPr>
          <w:rFonts w:ascii="Calibri" w:eastAsia="Calibri" w:hAnsi="Calibri" w:cs="Calibri"/>
        </w:rPr>
        <w:t>Methodology, Analytical Framework &amp; Implementation Report</w:t>
      </w:r>
    </w:p>
    <w:p w:rsidR="00F425DB" w:rsidRDefault="003E2421">
      <w:r>
        <w:rPr>
          <w:rFonts w:eastAsia="Calibri" w:cs="Calibri"/>
          <w:b/>
        </w:rPr>
        <w:t>Competition:</w:t>
      </w:r>
      <w:r>
        <w:rPr>
          <w:rFonts w:eastAsia="Calibri" w:cs="Calibri"/>
        </w:rPr>
        <w:t xml:space="preserve"> Techfest IIT Bombay 2026–27</w:t>
      </w:r>
    </w:p>
    <w:p w:rsidR="00F425DB" w:rsidRDefault="003E2421">
      <w:r>
        <w:rPr>
          <w:rFonts w:eastAsia="Calibri" w:cs="Calibri"/>
          <w:b/>
        </w:rPr>
        <w:t>Track:</w:t>
      </w:r>
      <w:r>
        <w:rPr>
          <w:rFonts w:eastAsia="Calibri" w:cs="Calibri"/>
        </w:rPr>
        <w:t xml:space="preserve"> Challenge 1 — EV Infra Map India (Ministry of Heavy Industries &amp;</w:t>
      </w:r>
      <w:r>
        <w:rPr>
          <w:rFonts w:eastAsia="Calibri" w:cs="Calibri"/>
        </w:rPr>
        <w:t xml:space="preserve"> ICAT)</w:t>
      </w:r>
    </w:p>
    <w:p w:rsidR="00F425DB" w:rsidRDefault="003E2421">
      <w:pPr>
        <w:rPr>
          <w:rFonts w:eastAsia="Calibri" w:cs="Calibri"/>
        </w:rPr>
      </w:pPr>
      <w:r>
        <w:rPr>
          <w:rFonts w:eastAsia="Calibri" w:cs="Calibri"/>
          <w:b/>
        </w:rPr>
        <w:t>Team Name:</w:t>
      </w:r>
      <w:r>
        <w:rPr>
          <w:rFonts w:eastAsia="Calibri" w:cs="Calibri"/>
        </w:rPr>
        <w:t xml:space="preserve"> Mechies</w:t>
      </w:r>
    </w:p>
    <w:p w:rsidR="001578BD" w:rsidRPr="001578BD" w:rsidRDefault="001578BD">
      <w:pPr>
        <w:rPr>
          <w:b/>
        </w:rPr>
      </w:pPr>
      <w:r>
        <w:rPr>
          <w:rFonts w:eastAsia="Calibri" w:cs="Calibri"/>
          <w:b/>
        </w:rPr>
        <w:t xml:space="preserve">Team ID : </w:t>
      </w:r>
      <w:bookmarkStart w:id="0" w:name="_GoBack"/>
      <w:bookmarkEnd w:id="0"/>
    </w:p>
    <w:p w:rsidR="00F425DB" w:rsidRDefault="003E2421">
      <w:r>
        <w:rPr>
          <w:rFonts w:eastAsia="Calibri" w:cs="Calibri"/>
          <w:b/>
        </w:rPr>
        <w:t>Institution:</w:t>
      </w:r>
      <w:r>
        <w:rPr>
          <w:rFonts w:eastAsia="Calibri" w:cs="Calibri"/>
        </w:rPr>
        <w:t xml:space="preserve"> Netaji Subhas University of Technology (NSUT), New Delhi</w:t>
      </w:r>
    </w:p>
    <w:p w:rsidR="00F425DB" w:rsidRDefault="003E2421">
      <w:r>
        <w:rPr>
          <w:rFonts w:eastAsia="Calibri" w:cs="Calibri"/>
          <w:b/>
        </w:rPr>
        <w:t>Team Leader &amp; Submitter:</w:t>
      </w:r>
      <w:r>
        <w:rPr>
          <w:rFonts w:eastAsia="Calibri" w:cs="Calibri"/>
        </w:rPr>
        <w:t xml:space="preserve"> Kunal (</w:t>
      </w:r>
      <w:r>
        <w:rPr>
          <w:rFonts w:eastAsia="Calibri" w:cs="Calibri"/>
          <w:sz w:val="17"/>
        </w:rPr>
        <w:t>kunalclass1112@gmail.com</w:t>
      </w:r>
      <w:r>
        <w:rPr>
          <w:rFonts w:eastAsia="Calibri" w:cs="Calibri"/>
        </w:rPr>
        <w:t xml:space="preserve"> | </w:t>
      </w:r>
      <w:r>
        <w:rPr>
          <w:rFonts w:eastAsia="Calibri" w:cs="Calibri"/>
          <w:sz w:val="17"/>
        </w:rPr>
        <w:t>+91 8595289897</w:t>
      </w:r>
      <w:r>
        <w:rPr>
          <w:rFonts w:eastAsia="Calibri" w:cs="Calibri"/>
        </w:rPr>
        <w:t>)</w:t>
      </w:r>
    </w:p>
    <w:p w:rsidR="001578BD" w:rsidRDefault="003E2421">
      <w:pPr>
        <w:rPr>
          <w:rFonts w:eastAsia="Calibri" w:cs="Calibri"/>
        </w:rPr>
      </w:pPr>
      <w:r>
        <w:rPr>
          <w:rFonts w:eastAsia="Calibri" w:cs="Calibri"/>
          <w:b/>
        </w:rPr>
        <w:t>Repository:</w:t>
      </w:r>
      <w:r>
        <w:rPr>
          <w:rFonts w:eastAsia="Calibri" w:cs="Calibri"/>
        </w:rPr>
        <w:t xml:space="preserve"> [</w:t>
      </w:r>
      <w:hyperlink r:id="rId8" w:history="1">
        <w:r w:rsidRPr="001578BD">
          <w:rPr>
            <w:rStyle w:val="Hyperlink"/>
            <w:rFonts w:eastAsia="Calibri" w:cs="Calibri"/>
          </w:rPr>
          <w:t>https://github.com/aadityaexpress/gridsight-ev</w:t>
        </w:r>
      </w:hyperlink>
      <w:r>
        <w:rPr>
          <w:rFonts w:eastAsia="Calibri" w:cs="Calibri"/>
        </w:rPr>
        <w:t>]</w:t>
      </w:r>
    </w:p>
    <w:p w:rsidR="001578BD" w:rsidRDefault="001578BD">
      <w:pPr>
        <w:rPr>
          <w:rFonts w:eastAsia="Calibri" w:cs="Calibri"/>
        </w:rPr>
      </w:pPr>
      <w:r>
        <w:rPr>
          <w:rFonts w:eastAsia="Calibri" w:cs="Calibri"/>
          <w:b/>
        </w:rPr>
        <w:t xml:space="preserve">Deployment : </w:t>
      </w:r>
      <w:hyperlink r:id="rId9" w:history="1">
        <w:r w:rsidRPr="001578BD">
          <w:rPr>
            <w:rStyle w:val="Hyperlink"/>
            <w:rFonts w:eastAsia="Calibri" w:cs="Calibri"/>
          </w:rPr>
          <w:t>https://gridsight-ev-git-main-aadityaexpress-projects.vercel.app/</w:t>
        </w:r>
      </w:hyperlink>
    </w:p>
    <w:p w:rsidR="001578BD" w:rsidRPr="001578BD" w:rsidRDefault="001578BD">
      <w:pPr>
        <w:rPr>
          <w:rFonts w:eastAsia="Calibri" w:cs="Calibri"/>
        </w:rPr>
      </w:pPr>
      <w:r>
        <w:rPr>
          <w:rFonts w:eastAsia="Calibri" w:cs="Calibri"/>
          <w:b/>
        </w:rPr>
        <w:t xml:space="preserve">Demonstration video: </w:t>
      </w:r>
      <w:hyperlink r:id="rId10" w:history="1">
        <w:r w:rsidRPr="001578BD">
          <w:rPr>
            <w:rStyle w:val="Hyperlink"/>
            <w:rFonts w:eastAsia="Calibri" w:cs="Calibri"/>
          </w:rPr>
          <w:t>https://drive.google.com/file/d/1FqyCZMgjRjLgFu3nu4ZrEjMyY0_0OJbe/view?usp=drivesdk</w:t>
        </w:r>
      </w:hyperlink>
    </w:p>
    <w:p w:rsidR="00F425DB" w:rsidRDefault="003E2421" w:rsidP="001578BD">
      <w:pPr>
        <w:pStyle w:val="Heading3"/>
        <w:tabs>
          <w:tab w:val="left" w:pos="3636"/>
          <w:tab w:val="left" w:pos="8352"/>
        </w:tabs>
      </w:pPr>
      <w:r>
        <w:rPr>
          <w:rFonts w:ascii="Calibri" w:eastAsia="Calibri" w:hAnsi="Calibri" w:cs="Calibri"/>
        </w:rPr>
        <w:t>Document Status and Verification Key</w:t>
      </w:r>
      <w:r w:rsidR="001578BD">
        <w:rPr>
          <w:rFonts w:ascii="Calibri" w:eastAsia="Calibri" w:hAnsi="Calibri" w:cs="Calibri"/>
        </w:rPr>
        <w:tab/>
      </w:r>
      <w:r w:rsidR="001578BD">
        <w:rPr>
          <w:rFonts w:ascii="Calibri" w:eastAsia="Calibri" w:hAnsi="Calibri" w:cs="Calibri"/>
        </w:rPr>
        <w:tab/>
      </w:r>
    </w:p>
    <w:p w:rsidR="00F425DB" w:rsidRDefault="003E2421">
      <w:pPr>
        <w:pStyle w:val="ListBullet"/>
      </w:pPr>
      <w:r>
        <w:rPr>
          <w:rFonts w:eastAsia="Calibri" w:cs="Calibri"/>
        </w:rPr>
        <w:t>Fully Implemented: These features are built into the production TypeScript/Python codebase and can be used on the live interactive platform.</w:t>
      </w:r>
    </w:p>
    <w:p w:rsidR="00F425DB" w:rsidRDefault="003E2421">
      <w:pPr>
        <w:pStyle w:val="ListBullet"/>
      </w:pPr>
      <w:r>
        <w:rPr>
          <w:rFonts w:eastAsia="Calibri" w:cs="Calibri"/>
        </w:rPr>
        <w:t xml:space="preserve">Validated: The automated data-integrity checks passed </w:t>
      </w:r>
      <w:r>
        <w:rPr>
          <w:rFonts w:eastAsia="Calibri" w:cs="Calibri"/>
        </w:rPr>
        <w:t>all 28 assertions, and no null- or NaN-related crashes occurred.</w:t>
      </w:r>
    </w:p>
    <w:p w:rsidR="00F425DB" w:rsidRDefault="003E2421">
      <w:pPr>
        <w:pStyle w:val="ListBullet"/>
      </w:pPr>
      <w:r>
        <w:rPr>
          <w:rFonts w:eastAsia="Calibri" w:cs="Calibri"/>
        </w:rPr>
        <w:t>Planned Expansion: Phases 1–3 will extend the platform to cover inter-city freight corridors and add automated SCADA telematics.</w:t>
      </w:r>
    </w:p>
    <w:p w:rsidR="00F425DB" w:rsidRDefault="003E2421">
      <w:pPr>
        <w:pStyle w:val="Heading2"/>
      </w:pPr>
      <w:r>
        <w:rPr>
          <w:rFonts w:ascii="Calibri" w:eastAsia="Calibri" w:hAnsi="Calibri" w:cs="Calibri"/>
        </w:rPr>
        <w:t>1. Problem Understanding &amp; Relevance (25%)</w:t>
      </w:r>
    </w:p>
    <w:p w:rsidR="00F425DB" w:rsidRDefault="003E2421">
      <w:pPr>
        <w:pStyle w:val="Heading3"/>
      </w:pPr>
      <w:r>
        <w:rPr>
          <w:rFonts w:ascii="Calibri" w:eastAsia="Calibri" w:hAnsi="Calibri" w:cs="Calibri"/>
        </w:rPr>
        <w:t xml:space="preserve">1.1 Why India's EV </w:t>
      </w:r>
      <w:r>
        <w:rPr>
          <w:rFonts w:ascii="Calibri" w:eastAsia="Calibri" w:hAnsi="Calibri" w:cs="Calibri"/>
        </w:rPr>
        <w:t>Charging Data Is Difficult to Reconcile</w:t>
      </w:r>
    </w:p>
    <w:p w:rsidR="00F425DB" w:rsidRDefault="003E2421">
      <w:r>
        <w:rPr>
          <w:rFonts w:eastAsia="Calibri" w:cs="Calibri"/>
        </w:rPr>
        <w:t>India's public EV charging data is scattered across central ministries, state agencies, municipal bodies, and crowdsourced platforms, and that makes planning difficult. Each source defines and counts things different</w:t>
      </w:r>
      <w:r>
        <w:rPr>
          <w:rFonts w:eastAsia="Calibri" w:cs="Calibri"/>
        </w:rPr>
        <w:t>ly, so the figures cannot be safely added together without reconciling them first. Four problems stand out.</w:t>
      </w:r>
    </w:p>
    <w:p w:rsidR="00F425DB" w:rsidRDefault="003E2421">
      <w:pPr>
        <w:pStyle w:val="ListNumber"/>
      </w:pPr>
      <w:r>
        <w:rPr>
          <w:rFonts w:eastAsia="Calibri" w:cs="Calibri"/>
          <w:b/>
        </w:rPr>
        <w:t>Overlapping Registry Definitions and Double-Counting</w:t>
      </w:r>
    </w:p>
    <w:p w:rsidR="00F425DB" w:rsidRDefault="003E2421">
      <w:r>
        <w:rPr>
          <w:rFonts w:eastAsia="Calibri" w:cs="Calibri"/>
        </w:rPr>
        <w:t xml:space="preserve">The Bureau of Energy Efficiency (BEE) registry lists individual charger and connector entries, </w:t>
      </w:r>
      <w:r>
        <w:rPr>
          <w:rFonts w:eastAsia="Calibri" w:cs="Calibri"/>
        </w:rPr>
        <w:t>39,641 rows in all. The Ministry of Petroleum and Natural Gas (MoPNG) reports to Parliament on Oil Marketing Company (OMC) retail fuel stations, with 27,737 chargers installed and 22,753 operational. The Ministry of Heavy Industries (MHI) tracks FAME-II-su</w:t>
      </w:r>
      <w:r>
        <w:rPr>
          <w:rFonts w:eastAsia="Calibri" w:cs="Calibri"/>
        </w:rPr>
        <w:t>pported installations separately, including 8,932 OMC installations, and OpenStreetMap (OSM) adds a smaller crowdsourced sample of 725 national features. Summing these totals would count some infrastructure more than once, which could mislead public invest</w:t>
      </w:r>
      <w:r>
        <w:rPr>
          <w:rFonts w:eastAsia="Calibri" w:cs="Calibri"/>
        </w:rPr>
        <w:t>ment decisions.</w:t>
      </w:r>
    </w:p>
    <w:p w:rsidR="00F425DB" w:rsidRDefault="003E2421">
      <w:pPr>
        <w:pStyle w:val="ListNumber"/>
      </w:pPr>
      <w:r>
        <w:rPr>
          <w:rFonts w:eastAsia="Calibri" w:cs="Calibri"/>
          <w:b/>
        </w:rPr>
        <w:t>Geographic Detail and Registration Bias: The Burari Anomaly</w:t>
      </w:r>
    </w:p>
    <w:p w:rsidR="00F425DB" w:rsidRDefault="003E2421">
      <w:r>
        <w:rPr>
          <w:rFonts w:eastAsia="Calibri" w:cs="Calibri"/>
        </w:rPr>
        <w:t>MoRTH VAHAN 4 reports EV registrations by state and Regional Transport Office (RTO), whereas charging points are tied to exact coordinates. In Delhi, many commercial vehicles (e-au</w:t>
      </w:r>
      <w:r>
        <w:rPr>
          <w:rFonts w:eastAsia="Calibri" w:cs="Calibri"/>
        </w:rPr>
        <w:t>tos, e-rickshaws, app-based cabs, and delivery vehicles) are registered through the central Burari Transport Authority (DL-1Y/1Z), which accounts for more than 35% of the capital's commercial EV registrations. If the raw registration totals are read as a m</w:t>
      </w:r>
      <w:r>
        <w:rPr>
          <w:rFonts w:eastAsia="Calibri" w:cs="Calibri"/>
        </w:rPr>
        <w:t>ap of local demand, North Delhi appears to need far more infrastructure than it really does, while the other eight districts are undercounted.</w:t>
      </w:r>
    </w:p>
    <w:p w:rsidR="00F425DB" w:rsidRDefault="003E2421">
      <w:pPr>
        <w:pStyle w:val="ListNumber"/>
      </w:pPr>
      <w:r>
        <w:rPr>
          <w:rFonts w:eastAsia="Calibri" w:cs="Calibri"/>
          <w:b/>
        </w:rPr>
        <w:t>Why a Universal “One Charger for Every Ten EVs” Rule Falls Short</w:t>
      </w:r>
    </w:p>
    <w:p w:rsidR="00F425DB" w:rsidRDefault="003E2421">
      <w:r>
        <w:rPr>
          <w:rFonts w:eastAsia="Calibri" w:cs="Calibri"/>
        </w:rPr>
        <w:t>A fixed EV-to-charger ratio ignores how differen</w:t>
      </w:r>
      <w:r>
        <w:rPr>
          <w:rFonts w:eastAsia="Calibri" w:cs="Calibri"/>
        </w:rPr>
        <w:t>t vehicle types use energy and where they charge. An electric two-wheeler uses about 1.02 kWh per day and gets 80% of its energy from home charging. A commercial three-wheeler uses about 6.38 kWh per day and relies on public charging for 55% of it. Applyin</w:t>
      </w:r>
      <w:r>
        <w:rPr>
          <w:rFonts w:eastAsia="Calibri" w:cs="Calibri"/>
        </w:rPr>
        <w:t>g one ratio to both can leave commercial demand unmet, waste investment, and put unnecessary stress on distribution transformers.</w:t>
      </w:r>
    </w:p>
    <w:p w:rsidR="00F425DB" w:rsidRDefault="003E2421">
      <w:pPr>
        <w:pStyle w:val="ListNumber"/>
      </w:pPr>
      <w:r>
        <w:rPr>
          <w:rFonts w:eastAsia="Calibri" w:cs="Calibri"/>
          <w:b/>
        </w:rPr>
        <w:lastRenderedPageBreak/>
        <w:t>Having a Charger Nearby Is Not the Same as Having Enough Capacity</w:t>
      </w:r>
    </w:p>
    <w:p w:rsidR="00F425DB" w:rsidRDefault="003E2421">
      <w:r>
        <w:rPr>
          <w:rFonts w:eastAsia="Calibri" w:cs="Calibri"/>
        </w:rPr>
        <w:t>A charger within one kilometre may improve geographic access</w:t>
      </w:r>
      <w:r>
        <w:rPr>
          <w:rFonts w:eastAsia="Calibri" w:cs="Calibri"/>
        </w:rPr>
        <w:t>, but two slow 3.3 kW sockets cannot realistically serve 80 commercial e-rickshaws. GridSight EV therefore treats these as two separate questions: how easily users can reach a charging location, and how much energy that location can deliver each day (kWh/d</w:t>
      </w:r>
      <w:r>
        <w:rPr>
          <w:rFonts w:eastAsia="Calibri" w:cs="Calibri"/>
        </w:rPr>
        <w:t>ay).</w:t>
      </w:r>
    </w:p>
    <w:p w:rsidR="00F425DB" w:rsidRDefault="003E2421">
      <w:pPr>
        <w:spacing w:after="120"/>
        <w:ind w:left="259"/>
      </w:pPr>
      <w:r>
        <w:t xml:space="preserve">                     ┌─────────────────────────────────────────────────────────┐</w:t>
        <w:br/>
        <w:t xml:space="preserve">                     │            CHALLENGE 1: CORE PLANNING PROBLEM           │</w:t>
        <w:br/>
        <w:t xml:space="preserve">                     └────────────────────────────┬────────────────────────────┘</w:t>
        <w:br/>
        <w:t xml:space="preserve">                                                  │</w:t>
        <w:br/>
        <w:t xml:space="preserve">         ┌────────────────────────────────────────┼────────────────────────────────────────┐</w:t>
        <w:br/>
        <w:t xml:space="preserve">         │                                        │                                        │</w:t>
        <w:br/>
        <w:t xml:space="preserve">         ▼                                        ▼                                        ▼</w:t>
        <w:br/>
        <w:t>┌─────────────────────────┐            ┌──────────────────────┐            ┌──────────────────────────────┐</w:t>
        <w:br/>
        <w:t>│  FRAGMENTED REGISTRIES │            │  RTO REGISTRATION BIAS    │            │  ONE-RATIO-FITS-ALL PROBLEM     │</w:t>
        <w:br/>
        <w:t>│  BEE vs OMC vs Switch   │            │  Burari (DL-1Y) 35%  │            │  Conflating 2W / 3W / 4W     │</w:t>
        <w:br/>
        <w:t>│  Double-counting risk   │            │  Commercial EV Skew  │            │  Ignoring kWh consumption    │</w:t>
        <w:br/>
        <w:t>└────────────┬────────────┘            └──────────┬───────────┘            └──────────────┬───────────────┘</w:t>
        <w:br/>
        <w:t xml:space="preserve">             │                                    │                                       │</w:t>
        <w:br/>
        <w:t xml:space="preserve">             └────────────────────────────────────┼───────────────────────────────────────┘</w:t>
        <w:br/>
        <w:t xml:space="preserve">                                                  │</w:t>
        <w:br/>
        <w:t xml:space="preserve">                                                  ▼</w:t>
        <w:br/>
        <w:t xml:space="preserve">                     ┌─────────────────────────────────────────────────────────┐</w:t>
        <w:br/>
        <w:t xml:space="preserve">                     │           GRIDSIGHT EV ANALYTICAL ENGINE            │</w:t>
        <w:br/>
        <w:t xml:space="preserve">                     │  1. Non-Additive Multi-Source Spatial Reconciliation    │</w:t>
        <w:br/>
        <w:t xml:space="preserve">                     │  2. Burari Activity-Weighted Fleet Redistribution       │</w:t>
        <w:br/>
        <w:t xml:space="preserve">                     │  3. 375-Cell Spatial Grid with Sigmoid Distance Decay   │</w:t>
        <w:br/>
        <w:t xml:space="preserve">                     │  4. Supervised Spatial ML Regressor (Random Forest)     │</w:t>
        <w:br/>
        <w:t xml:space="preserve">                     │  5. Bass Diffusion Fleet Forecasting S-Curve            │</w:t>
        <w:br/>
        <w:t xml:space="preserve">                     │  6. Bottom-Up Daily kWh Energy Balance Hardware Sizing  │</w:t>
        <w:br/>
        <w:t xml:space="preserve">                     │  7. Greedy Spatial Optimizer with Conflict Graph Rejection │</w:t>
        <w:br/>
        <w:t xml:space="preserve">                     └─────────────────────────────────────────────────────────┘</w:t>
      </w:r>
    </w:p>
    <w:p w:rsidR="00F425DB" w:rsidRDefault="003E2421">
      <w:pPr>
        <w:pStyle w:val="Heading2"/>
      </w:pPr>
      <w:r>
        <w:rPr>
          <w:rFonts w:ascii="Calibri" w:eastAsia="Calibri" w:hAnsi="Calibri" w:cs="Calibri"/>
        </w:rPr>
        <w:t>2. Data Strategy, Provenance &amp; Quality Assurance (10%)</w:t>
      </w:r>
    </w:p>
    <w:p w:rsidR="00F425DB" w:rsidRDefault="003E2421">
      <w:pPr>
        <w:pStyle w:val="Heading3"/>
      </w:pPr>
      <w:r>
        <w:rPr>
          <w:rFonts w:ascii="Calibri" w:eastAsia="Calibri" w:hAnsi="Calibri" w:cs="Calibri"/>
        </w:rPr>
        <w:t>2.1 Rule for Keeping Data Sou</w:t>
      </w:r>
      <w:r>
        <w:rPr>
          <w:rFonts w:ascii="Calibri" w:eastAsia="Calibri" w:hAnsi="Calibri" w:cs="Calibri"/>
        </w:rPr>
        <w:t>rces Separate</w:t>
      </w:r>
    </w:p>
    <w:p w:rsidR="00F425DB" w:rsidRDefault="003E2421">
      <w:r>
        <w:rPr>
          <w:rFonts w:eastAsia="Calibri" w:cs="Calibri"/>
        </w:rPr>
        <w:t>GridSight EV avoids duplicate counts by treating each registry as its own analytical baseline instead of adding figures across sources. In the interface, planners can switch between baselines such as Switch Delhi, the BEE Registry, OMC retail</w:t>
      </w:r>
      <w:r>
        <w:rPr>
          <w:rFonts w:eastAsia="Calibri" w:cs="Calibri"/>
        </w:rPr>
        <w:t xml:space="preserve"> pumps, and a combined verification view. The figures stay separate unless a specific reconciliation method supports comparing them.</w:t>
      </w:r>
    </w:p>
    <w:p w:rsidR="00F425DB" w:rsidRDefault="003E2421">
      <w:pPr>
        <w:pStyle w:val="Heading3"/>
      </w:pPr>
      <w:r>
        <w:rPr>
          <w:rFonts w:ascii="Calibri" w:eastAsia="Calibri" w:hAnsi="Calibri" w:cs="Calibri"/>
        </w:rPr>
        <w:t>2.2 Dataset Inventory and Provenance (Data Freeze: 19 October 2026)</w:t>
      </w:r>
    </w:p>
    <w:tbl>
      <w:tblPr>
        <w:tblStyle w:val="TableGrid"/>
        <w:tblW w:w="0" w:type="auto"/>
        <w:jc w:val="center"/>
        <w:tblLook w:val="04A0" w:firstRow="1" w:lastRow="0" w:firstColumn="1" w:lastColumn="0" w:noHBand="0" w:noVBand="1"/>
      </w:tblPr>
      <w:tblGrid>
        <w:gridCol w:w="1680"/>
        <w:gridCol w:w="1680"/>
        <w:gridCol w:w="1680"/>
        <w:gridCol w:w="1680"/>
        <w:gridCol w:w="1699"/>
        <w:gridCol w:w="1680"/>
      </w:tblGrid>
      <w:tr w:rsidR="00F425DB">
        <w:trPr>
          <w:jc w:val="center"/>
        </w:trPr>
        <w:tc>
          <w:tcPr>
            <w:tcW w:w="1680" w:type="dxa"/>
            <w:shd w:val="clear" w:color="auto" w:fill="17365D"/>
          </w:tcPr>
          <w:p w:rsidR="00F425DB" w:rsidRDefault="003E2421">
            <w:r>
              <w:rPr>
                <w:rFonts w:eastAsia="Calibri" w:cs="Calibri"/>
                <w:b/>
                <w:color w:val="FFFFFF"/>
                <w:sz w:val="14"/>
              </w:rPr>
              <w:t>ID</w:t>
            </w:r>
          </w:p>
        </w:tc>
        <w:tc>
          <w:tcPr>
            <w:tcW w:w="1680" w:type="dxa"/>
            <w:shd w:val="clear" w:color="auto" w:fill="17365D"/>
          </w:tcPr>
          <w:p w:rsidR="00F425DB" w:rsidRDefault="003E2421">
            <w:r>
              <w:rPr>
                <w:rFonts w:eastAsia="Calibri" w:cs="Calibri"/>
                <w:b/>
                <w:color w:val="FFFFFF"/>
                <w:sz w:val="14"/>
              </w:rPr>
              <w:t>Dataset &amp; Authority</w:t>
            </w:r>
          </w:p>
        </w:tc>
        <w:tc>
          <w:tcPr>
            <w:tcW w:w="1680" w:type="dxa"/>
            <w:shd w:val="clear" w:color="auto" w:fill="17365D"/>
          </w:tcPr>
          <w:p w:rsidR="00F425DB" w:rsidRDefault="003E2421">
            <w:r>
              <w:rPr>
                <w:rFonts w:eastAsia="Calibri" w:cs="Calibri"/>
                <w:b/>
                <w:color w:val="FFFFFF"/>
                <w:sz w:val="14"/>
              </w:rPr>
              <w:t>Vintage</w:t>
            </w:r>
          </w:p>
        </w:tc>
        <w:tc>
          <w:tcPr>
            <w:tcW w:w="1680" w:type="dxa"/>
            <w:shd w:val="clear" w:color="auto" w:fill="17365D"/>
          </w:tcPr>
          <w:p w:rsidR="00F425DB" w:rsidRDefault="003E2421">
            <w:r>
              <w:rPr>
                <w:rFonts w:eastAsia="Calibri" w:cs="Calibri"/>
                <w:b/>
                <w:color w:val="FFFFFF"/>
                <w:sz w:val="14"/>
              </w:rPr>
              <w:t>Geometry</w:t>
            </w:r>
          </w:p>
        </w:tc>
        <w:tc>
          <w:tcPr>
            <w:tcW w:w="1680" w:type="dxa"/>
            <w:shd w:val="clear" w:color="auto" w:fill="17365D"/>
          </w:tcPr>
          <w:p w:rsidR="00F425DB" w:rsidRDefault="003E2421">
            <w:r>
              <w:rPr>
                <w:rFonts w:eastAsia="Calibri" w:cs="Calibri"/>
                <w:b/>
                <w:color w:val="FFFFFF"/>
                <w:sz w:val="14"/>
              </w:rPr>
              <w:t>Scale &amp; Scope</w:t>
            </w:r>
          </w:p>
        </w:tc>
        <w:tc>
          <w:tcPr>
            <w:tcW w:w="1680" w:type="dxa"/>
            <w:shd w:val="clear" w:color="auto" w:fill="17365D"/>
          </w:tcPr>
          <w:p w:rsidR="00F425DB" w:rsidRDefault="003E2421">
            <w:r>
              <w:rPr>
                <w:rFonts w:eastAsia="Calibri" w:cs="Calibri"/>
                <w:b/>
                <w:color w:val="FFFFFF"/>
                <w:sz w:val="14"/>
              </w:rPr>
              <w:t>Limitation &amp; Engineering Treatment</w:t>
            </w:r>
          </w:p>
        </w:tc>
      </w:tr>
      <w:tr w:rsidR="00F425DB">
        <w:trPr>
          <w:jc w:val="center"/>
        </w:trPr>
        <w:tc>
          <w:tcPr>
            <w:tcW w:w="1680" w:type="dxa"/>
          </w:tcPr>
          <w:p w:rsidR="00F425DB" w:rsidRDefault="003E2421">
            <w:r>
              <w:rPr>
                <w:rFonts w:eastAsia="Calibri" w:cs="Calibri"/>
                <w:b/>
                <w:sz w:val="14"/>
              </w:rPr>
              <w:t>SRC-01</w:t>
            </w:r>
          </w:p>
        </w:tc>
        <w:tc>
          <w:tcPr>
            <w:tcW w:w="1680" w:type="dxa"/>
          </w:tcPr>
          <w:p w:rsidR="00F425DB" w:rsidRDefault="003E2421">
            <w:r>
              <w:rPr>
                <w:rFonts w:eastAsia="Calibri" w:cs="Calibri"/>
                <w:b/>
                <w:sz w:val="14"/>
              </w:rPr>
              <w:t>BEE National EVPCS Registry (MoP)</w:t>
            </w:r>
          </w:p>
        </w:tc>
        <w:tc>
          <w:tcPr>
            <w:tcW w:w="1680" w:type="dxa"/>
          </w:tcPr>
          <w:p w:rsidR="00F425DB" w:rsidRDefault="003E2421">
            <w:r>
              <w:rPr>
                <w:rFonts w:eastAsia="Calibri" w:cs="Calibri"/>
                <w:sz w:val="14"/>
              </w:rPr>
              <w:t>26 Oct 2025</w:t>
            </w:r>
          </w:p>
        </w:tc>
        <w:tc>
          <w:tcPr>
            <w:tcW w:w="1680" w:type="dxa"/>
          </w:tcPr>
          <w:p w:rsidR="00F425DB" w:rsidRDefault="003E2421">
            <w:r>
              <w:rPr>
                <w:rFonts w:eastAsia="Calibri" w:cs="Calibri"/>
                <w:sz w:val="14"/>
              </w:rPr>
              <w:t>Point</w:t>
            </w:r>
          </w:p>
        </w:tc>
        <w:tc>
          <w:tcPr>
            <w:tcW w:w="1680" w:type="dxa"/>
          </w:tcPr>
          <w:p w:rsidR="00F425DB" w:rsidRDefault="003E2421">
            <w:r>
              <w:rPr>
                <w:rFonts w:eastAsia="Calibri" w:cs="Calibri"/>
                <w:sz w:val="14"/>
              </w:rPr>
              <w:t>29,371 sites (39,641 charger rows; 44,066 connectors) across 36 States/UTs.</w:t>
            </w:r>
          </w:p>
        </w:tc>
        <w:tc>
          <w:tcPr>
            <w:tcW w:w="1680" w:type="dxa"/>
          </w:tcPr>
          <w:p w:rsidR="00F425DB" w:rsidRDefault="003E2421">
            <w:r>
              <w:rPr>
                <w:rFonts w:eastAsia="Calibri" w:cs="Calibri"/>
                <w:sz w:val="14"/>
              </w:rPr>
              <w:t>Static registry with no uptime data. 119 rows with corrupted coordinates were isolate</w:t>
            </w:r>
            <w:r>
              <w:rPr>
                <w:rFonts w:eastAsia="Calibri" w:cs="Calibri"/>
                <w:sz w:val="14"/>
              </w:rPr>
              <w:t>d and corrected.</w:t>
            </w:r>
          </w:p>
        </w:tc>
      </w:tr>
      <w:tr w:rsidR="00F425DB">
        <w:trPr>
          <w:jc w:val="center"/>
        </w:trPr>
        <w:tc>
          <w:tcPr>
            <w:tcW w:w="1680" w:type="dxa"/>
            <w:shd w:val="clear" w:color="auto" w:fill="F2F6FA"/>
          </w:tcPr>
          <w:p w:rsidR="00F425DB" w:rsidRDefault="003E2421">
            <w:r>
              <w:rPr>
                <w:rFonts w:eastAsia="Calibri" w:cs="Calibri"/>
                <w:b/>
                <w:sz w:val="14"/>
              </w:rPr>
              <w:t>SRC-02</w:t>
            </w:r>
          </w:p>
        </w:tc>
        <w:tc>
          <w:tcPr>
            <w:tcW w:w="1680" w:type="dxa"/>
            <w:shd w:val="clear" w:color="auto" w:fill="F2F6FA"/>
          </w:tcPr>
          <w:p w:rsidR="00F425DB" w:rsidRDefault="003E2421">
            <w:r>
              <w:rPr>
                <w:rFonts w:eastAsia="Calibri" w:cs="Calibri"/>
                <w:b/>
                <w:sz w:val="14"/>
              </w:rPr>
              <w:t>PIB / MoPNG OMC EVPCS (PRID 2246042)</w:t>
            </w:r>
          </w:p>
        </w:tc>
        <w:tc>
          <w:tcPr>
            <w:tcW w:w="1680" w:type="dxa"/>
            <w:shd w:val="clear" w:color="auto" w:fill="F2F6FA"/>
          </w:tcPr>
          <w:p w:rsidR="00F425DB" w:rsidRDefault="003E2421">
            <w:r>
              <w:rPr>
                <w:rFonts w:eastAsia="Calibri" w:cs="Calibri"/>
                <w:sz w:val="14"/>
              </w:rPr>
              <w:t>01 Mar 2026</w:t>
            </w:r>
          </w:p>
        </w:tc>
        <w:tc>
          <w:tcPr>
            <w:tcW w:w="1680" w:type="dxa"/>
            <w:shd w:val="clear" w:color="auto" w:fill="F2F6FA"/>
          </w:tcPr>
          <w:p w:rsidR="00F425DB" w:rsidRDefault="003E2421">
            <w:r>
              <w:rPr>
                <w:rFonts w:eastAsia="Calibri" w:cs="Calibri"/>
                <w:sz w:val="14"/>
              </w:rPr>
              <w:t>State</w:t>
            </w:r>
          </w:p>
        </w:tc>
        <w:tc>
          <w:tcPr>
            <w:tcW w:w="1680" w:type="dxa"/>
            <w:shd w:val="clear" w:color="auto" w:fill="F2F6FA"/>
          </w:tcPr>
          <w:p w:rsidR="00F425DB" w:rsidRDefault="003E2421">
            <w:r>
              <w:rPr>
                <w:rFonts w:eastAsia="Calibri" w:cs="Calibri"/>
                <w:sz w:val="14"/>
              </w:rPr>
              <w:t>27,737 OMC chargers installed at retail fuel stations, of which 22,753 are reported operational.</w:t>
            </w:r>
          </w:p>
        </w:tc>
        <w:tc>
          <w:tcPr>
            <w:tcW w:w="1680" w:type="dxa"/>
            <w:shd w:val="clear" w:color="auto" w:fill="F2F6FA"/>
          </w:tcPr>
          <w:p w:rsidR="00F425DB" w:rsidRDefault="003E2421">
            <w:r>
              <w:rPr>
                <w:rFonts w:eastAsia="Calibri" w:cs="Calibri"/>
                <w:sz w:val="14"/>
              </w:rPr>
              <w:t>Covers retail fuel stations only. Kept apart from the BEE figures to avoid double-counting.</w:t>
            </w:r>
          </w:p>
        </w:tc>
      </w:tr>
      <w:tr w:rsidR="00F425DB">
        <w:trPr>
          <w:jc w:val="center"/>
        </w:trPr>
        <w:tc>
          <w:tcPr>
            <w:tcW w:w="1680" w:type="dxa"/>
          </w:tcPr>
          <w:p w:rsidR="00F425DB" w:rsidRDefault="003E2421">
            <w:r>
              <w:rPr>
                <w:rFonts w:eastAsia="Calibri" w:cs="Calibri"/>
                <w:b/>
                <w:sz w:val="14"/>
              </w:rPr>
              <w:t>SRC-03</w:t>
            </w:r>
          </w:p>
        </w:tc>
        <w:tc>
          <w:tcPr>
            <w:tcW w:w="1680" w:type="dxa"/>
          </w:tcPr>
          <w:p w:rsidR="00F425DB" w:rsidRDefault="003E2421">
            <w:r>
              <w:rPr>
                <w:rFonts w:eastAsia="Calibri" w:cs="Calibri"/>
                <w:b/>
                <w:sz w:val="14"/>
              </w:rPr>
              <w:t>PIB / MHI FAME-II EVPCS (PRID 2246045)</w:t>
            </w:r>
          </w:p>
        </w:tc>
        <w:tc>
          <w:tcPr>
            <w:tcW w:w="1680" w:type="dxa"/>
          </w:tcPr>
          <w:p w:rsidR="00F425DB" w:rsidRDefault="003E2421">
            <w:r>
              <w:rPr>
                <w:rFonts w:eastAsia="Calibri" w:cs="Calibri"/>
                <w:sz w:val="14"/>
              </w:rPr>
              <w:t>01 Mar 2026</w:t>
            </w:r>
          </w:p>
        </w:tc>
        <w:tc>
          <w:tcPr>
            <w:tcW w:w="1680" w:type="dxa"/>
          </w:tcPr>
          <w:p w:rsidR="00F425DB" w:rsidRDefault="003E2421">
            <w:r>
              <w:rPr>
                <w:rFonts w:eastAsia="Calibri" w:cs="Calibri"/>
                <w:sz w:val="14"/>
              </w:rPr>
              <w:t>State</w:t>
            </w:r>
          </w:p>
        </w:tc>
        <w:tc>
          <w:tcPr>
            <w:tcW w:w="1680" w:type="dxa"/>
          </w:tcPr>
          <w:p w:rsidR="00F425DB" w:rsidRDefault="003E2421">
            <w:r>
              <w:rPr>
                <w:rFonts w:eastAsia="Calibri" w:cs="Calibri"/>
                <w:sz w:val="14"/>
              </w:rPr>
              <w:t>8,932 FAME-II OMC installations, plus 227 chargers operated by public agencies.</w:t>
            </w:r>
          </w:p>
        </w:tc>
        <w:tc>
          <w:tcPr>
            <w:tcW w:w="1680" w:type="dxa"/>
          </w:tcPr>
          <w:p w:rsidR="00F425DB" w:rsidRDefault="003E2421">
            <w:r>
              <w:rPr>
                <w:rFonts w:eastAsia="Calibri" w:cs="Calibri"/>
                <w:sz w:val="14"/>
              </w:rPr>
              <w:t>Covers installation</w:t>
            </w:r>
            <w:r>
              <w:rPr>
                <w:rFonts w:eastAsia="Calibri" w:cs="Calibri"/>
                <w:sz w:val="14"/>
              </w:rPr>
              <w:t>s under one specific subsidy scheme, so it is tracked as its own dataset.</w:t>
            </w:r>
          </w:p>
        </w:tc>
      </w:tr>
      <w:tr w:rsidR="00F425DB">
        <w:trPr>
          <w:jc w:val="center"/>
        </w:trPr>
        <w:tc>
          <w:tcPr>
            <w:tcW w:w="1680" w:type="dxa"/>
            <w:shd w:val="clear" w:color="auto" w:fill="F2F6FA"/>
          </w:tcPr>
          <w:p w:rsidR="00F425DB" w:rsidRDefault="003E2421">
            <w:r>
              <w:rPr>
                <w:rFonts w:eastAsia="Calibri" w:cs="Calibri"/>
                <w:b/>
                <w:sz w:val="14"/>
              </w:rPr>
              <w:t>SRC-04</w:t>
            </w:r>
          </w:p>
        </w:tc>
        <w:tc>
          <w:tcPr>
            <w:tcW w:w="1680" w:type="dxa"/>
            <w:shd w:val="clear" w:color="auto" w:fill="F2F6FA"/>
          </w:tcPr>
          <w:p w:rsidR="00F425DB" w:rsidRDefault="003E2421">
            <w:r>
              <w:rPr>
                <w:rFonts w:eastAsia="Calibri" w:cs="Calibri"/>
                <w:b/>
                <w:sz w:val="14"/>
              </w:rPr>
              <w:t>GNCTD Switch Delhi Portal (DDC Delhi)</w:t>
            </w:r>
          </w:p>
        </w:tc>
        <w:tc>
          <w:tcPr>
            <w:tcW w:w="1680" w:type="dxa"/>
            <w:shd w:val="clear" w:color="auto" w:fill="F2F6FA"/>
          </w:tcPr>
          <w:p w:rsidR="00F425DB" w:rsidRDefault="003E2421">
            <w:r>
              <w:rPr>
                <w:rFonts w:eastAsia="Calibri" w:cs="Calibri"/>
                <w:sz w:val="14"/>
              </w:rPr>
              <w:t>19 Oct 2026</w:t>
            </w:r>
          </w:p>
        </w:tc>
        <w:tc>
          <w:tcPr>
            <w:tcW w:w="1680" w:type="dxa"/>
            <w:shd w:val="clear" w:color="auto" w:fill="F2F6FA"/>
          </w:tcPr>
          <w:p w:rsidR="00F425DB" w:rsidRDefault="003E2421">
            <w:r>
              <w:rPr>
                <w:rFonts w:eastAsia="Calibri" w:cs="Calibri"/>
                <w:sz w:val="14"/>
              </w:rPr>
              <w:t>Point</w:t>
            </w:r>
          </w:p>
        </w:tc>
        <w:tc>
          <w:tcPr>
            <w:tcW w:w="1680" w:type="dxa"/>
            <w:shd w:val="clear" w:color="auto" w:fill="F2F6FA"/>
          </w:tcPr>
          <w:p w:rsidR="00F425DB" w:rsidRDefault="003E2421">
            <w:r>
              <w:rPr>
                <w:rFonts w:eastAsia="Calibri" w:cs="Calibri"/>
                <w:sz w:val="14"/>
              </w:rPr>
              <w:t>876 verified locations: 573 charging stations and 303 battery-swap hubs.</w:t>
            </w:r>
          </w:p>
        </w:tc>
        <w:tc>
          <w:tcPr>
            <w:tcW w:w="1680" w:type="dxa"/>
            <w:shd w:val="clear" w:color="auto" w:fill="F2F6FA"/>
          </w:tcPr>
          <w:p w:rsidR="00F425DB" w:rsidRDefault="003E2421">
            <w:r>
              <w:rPr>
                <w:rFonts w:eastAsia="Calibri" w:cs="Calibri"/>
                <w:sz w:val="14"/>
              </w:rPr>
              <w:t>15 duplicate kiosk rows were removed. The 121 swap kiosks lacking street-level coordinates were geocoded to verified PIN-code centroids.</w:t>
            </w:r>
          </w:p>
        </w:tc>
      </w:tr>
      <w:tr w:rsidR="00F425DB">
        <w:trPr>
          <w:jc w:val="center"/>
        </w:trPr>
        <w:tc>
          <w:tcPr>
            <w:tcW w:w="1680" w:type="dxa"/>
          </w:tcPr>
          <w:p w:rsidR="00F425DB" w:rsidRDefault="003E2421">
            <w:r>
              <w:rPr>
                <w:rFonts w:eastAsia="Calibri" w:cs="Calibri"/>
                <w:b/>
                <w:sz w:val="14"/>
              </w:rPr>
              <w:t>SRC-05</w:t>
            </w:r>
          </w:p>
        </w:tc>
        <w:tc>
          <w:tcPr>
            <w:tcW w:w="1680" w:type="dxa"/>
          </w:tcPr>
          <w:p w:rsidR="00F425DB" w:rsidRDefault="003E2421">
            <w:r>
              <w:rPr>
                <w:rFonts w:eastAsia="Calibri" w:cs="Calibri"/>
                <w:b/>
                <w:sz w:val="14"/>
              </w:rPr>
              <w:t>MoRTH VAHAN 4 Portal</w:t>
            </w:r>
          </w:p>
        </w:tc>
        <w:tc>
          <w:tcPr>
            <w:tcW w:w="1680" w:type="dxa"/>
          </w:tcPr>
          <w:p w:rsidR="00F425DB" w:rsidRDefault="003E2421">
            <w:r>
              <w:rPr>
                <w:rFonts w:eastAsia="Calibri" w:cs="Calibri"/>
                <w:sz w:val="14"/>
              </w:rPr>
              <w:t>19 Oct 2026</w:t>
            </w:r>
          </w:p>
        </w:tc>
        <w:tc>
          <w:tcPr>
            <w:tcW w:w="1680" w:type="dxa"/>
          </w:tcPr>
          <w:p w:rsidR="00F425DB" w:rsidRDefault="003E2421">
            <w:r>
              <w:rPr>
                <w:rFonts w:eastAsia="Calibri" w:cs="Calibri"/>
                <w:sz w:val="14"/>
              </w:rPr>
              <w:t>State / RTO</w:t>
            </w:r>
          </w:p>
        </w:tc>
        <w:tc>
          <w:tcPr>
            <w:tcW w:w="1680" w:type="dxa"/>
          </w:tcPr>
          <w:p w:rsidR="00F425DB" w:rsidRDefault="003E2421">
            <w:r>
              <w:rPr>
                <w:rFonts w:eastAsia="Calibri" w:cs="Calibri"/>
                <w:sz w:val="14"/>
              </w:rPr>
              <w:t xml:space="preserve">10,689,490 active EVs nationally, 549,153 of them in Delhi across </w:t>
            </w:r>
            <w:r>
              <w:rPr>
                <w:rFonts w:eastAsia="Calibri" w:cs="Calibri"/>
                <w:sz w:val="14"/>
              </w:rPr>
              <w:t>23 zonal RTOs.</w:t>
            </w:r>
          </w:p>
        </w:tc>
        <w:tc>
          <w:tcPr>
            <w:tcW w:w="1680" w:type="dxa"/>
          </w:tcPr>
          <w:p w:rsidR="00F425DB" w:rsidRDefault="003E2421">
            <w:r>
              <w:rPr>
                <w:rFonts w:eastAsia="Calibri" w:cs="Calibri"/>
                <w:sz w:val="14"/>
              </w:rPr>
              <w:t xml:space="preserve">Includes both ELECTRIC(BOV) (6.35M) and PURE EV (4.34M) tags, and separates compliant (7.87M) from </w:t>
            </w:r>
            <w:r>
              <w:rPr>
                <w:rFonts w:eastAsia="Calibri" w:cs="Calibri"/>
                <w:sz w:val="14"/>
              </w:rPr>
              <w:lastRenderedPageBreak/>
              <w:t>non-compliant (2.82M) vehicles.</w:t>
            </w:r>
          </w:p>
        </w:tc>
      </w:tr>
      <w:tr w:rsidR="00F425DB">
        <w:trPr>
          <w:jc w:val="center"/>
        </w:trPr>
        <w:tc>
          <w:tcPr>
            <w:tcW w:w="1680" w:type="dxa"/>
            <w:shd w:val="clear" w:color="auto" w:fill="F2F6FA"/>
          </w:tcPr>
          <w:p w:rsidR="00F425DB" w:rsidRDefault="003E2421">
            <w:r>
              <w:rPr>
                <w:rFonts w:eastAsia="Calibri" w:cs="Calibri"/>
                <w:b/>
                <w:sz w:val="14"/>
              </w:rPr>
              <w:lastRenderedPageBreak/>
              <w:t>SRC-06</w:t>
            </w:r>
          </w:p>
        </w:tc>
        <w:tc>
          <w:tcPr>
            <w:tcW w:w="1680" w:type="dxa"/>
            <w:shd w:val="clear" w:color="auto" w:fill="F2F6FA"/>
          </w:tcPr>
          <w:p w:rsidR="00F425DB" w:rsidRDefault="003E2421">
            <w:r>
              <w:rPr>
                <w:rFonts w:eastAsia="Calibri" w:cs="Calibri"/>
                <w:b/>
                <w:sz w:val="14"/>
              </w:rPr>
              <w:t>OpenStreetMap contributors</w:t>
            </w:r>
          </w:p>
        </w:tc>
        <w:tc>
          <w:tcPr>
            <w:tcW w:w="1680" w:type="dxa"/>
            <w:shd w:val="clear" w:color="auto" w:fill="F2F6FA"/>
          </w:tcPr>
          <w:p w:rsidR="00F425DB" w:rsidRDefault="003E2421">
            <w:r>
              <w:rPr>
                <w:rFonts w:eastAsia="Calibri" w:cs="Calibri"/>
                <w:sz w:val="14"/>
              </w:rPr>
              <w:t>19 Oct 2026</w:t>
            </w:r>
          </w:p>
        </w:tc>
        <w:tc>
          <w:tcPr>
            <w:tcW w:w="1680" w:type="dxa"/>
            <w:shd w:val="clear" w:color="auto" w:fill="F2F6FA"/>
          </w:tcPr>
          <w:p w:rsidR="00F425DB" w:rsidRDefault="003E2421">
            <w:r>
              <w:rPr>
                <w:rFonts w:eastAsia="Calibri" w:cs="Calibri"/>
                <w:sz w:val="14"/>
              </w:rPr>
              <w:t>Multi</w:t>
            </w:r>
          </w:p>
        </w:tc>
        <w:tc>
          <w:tcPr>
            <w:tcW w:w="1680" w:type="dxa"/>
            <w:shd w:val="clear" w:color="auto" w:fill="F2F6FA"/>
          </w:tcPr>
          <w:p w:rsidR="00F425DB" w:rsidRDefault="003E2421">
            <w:r>
              <w:rPr>
                <w:rFonts w:eastAsia="Calibri" w:cs="Calibri"/>
                <w:sz w:val="14"/>
              </w:rPr>
              <w:t>Delhi pilot: 8,087 major-road vectors, 3,534 POIs, and 57</w:t>
            </w:r>
            <w:r>
              <w:rPr>
                <w:rFonts w:eastAsia="Calibri" w:cs="Calibri"/>
                <w:sz w:val="14"/>
              </w:rPr>
              <w:t>6 substations/transformers.</w:t>
            </w:r>
          </w:p>
        </w:tc>
        <w:tc>
          <w:tcPr>
            <w:tcW w:w="1680" w:type="dxa"/>
            <w:shd w:val="clear" w:color="auto" w:fill="F2F6FA"/>
          </w:tcPr>
          <w:p w:rsidR="00F425DB" w:rsidRDefault="003E2421">
            <w:r>
              <w:rPr>
                <w:rFonts w:eastAsia="Calibri" w:cs="Calibri"/>
                <w:sz w:val="14"/>
              </w:rPr>
              <w:t>Used for the Delhi pilot only. Crowdsourced data is not used to rank states nationally.</w:t>
            </w:r>
          </w:p>
        </w:tc>
      </w:tr>
      <w:tr w:rsidR="00F425DB">
        <w:trPr>
          <w:jc w:val="center"/>
        </w:trPr>
        <w:tc>
          <w:tcPr>
            <w:tcW w:w="1680" w:type="dxa"/>
          </w:tcPr>
          <w:p w:rsidR="00F425DB" w:rsidRDefault="003E2421">
            <w:r>
              <w:rPr>
                <w:rFonts w:eastAsia="Calibri" w:cs="Calibri"/>
                <w:b/>
                <w:sz w:val="14"/>
              </w:rPr>
              <w:t>SRC-07</w:t>
            </w:r>
          </w:p>
        </w:tc>
        <w:tc>
          <w:tcPr>
            <w:tcW w:w="1680" w:type="dxa"/>
          </w:tcPr>
          <w:p w:rsidR="00F425DB" w:rsidRDefault="003E2421">
            <w:r>
              <w:rPr>
                <w:rFonts w:eastAsia="Calibri" w:cs="Calibri"/>
                <w:b/>
                <w:sz w:val="14"/>
              </w:rPr>
              <w:t>WorldPop 1 km Population Grid</w:t>
            </w:r>
          </w:p>
        </w:tc>
        <w:tc>
          <w:tcPr>
            <w:tcW w:w="1680" w:type="dxa"/>
          </w:tcPr>
          <w:p w:rsidR="00F425DB" w:rsidRDefault="003E2421">
            <w:r>
              <w:rPr>
                <w:rFonts w:eastAsia="Calibri" w:cs="Calibri"/>
                <w:sz w:val="14"/>
              </w:rPr>
              <w:t>Scaled 2025</w:t>
            </w:r>
          </w:p>
        </w:tc>
        <w:tc>
          <w:tcPr>
            <w:tcW w:w="1680" w:type="dxa"/>
          </w:tcPr>
          <w:p w:rsidR="00F425DB" w:rsidRDefault="003E2421">
            <w:r>
              <w:rPr>
                <w:rFonts w:eastAsia="Calibri" w:cs="Calibri"/>
                <w:sz w:val="14"/>
              </w:rPr>
              <w:t>Raster</w:t>
            </w:r>
          </w:p>
        </w:tc>
        <w:tc>
          <w:tcPr>
            <w:tcW w:w="1680" w:type="dxa"/>
          </w:tcPr>
          <w:p w:rsidR="00F425DB" w:rsidRDefault="003E2421">
            <w:r>
              <w:rPr>
                <w:rFonts w:eastAsia="Calibri" w:cs="Calibri"/>
                <w:sz w:val="14"/>
              </w:rPr>
              <w:t>375 planning cells across Delhi NCT, each roughly 2.0 km × 2.0 km.</w:t>
            </w:r>
          </w:p>
        </w:tc>
        <w:tc>
          <w:tcPr>
            <w:tcW w:w="1680" w:type="dxa"/>
          </w:tcPr>
          <w:p w:rsidR="00F425DB" w:rsidRDefault="003E2421">
            <w:r>
              <w:rPr>
                <w:rFonts w:eastAsia="Calibri" w:cs="Calibri"/>
                <w:sz w:val="14"/>
              </w:rPr>
              <w:t>The 2020 raster totals were scaled to the National Commission on Population's 2025 target of 22,300,000 for Delhi.</w:t>
            </w:r>
          </w:p>
        </w:tc>
      </w:tr>
      <w:tr w:rsidR="00F425DB">
        <w:trPr>
          <w:jc w:val="center"/>
        </w:trPr>
        <w:tc>
          <w:tcPr>
            <w:tcW w:w="1680" w:type="dxa"/>
            <w:shd w:val="clear" w:color="auto" w:fill="F2F6FA"/>
          </w:tcPr>
          <w:p w:rsidR="00F425DB" w:rsidRDefault="003E2421">
            <w:r>
              <w:rPr>
                <w:rFonts w:eastAsia="Calibri" w:cs="Calibri"/>
                <w:b/>
                <w:sz w:val="14"/>
              </w:rPr>
              <w:t>SRC-08</w:t>
            </w:r>
          </w:p>
        </w:tc>
        <w:tc>
          <w:tcPr>
            <w:tcW w:w="1680" w:type="dxa"/>
            <w:shd w:val="clear" w:color="auto" w:fill="F2F6FA"/>
          </w:tcPr>
          <w:p w:rsidR="00F425DB" w:rsidRDefault="003E2421">
            <w:r>
              <w:rPr>
                <w:rFonts w:eastAsia="Calibri" w:cs="Calibri"/>
                <w:b/>
                <w:sz w:val="14"/>
              </w:rPr>
              <w:t>DataMeet Spatial Community</w:t>
            </w:r>
          </w:p>
        </w:tc>
        <w:tc>
          <w:tcPr>
            <w:tcW w:w="1680" w:type="dxa"/>
            <w:shd w:val="clear" w:color="auto" w:fill="F2F6FA"/>
          </w:tcPr>
          <w:p w:rsidR="00F425DB" w:rsidRDefault="003E2421">
            <w:r>
              <w:rPr>
                <w:rFonts w:eastAsia="Calibri" w:cs="Calibri"/>
                <w:sz w:val="14"/>
              </w:rPr>
              <w:t>2019</w:t>
            </w:r>
          </w:p>
        </w:tc>
        <w:tc>
          <w:tcPr>
            <w:tcW w:w="1680" w:type="dxa"/>
            <w:shd w:val="clear" w:color="auto" w:fill="F2F6FA"/>
          </w:tcPr>
          <w:p w:rsidR="00F425DB" w:rsidRDefault="003E2421">
            <w:r>
              <w:rPr>
                <w:rFonts w:eastAsia="Calibri" w:cs="Calibri"/>
                <w:sz w:val="14"/>
              </w:rPr>
              <w:t>Polygon</w:t>
            </w:r>
          </w:p>
        </w:tc>
        <w:tc>
          <w:tcPr>
            <w:tcW w:w="1680" w:type="dxa"/>
            <w:shd w:val="clear" w:color="auto" w:fill="F2F6FA"/>
          </w:tcPr>
          <w:p w:rsidR="00F425DB" w:rsidRDefault="003E2421">
            <w:r>
              <w:rPr>
                <w:rFonts w:eastAsia="Calibri" w:cs="Calibri"/>
                <w:sz w:val="14"/>
              </w:rPr>
              <w:t>Boundaries for 36 States/UTs and Delhi's 9 census districts (CC BY 4.0).</w:t>
            </w:r>
          </w:p>
        </w:tc>
        <w:tc>
          <w:tcPr>
            <w:tcW w:w="1680" w:type="dxa"/>
            <w:shd w:val="clear" w:color="auto" w:fill="F2F6FA"/>
          </w:tcPr>
          <w:p w:rsidR="00F425DB" w:rsidRDefault="003E2421">
            <w:r>
              <w:rPr>
                <w:rFonts w:eastAsia="Calibri" w:cs="Calibri"/>
                <w:sz w:val="14"/>
              </w:rPr>
              <w:t>Standardized boundar</w:t>
            </w:r>
            <w:r>
              <w:rPr>
                <w:rFonts w:eastAsia="Calibri" w:cs="Calibri"/>
                <w:sz w:val="14"/>
              </w:rPr>
              <w:t>y polygons determine which spatial area each feature falls in.</w:t>
            </w:r>
          </w:p>
        </w:tc>
      </w:tr>
    </w:tbl>
    <w:p w:rsidR="00F425DB" w:rsidRDefault="00F425DB"/>
    <w:p w:rsidR="00F425DB" w:rsidRDefault="003E2421">
      <w:pPr>
        <w:pStyle w:val="Heading3"/>
      </w:pPr>
      <w:r>
        <w:rPr>
          <w:rFonts w:ascii="Calibri" w:eastAsia="Calibri" w:hAnsi="Calibri" w:cs="Calibri"/>
        </w:rPr>
        <w:t>2.3 Automated Data-Invariant Checks</w:t>
      </w:r>
    </w:p>
    <w:p w:rsidR="00F425DB" w:rsidRDefault="003E2421">
      <w:r>
        <w:rPr>
          <w:rFonts w:eastAsia="Calibri" w:cs="Calibri"/>
        </w:rPr>
        <w:t>Before processed data is loaded into the web application, scripts/validate_processed_data.py checks it. The current run passes all 28 of 28 assertions:</w:t>
      </w:r>
    </w:p>
    <w:p w:rsidR="00F425DB" w:rsidRDefault="003E2421">
      <w:pPr>
        <w:pStyle w:val="ListBullet"/>
      </w:pPr>
      <w:r>
        <w:rPr>
          <w:rFonts w:eastAsia="Calibri" w:cs="Calibri"/>
        </w:rPr>
        <w:t>National totals by state (N=36): VAHAN = 10,689,490; BEE rows = 39,641; OMC chargers = 27,737.</w:t>
      </w:r>
    </w:p>
    <w:p w:rsidR="00F425DB" w:rsidRDefault="003E2421">
      <w:pPr>
        <w:pStyle w:val="ListBullet"/>
      </w:pPr>
      <w:r>
        <w:rPr>
          <w:rFonts w:eastAsia="Calibri" w:cs="Calibri"/>
        </w:rPr>
        <w:t>Delhi district checks (N=9): RTO total = 549,153; deduplicated Switch Delhi locations = 876.</w:t>
      </w:r>
    </w:p>
    <w:p w:rsidR="00F425DB" w:rsidRDefault="003E2421">
      <w:pPr>
        <w:pStyle w:val="ListBullet"/>
      </w:pPr>
      <w:r>
        <w:rPr>
          <w:rFonts w:eastAsia="Calibri" w:cs="Calibri"/>
        </w:rPr>
        <w:t>Statistical checks: Spatial ML R² &gt; 0.70; Bass S-curve R² &gt; 0.95; se</w:t>
      </w:r>
      <w:r>
        <w:rPr>
          <w:rFonts w:eastAsia="Calibri" w:cs="Calibri"/>
        </w:rPr>
        <w:t>lected hubs = 25.</w:t>
      </w:r>
    </w:p>
    <w:p w:rsidR="00F425DB" w:rsidRDefault="003E2421">
      <w:pPr>
        <w:pStyle w:val="Heading2"/>
      </w:pPr>
      <w:r>
        <w:rPr>
          <w:rFonts w:ascii="Calibri" w:eastAsia="Calibri" w:hAnsi="Calibri" w:cs="Calibri"/>
        </w:rPr>
        <w:t>3. Technical Approach &amp; Analytical Methodology (25%)</w:t>
      </w:r>
    </w:p>
    <w:p w:rsidR="00F425DB" w:rsidRDefault="003E2421">
      <w:pPr>
        <w:pStyle w:val="Heading3"/>
      </w:pPr>
      <w:r>
        <w:rPr>
          <w:rFonts w:ascii="Calibri" w:eastAsia="Calibri" w:hAnsi="Calibri" w:cs="Calibri"/>
        </w:rPr>
        <w:t>3.1 Correcting the Burari Commercial-Fleet Registration Bias</w:t>
      </w:r>
    </w:p>
    <w:p w:rsidR="00F425DB" w:rsidRDefault="003E2421">
      <w:r>
        <w:rPr>
          <w:rFonts w:eastAsia="Calibri" w:cs="Calibri"/>
        </w:rPr>
        <w:t>Commercial registrations pile up at the Burari RTOs (DL-1Y/1Z), which distorts the picture of where vehicles actually operat</w:t>
      </w:r>
      <w:r>
        <w:rPr>
          <w:rFonts w:eastAsia="Calibri" w:cs="Calibri"/>
        </w:rPr>
        <w:t>e. To correct for this, GridSight EV spreads estimated commercial-vehicle activity (three-wheelers, four-wheel cabs, and electric goods vehicles) across Delhi's nine districts. Three indicators of activity drive the allocation: population, road-network len</w:t>
      </w:r>
      <w:r>
        <w:rPr>
          <w:rFonts w:eastAsia="Calibri" w:cs="Calibri"/>
        </w:rPr>
        <w:t>gth, and commercial and transport points of interest:</w:t>
      </w:r>
    </w:p>
    <w:p w:rsidR="00F425DB" w:rsidRDefault="003E2421">
      <w:pPr>
        <w:spacing w:before="60" w:after="140"/>
        <w:jc w:val="center"/>
      </w:pPr>
      <w:r>
        <w:rPr>
          <w:rFonts w:eastAsia="Calibri" w:cs="Calibri"/>
          <w:b/>
          <w:sz w:val="20"/>
        </w:rPr>
        <w:t>w_district = 0.40 · (P_districtP_total) + 0.30 · (L_roads, districtL_roads, total) + 0.30 · (N_poi, districtN_poi, total) [Eq. 1]</w:t>
      </w:r>
    </w:p>
    <w:p w:rsidR="00F425DB" w:rsidRDefault="003E2421">
      <w:r>
        <w:rPr>
          <w:rFonts w:eastAsia="Calibri" w:cs="Calibri"/>
          <w:i/>
        </w:rPr>
        <w:t>Here, P is the 2025 population, L_roads is the total length of major roa</w:t>
      </w:r>
      <w:r>
        <w:rPr>
          <w:rFonts w:eastAsia="Calibri" w:cs="Calibri"/>
          <w:i/>
        </w:rPr>
        <w:t>d centre lines, and N_poi is the number of commercial and transport points of interest. Private two-wheelers stay with their verified zonal RTOs.</w:t>
      </w:r>
    </w:p>
    <w:p w:rsidR="00F425DB" w:rsidRDefault="003E2421">
      <w:pPr>
        <w:pStyle w:val="Heading3"/>
      </w:pPr>
      <w:r>
        <w:rPr>
          <w:rFonts w:ascii="Calibri" w:eastAsia="Calibri" w:hAnsi="Calibri" w:cs="Calibri"/>
        </w:rPr>
        <w:t>3.2 Dividing Delhi into 375 Planning Cells</w:t>
      </w:r>
    </w:p>
    <w:p w:rsidR="00F425DB" w:rsidRDefault="003E2421">
      <w:r>
        <w:rPr>
          <w:rFonts w:eastAsia="Calibri" w:cs="Calibri"/>
        </w:rPr>
        <w:t>Delhi's National Capital Territory is divided into 375 regular grid</w:t>
      </w:r>
      <w:r>
        <w:rPr>
          <w:rFonts w:eastAsia="Calibri" w:cs="Calibri"/>
        </w:rPr>
        <w:t xml:space="preserve"> cells, each about 0.018° of latitude by 0.0205° of longitude (roughly 2 km × 2 km). The bounding box, 28.40°–28.89°N and 76.83°–77.35°E, covers the municipal area as well as the nearby cross-border commuter and freight gateways, including the borders with</w:t>
      </w:r>
      <w:r>
        <w:rPr>
          <w:rFonts w:eastAsia="Calibri" w:cs="Calibri"/>
        </w:rPr>
        <w:t xml:space="preserve"> Gurugram, Noida, Faridabad, and Ghaziabad.</w:t>
      </w:r>
    </w:p>
    <w:p>
      <w:pPr>
        <w:pStyle w:val="Heading3"/>
        <w:spacing w:after="80" w:before="160"/>
      </w:pPr>
      <w:r>
        <w:rPr>
          <w:rFonts w:ascii="Calibri" w:hAnsi="Calibri"/>
          <w:b/>
          <w:i w:val="0"/>
          <w:color w:val="2F5597"/>
          <w:sz w:val="20"/>
        </w:rPr>
        <w:t>3.3 Supervised Machine-Learning Model for Spatial Demand &amp; Latent Carrying Capacity</w:t>
      </w:r>
    </w:p>
    <w:p>
      <w:pPr>
        <w:spacing w:after="80" w:before="40"/>
      </w:pPr>
      <w:r>
        <w:rPr>
          <w:rFonts w:ascii="Calibri" w:hAnsi="Calibri"/>
          <w:b w:val="0"/>
          <w:i w:val="0"/>
          <w:sz w:val="19"/>
        </w:rPr>
        <w:t xml:space="preserve">Rather than relying on arbitrary, hand-picked heuristic weights, GridSight EV trains a supervised </w:t>
      </w:r>
      <w:r>
        <w:rPr>
          <w:rFonts w:ascii="Calibri" w:hAnsi="Calibri"/>
          <w:b/>
          <w:i w:val="0"/>
          <w:sz w:val="19"/>
        </w:rPr>
        <w:t>Random Forest Regressor</w:t>
      </w:r>
      <w:r>
        <w:rPr>
          <w:rFonts w:ascii="Calibri" w:hAnsi="Calibri"/>
          <w:b w:val="0"/>
          <w:i w:val="0"/>
          <w:sz w:val="19"/>
        </w:rPr>
        <w:t xml:space="preserve"> (120 estimators, maximum tree depth 6). The model is trained across all N = 375 spatial planning cells of the National Capital Territory of Delhi (0.01° × 0.01° ≈ 1.1 km × 1.1 km).</w:t>
      </w:r>
    </w:p>
    <w:p>
      <w:pPr>
        <w:spacing w:after="80" w:before="80"/>
      </w:pPr>
      <w:r>
        <w:rPr>
          <w:rFonts w:ascii="Calibri" w:hAnsi="Calibri"/>
          <w:b/>
          <w:i w:val="0"/>
          <w:color w:val="17365D"/>
          <w:sz w:val="19"/>
        </w:rPr>
        <w:t>y_i = 3.5 · N_Switch,i + 2.0 · N_BEE,i + 0.4 · D_heuristic,i  ∈ [0, 100]    [Eq. 2A: Demonstrated Carrying Capacity Target]</w:t>
      </w:r>
    </w:p>
    <w:p>
      <w:pPr>
        <w:spacing w:after="80" w:before="40"/>
      </w:pPr>
      <w:r>
        <w:rPr>
          <w:rFonts w:ascii="Calibri" w:hAnsi="Calibri"/>
          <w:b/>
          <w:i w:val="0"/>
          <w:sz w:val="19"/>
        </w:rPr>
        <w:t xml:space="preserve">Target Variable Formulation &amp; Observations: </w:t>
      </w:r>
      <w:r>
        <w:rPr>
          <w:rFonts w:ascii="Calibri" w:hAnsi="Calibri"/>
          <w:b w:val="0"/>
          <w:i w:val="0"/>
          <w:sz w:val="19"/>
        </w:rPr>
        <w:t xml:space="preserve">The regression target y_i is explicitly formulated as the </w:t>
      </w:r>
      <w:r>
        <w:rPr>
          <w:rFonts w:ascii="Calibri" w:hAnsi="Calibri"/>
          <w:b/>
          <w:i w:val="0"/>
          <w:sz w:val="19"/>
        </w:rPr>
        <w:t>demonstrated spatial carrying capacity</w:t>
      </w:r>
      <w:r>
        <w:rPr>
          <w:rFonts w:ascii="Calibri" w:hAnsi="Calibri"/>
          <w:b w:val="0"/>
          <w:i w:val="0"/>
          <w:sz w:val="19"/>
        </w:rPr>
        <w:t xml:space="preserve"> of each cell, synthesized from empirical charging density. It assigns higher weight to verified, high-utilization municipal chargers (N_Switch) than to self-reported commercial installations (N_BEE), establishing a continuous numerical measure of observed infrastructure concentration. The training dataset comprises all 375 spatial planning cells spanning the 1,483 km² area of Delhi NCT.</w:t>
      </w:r>
    </w:p>
    <w:p>
      <w:pPr>
        <w:spacing w:after="80" w:before="40"/>
      </w:pPr>
      <w:r>
        <w:rPr>
          <w:rFonts w:ascii="Calibri" w:hAnsi="Calibri"/>
          <w:b/>
          <w:i w:val="0"/>
          <w:sz w:val="19"/>
        </w:rPr>
        <w:t xml:space="preserve">Translating Predicted Carrying Capacity into Unmet Demand: </w:t>
      </w:r>
      <w:r>
        <w:rPr>
          <w:rFonts w:ascii="Calibri" w:hAnsi="Calibri"/>
          <w:b w:val="0"/>
          <w:i w:val="0"/>
          <w:sz w:val="19"/>
        </w:rPr>
        <w:t xml:space="preserve">A critical methodological distinction must be made: the Random Forest regressor predicts D_AI,i ∈ [0, 100], which represents an area's </w:t>
      </w:r>
      <w:r>
        <w:rPr>
          <w:rFonts w:ascii="Calibri" w:hAnsi="Calibri"/>
          <w:b/>
          <w:i w:val="0"/>
          <w:sz w:val="19"/>
        </w:rPr>
        <w:t>latent commercial carrying capacity</w:t>
      </w:r>
      <w:r>
        <w:rPr>
          <w:rFonts w:ascii="Calibri" w:hAnsi="Calibri"/>
          <w:b w:val="0"/>
          <w:i w:val="0"/>
          <w:sz w:val="19"/>
        </w:rPr>
        <w:t xml:space="preserve"> based on urban activity, transit density, and road connectivity—</w:t>
      </w:r>
      <w:r>
        <w:rPr>
          <w:rFonts w:ascii="Calibri" w:hAnsi="Calibri"/>
          <w:b/>
          <w:i w:val="0"/>
          <w:sz w:val="19"/>
        </w:rPr>
        <w:t>not unmet demand directly</w:t>
      </w:r>
      <w:r>
        <w:rPr>
          <w:rFonts w:ascii="Calibri" w:hAnsi="Calibri"/>
          <w:b w:val="0"/>
          <w:i w:val="0"/>
          <w:sz w:val="19"/>
        </w:rPr>
        <w:t>. If D_AI were used directly as a siting priority, it would merely recreate past investment patterns and reinforce existing spatial misallocations.</w:t>
      </w:r>
    </w:p>
    <w:p>
      <w:pPr>
        <w:spacing w:after="80" w:before="40"/>
      </w:pPr>
      <w:r>
        <w:rPr>
          <w:rFonts w:ascii="Calibri" w:hAnsi="Calibri"/>
          <w:b w:val="0"/>
          <w:i w:val="0"/>
          <w:sz w:val="19"/>
        </w:rPr>
        <w:t xml:space="preserve">To translate latent carrying capacity into genuine </w:t>
      </w:r>
      <w:r>
        <w:rPr>
          <w:rFonts w:ascii="Calibri" w:hAnsi="Calibri"/>
          <w:b/>
          <w:i w:val="0"/>
          <w:sz w:val="19"/>
        </w:rPr>
        <w:t>unmet demand priority (S_i)</w:t>
      </w:r>
      <w:r>
        <w:rPr>
          <w:rFonts w:ascii="Calibri" w:hAnsi="Calibri"/>
          <w:b w:val="0"/>
          <w:i w:val="0"/>
          <w:sz w:val="19"/>
        </w:rPr>
        <w:t>, GridSight EV routes D_AI,i through a non-linear spatial accessibility deficit kernel (Equation 3):</w:t>
      </w:r>
    </w:p>
    <w:p>
      <w:pPr>
        <w:spacing w:after="80" w:before="80"/>
      </w:pPr>
      <w:r>
        <w:rPr>
          <w:rFonts w:ascii="Calibri" w:hAnsi="Calibri"/>
          <w:b/>
          <w:i w:val="0"/>
          <w:color w:val="17365D"/>
          <w:sz w:val="19"/>
        </w:rPr>
        <w:t>S_i = D_AI,i · [ 1 - 1 / (1 + (d_i / r)^4) ]    [Eq. 2B: Spatial Accessibility Deficit Translation]</w:t>
      </w:r>
    </w:p>
    <w:p>
      <w:pPr>
        <w:spacing w:after="80" w:before="40"/>
      </w:pPr>
      <w:r>
        <w:rPr>
          <w:rFonts w:ascii="Calibri" w:hAnsi="Calibri"/>
          <w:b w:val="0"/>
          <w:i w:val="0"/>
          <w:sz w:val="19"/>
        </w:rPr>
        <w:t>where d_i is the Euclidean/Haversine distance from cell centroid i to the nearest operational public charging station, and r = 1.5 km represents the target 15-minute urban catchment threshold:</w:t>
      </w:r>
    </w:p>
    <w:p>
      <w:pPr>
        <w:pStyle w:val="ListBullet"/>
        <w:spacing w:after="80" w:before="40"/>
      </w:pPr>
      <w:r>
        <w:rPr>
          <w:rFonts w:ascii="Calibri" w:hAnsi="Calibri"/>
          <w:b/>
          <w:i w:val="0"/>
          <w:sz w:val="19"/>
        </w:rPr>
        <w:t xml:space="preserve">Well-Served Cells (d_i ≪ r): </w:t>
      </w:r>
      <w:r>
        <w:rPr>
          <w:rFonts w:ascii="Calibri" w:hAnsi="Calibri"/>
          <w:b w:val="0"/>
          <w:i w:val="0"/>
          <w:sz w:val="19"/>
        </w:rPr>
        <w:t>As distance approaches zero, the deficit multiplier [1 - 1/(1 + (d_i/r)^4)] → 0. Even if a central commercial hub exhibits maximum latent carrying capacity (D_AI ≈ 100), its unmet priority drops to S_i ≈ 0, preventing redundant over-clustering.</w:t>
      </w:r>
    </w:p>
    <w:p>
      <w:pPr>
        <w:pStyle w:val="ListBullet"/>
        <w:spacing w:after="80" w:before="40"/>
      </w:pPr>
      <w:r>
        <w:rPr>
          <w:rFonts w:ascii="Calibri" w:hAnsi="Calibri"/>
          <w:b/>
          <w:i w:val="0"/>
          <w:sz w:val="19"/>
        </w:rPr>
        <w:t xml:space="preserve">Underserved Peripheral Corridors (d_i ≥ r): </w:t>
      </w:r>
      <w:r>
        <w:rPr>
          <w:rFonts w:ascii="Calibri" w:hAnsi="Calibri"/>
          <w:b w:val="0"/>
          <w:i w:val="0"/>
          <w:sz w:val="19"/>
        </w:rPr>
        <w:t>As distance exceeds the service radius, the deficit multiplier approaches 1.0, allowing the full latent carrying capacity to register as urgent unmet demand (S_i → D_AI).</w:t>
      </w:r>
    </w:p>
    <w:p>
      <w:pPr>
        <w:spacing w:after="80" w:before="40"/>
      </w:pPr>
      <w:r>
        <w:rPr>
          <w:rFonts w:ascii="Calibri" w:hAnsi="Calibri"/>
          <w:b w:val="0"/>
          <w:i w:val="0"/>
          <w:sz w:val="19"/>
        </w:rPr>
        <w:t xml:space="preserve">Consequently, the Random Forest model predicts </w:t>
      </w:r>
      <w:r>
        <w:rPr>
          <w:rFonts w:ascii="Calibri" w:hAnsi="Calibri"/>
          <w:b/>
          <w:i w:val="0"/>
          <w:sz w:val="19"/>
        </w:rPr>
        <w:t>where EV infrastructure can be commercially and operationally sustained</w:t>
      </w:r>
      <w:r>
        <w:rPr>
          <w:rFonts w:ascii="Calibri" w:hAnsi="Calibri"/>
          <w:b w:val="0"/>
          <w:i w:val="0"/>
          <w:sz w:val="19"/>
        </w:rPr>
        <w:t xml:space="preserve">, while the spatial accessibility kernel determines </w:t>
      </w:r>
      <w:r>
        <w:rPr>
          <w:rFonts w:ascii="Calibri" w:hAnsi="Calibri"/>
          <w:b/>
          <w:i w:val="0"/>
          <w:sz w:val="19"/>
        </w:rPr>
        <w:t>where it is currently lacking</w:t>
      </w:r>
      <w:r>
        <w:rPr>
          <w:rFonts w:ascii="Calibri" w:hAnsi="Calibri"/>
          <w:b w:val="0"/>
          <w:i w:val="0"/>
          <w:sz w:val="19"/>
        </w:rPr>
        <w:t>.</w:t>
      </w:r>
    </w:p>
    <w:p>
      <w:pPr>
        <w:spacing w:after="80" w:before="40"/>
      </w:pPr>
      <w:r>
        <w:rPr>
          <w:rFonts w:ascii="Calibri" w:hAnsi="Calibri"/>
          <w:b/>
          <w:i w:val="0"/>
          <w:sz w:val="19"/>
        </w:rPr>
        <w:t xml:space="preserve">Validation Protocol and Cross-Validation Generalization: </w:t>
      </w:r>
      <w:r>
        <w:rPr>
          <w:rFonts w:ascii="Calibri" w:hAnsi="Calibri"/>
          <w:b w:val="0"/>
          <w:i w:val="0"/>
          <w:sz w:val="19"/>
        </w:rPr>
        <w:t>Model validation was conducted using a 5-fold cross-validation scheme (k=5, random seed 42) with spatial stratification across the 375 planning cells:</w:t>
      </w:r>
    </w:p>
    <w:p>
      <w:pPr>
        <w:pStyle w:val="ListBullet"/>
        <w:spacing w:after="80" w:before="40"/>
      </w:pPr>
      <w:r>
        <w:rPr>
          <w:rFonts w:ascii="Calibri" w:hAnsi="Calibri"/>
          <w:b/>
          <w:i w:val="0"/>
          <w:sz w:val="19"/>
        </w:rPr>
        <w:t xml:space="preserve">Resubstitution Performance: </w:t>
      </w:r>
      <w:r>
        <w:rPr>
          <w:rFonts w:ascii="Calibri" w:hAnsi="Calibri"/>
          <w:b w:val="0"/>
          <w:i w:val="0"/>
          <w:sz w:val="19"/>
        </w:rPr>
        <w:t>Training across the full dataset yields R² = 0.796, Mean Absolute Error (MAE) = 5.85, and Root Mean Squared Error (RMSE) = 8.42.</w:t>
      </w:r>
    </w:p>
    <w:p>
      <w:pPr>
        <w:pStyle w:val="ListBullet"/>
        <w:spacing w:after="80" w:before="40"/>
      </w:pPr>
      <w:r>
        <w:rPr>
          <w:rFonts w:ascii="Calibri" w:hAnsi="Calibri"/>
          <w:b/>
          <w:i w:val="0"/>
          <w:sz w:val="19"/>
        </w:rPr>
        <w:t xml:space="preserve">Out-of-Fold Generalization: </w:t>
      </w:r>
      <w:r>
        <w:rPr>
          <w:rFonts w:ascii="Calibri" w:hAnsi="Calibri"/>
          <w:b w:val="0"/>
          <w:i w:val="0"/>
          <w:sz w:val="19"/>
        </w:rPr>
        <w:t>5-fold cross-validation yields an average out-of-fold R²_CV = 0.333 ± 0.096 with out-of-fold MAE = 8.12. The divergence between resubstitution fit and out-of-fold generalization is expected in spatial regression problems due to spatial autocorrelation and high land-use heterogeneity between dense central wards and peripheral agricultural/industrial fringe wards.</w:t>
      </w:r>
    </w:p>
    <w:p>
      <w:pPr>
        <w:spacing w:after="80" w:before="40"/>
      </w:pPr>
      <w:r>
        <w:rPr>
          <w:rFonts w:ascii="Calibri" w:hAnsi="Calibri"/>
          <w:b/>
          <w:i w:val="0"/>
          <w:sz w:val="19"/>
        </w:rPr>
        <w:t xml:space="preserve">Observed Empirical Feature Importance: </w:t>
      </w:r>
      <w:r>
        <w:rPr>
          <w:rFonts w:ascii="Calibri" w:hAnsi="Calibri"/>
          <w:b w:val="0"/>
          <w:i w:val="0"/>
          <w:sz w:val="19"/>
        </w:rPr>
        <w:t>Feature attribution across the 120 decision trees indicates:</w:t>
      </w:r>
    </w:p>
    <w:p>
      <w:pPr>
        <w:pStyle w:val="ListBullet"/>
        <w:spacing w:after="80" w:before="40"/>
      </w:pPr>
      <w:r>
        <w:rPr>
          <w:rFonts w:ascii="Calibri" w:hAnsi="Calibri"/>
          <w:b/>
          <w:i w:val="0"/>
          <w:sz w:val="19"/>
        </w:rPr>
        <w:t xml:space="preserve">Population density (WorldPop): </w:t>
      </w:r>
      <w:r>
        <w:rPr>
          <w:rFonts w:ascii="Calibri" w:hAnsi="Calibri"/>
          <w:b w:val="0"/>
          <w:i w:val="0"/>
          <w:sz w:val="19"/>
        </w:rPr>
        <w:t>49.65% — captures baseline residential overnight charging demand.</w:t>
      </w:r>
    </w:p>
    <w:p>
      <w:pPr>
        <w:pStyle w:val="ListBullet"/>
        <w:spacing w:after="80" w:before="40"/>
      </w:pPr>
      <w:r>
        <w:rPr>
          <w:rFonts w:ascii="Calibri" w:hAnsi="Calibri"/>
          <w:b/>
          <w:i w:val="0"/>
          <w:sz w:val="19"/>
        </w:rPr>
        <w:t xml:space="preserve">Commercial and activity POIs: </w:t>
      </w:r>
      <w:r>
        <w:rPr>
          <w:rFonts w:ascii="Calibri" w:hAnsi="Calibri"/>
          <w:b w:val="0"/>
          <w:i w:val="0"/>
          <w:sz w:val="19"/>
        </w:rPr>
        <w:t>22.67% — indicates daytime destination charging and dwell-time activity.</w:t>
      </w:r>
    </w:p>
    <w:p>
      <w:pPr>
        <w:pStyle w:val="ListBullet"/>
        <w:spacing w:after="80" w:before="40"/>
      </w:pPr>
      <w:r>
        <w:rPr>
          <w:rFonts w:ascii="Calibri" w:hAnsi="Calibri"/>
          <w:b/>
          <w:i w:val="0"/>
          <w:sz w:val="19"/>
        </w:rPr>
        <w:t xml:space="preserve">Distance to feeder substation: </w:t>
      </w:r>
      <w:r>
        <w:rPr>
          <w:rFonts w:ascii="Calibri" w:hAnsi="Calibri"/>
          <w:b w:val="0"/>
          <w:i w:val="0"/>
          <w:sz w:val="19"/>
        </w:rPr>
        <w:t>9.14% — proxies distribution interconnection proximity.</w:t>
      </w:r>
    </w:p>
    <w:p>
      <w:pPr>
        <w:pStyle w:val="ListBullet"/>
        <w:spacing w:after="80" w:before="40"/>
      </w:pPr>
      <w:r>
        <w:rPr>
          <w:rFonts w:ascii="Calibri" w:hAnsi="Calibri"/>
          <w:b/>
          <w:i w:val="0"/>
          <w:sz w:val="19"/>
        </w:rPr>
        <w:t xml:space="preserve">Major-road density: </w:t>
      </w:r>
      <w:r>
        <w:rPr>
          <w:rFonts w:ascii="Calibri" w:hAnsi="Calibri"/>
          <w:b w:val="0"/>
          <w:i w:val="0"/>
          <w:sz w:val="19"/>
        </w:rPr>
        <w:t>8.32% — reflects en-route charging opportunities along arterial corridors.</w:t>
      </w:r>
    </w:p>
    <w:p>
      <w:pPr>
        <w:pStyle w:val="ListBullet"/>
        <w:spacing w:after="80" w:before="40"/>
      </w:pPr>
      <w:r>
        <w:rPr>
          <w:rFonts w:ascii="Calibri" w:hAnsi="Calibri"/>
          <w:b/>
          <w:i w:val="0"/>
          <w:sz w:val="19"/>
        </w:rPr>
        <w:t xml:space="preserve">Public-transit interchanges: </w:t>
      </w:r>
      <w:r>
        <w:rPr>
          <w:rFonts w:ascii="Calibri" w:hAnsi="Calibri"/>
          <w:b w:val="0"/>
          <w:i w:val="0"/>
          <w:sz w:val="19"/>
        </w:rPr>
        <w:t>6.69% — marks multi-modal fleet aggregation points (metro stations, bus terminals).</w:t>
      </w:r>
    </w:p>
    <w:p>
      <w:pPr>
        <w:pStyle w:val="ListBullet"/>
        <w:spacing w:after="80" w:before="40"/>
      </w:pPr>
      <w:r>
        <w:rPr>
          <w:rFonts w:ascii="Calibri" w:hAnsi="Calibri"/>
          <w:b/>
          <w:i w:val="0"/>
          <w:sz w:val="19"/>
        </w:rPr>
        <w:t xml:space="preserve">Local substations and distribution-transformer count: </w:t>
      </w:r>
      <w:r>
        <w:rPr>
          <w:rFonts w:ascii="Calibri" w:hAnsi="Calibri"/>
          <w:b w:val="0"/>
          <w:i w:val="0"/>
          <w:sz w:val="19"/>
        </w:rPr>
        <w:t>3.55% — proxies local low-voltage feeder redundancy.</w:t>
      </w:r>
    </w:p>
    <w:p w:rsidR="00F425DB" w:rsidRDefault="003E2421">
      <w:pPr>
        <w:pStyle w:val="Heading3"/>
      </w:pPr>
      <w:r>
        <w:rPr>
          <w:rFonts w:ascii="Calibri" w:eastAsia="Calibri" w:hAnsi="Calibri" w:cs="Calibri"/>
        </w:rPr>
        <w:lastRenderedPageBreak/>
        <w:t>3.4 Smooth Sigmoid Distance-Decay Function</w:t>
      </w:r>
    </w:p>
    <w:p w:rsidR="00F425DB" w:rsidRDefault="003E2421">
      <w:r>
        <w:rPr>
          <w:rFonts w:eastAsia="Calibri" w:cs="Calibri"/>
        </w:rPr>
        <w:t>A fixed circular buffer creates a hard boundary: a location just inside the radius gets a different score from one just outside it. GridSight EV uses a continuous sigmoid distan</w:t>
      </w:r>
      <w:r>
        <w:rPr>
          <w:rFonts w:eastAsia="Calibri" w:cs="Calibri"/>
        </w:rPr>
        <w:t>ce-decay function instead, so priority shifts gradually with distance:</w:t>
      </w:r>
    </w:p>
    <w:p w:rsidR="00F425DB" w:rsidRDefault="003E2421">
      <w:pPr>
        <w:spacing w:before="60" w:after="140"/>
        <w:jc w:val="center"/>
      </w:pPr>
      <w:r>
        <w:rPr>
          <w:rFonts w:eastAsia="Calibri" w:cs="Calibri"/>
          <w:b/>
          <w:sz w:val="20"/>
        </w:rPr>
        <w:t>S = D_AI · [ 1 - 11 + (dr)^4 ] [Eq. 3]</w:t>
      </w:r>
    </w:p>
    <w:p w:rsidR="00F425DB" w:rsidRDefault="003E2421">
      <w:pPr>
        <w:pStyle w:val="ListBullet"/>
      </w:pPr>
      <w:r>
        <w:rPr>
          <w:rFonts w:eastAsia="Calibri" w:cs="Calibri"/>
        </w:rPr>
        <w:t>When d is much smaller than r, S approaches 0, meaning the location sits inside an adequately served catchment.</w:t>
      </w:r>
    </w:p>
    <w:p w:rsidR="00F425DB" w:rsidRDefault="003E2421">
      <w:pPr>
        <w:pStyle w:val="ListBullet"/>
      </w:pPr>
      <w:r>
        <w:rPr>
          <w:rFonts w:eastAsia="Calibri" w:cs="Calibri"/>
        </w:rPr>
        <w:t xml:space="preserve">When d = r, S equals 0.50 × D_AI, </w:t>
      </w:r>
      <w:r>
        <w:rPr>
          <w:rFonts w:eastAsia="Calibri" w:cs="Calibri"/>
        </w:rPr>
        <w:t>the half-maximum score at the threshold.</w:t>
      </w:r>
    </w:p>
    <w:p w:rsidR="00F425DB" w:rsidRDefault="003E2421">
      <w:pPr>
        <w:pStyle w:val="ListBullet"/>
      </w:pPr>
      <w:r>
        <w:rPr>
          <w:rFonts w:eastAsia="Calibri" w:cs="Calibri"/>
        </w:rPr>
        <w:t>When d is much greater than r, S approaches D_AI, showing a larger service gap beyond the catchment.</w:t>
      </w:r>
    </w:p>
    <w:p>
      <w:pPr>
        <w:pStyle w:val="Heading3"/>
        <w:spacing w:after="80" w:before="160"/>
      </w:pPr>
      <w:r>
        <w:rPr>
          <w:rFonts w:ascii="Calibri" w:hAnsi="Calibri"/>
          <w:b/>
          <w:i w:val="0"/>
          <w:color w:val="2F5597"/>
          <w:sz w:val="20"/>
        </w:rPr>
        <w:t>3.5 Forecasting EV Adoption with the Bass Diffusion S-Curve</w:t>
      </w:r>
    </w:p>
    <w:p>
      <w:pPr>
        <w:spacing w:after="80" w:before="40"/>
      </w:pPr>
      <w:r>
        <w:rPr>
          <w:rFonts w:ascii="Calibri" w:hAnsi="Calibri"/>
          <w:b w:val="0"/>
          <w:i w:val="0"/>
          <w:sz w:val="19"/>
        </w:rPr>
        <w:t xml:space="preserve">A fixed linear growth multiplier is an inadequate way to model technology transitions, as it ignores adoption saturation and peer effects. GridSight EV calibrates the classical </w:t>
      </w:r>
      <w:r>
        <w:rPr>
          <w:rFonts w:ascii="Calibri" w:hAnsi="Calibri"/>
          <w:b/>
          <w:i w:val="0"/>
          <w:sz w:val="19"/>
        </w:rPr>
        <w:t>Bass Diffusion Model</w:t>
      </w:r>
      <w:r>
        <w:rPr>
          <w:rFonts w:ascii="Calibri" w:hAnsi="Calibri"/>
          <w:b w:val="0"/>
          <w:i w:val="0"/>
          <w:sz w:val="19"/>
        </w:rPr>
        <w:t xml:space="preserve"> of innovation adoption to the historical national EV registration time-series:</w:t>
      </w:r>
    </w:p>
    <w:p>
      <w:pPr>
        <w:spacing w:after="80" w:before="80"/>
      </w:pPr>
      <w:r>
        <w:rPr>
          <w:rFonts w:ascii="Calibri" w:hAnsi="Calibri"/>
          <w:b/>
          <w:i w:val="0"/>
          <w:color w:val="17365D"/>
          <w:sz w:val="19"/>
        </w:rPr>
        <w:t>F(t) = M · [1 - e^{-(p+q)t}] / [1 + (q/p)·e^{-(p+q)t}]    [Eq. 4: Bass Diffusion Adoption Curve]</w:t>
      </w:r>
    </w:p>
    <w:p>
      <w:pPr>
        <w:spacing w:after="80" w:before="40"/>
      </w:pPr>
      <w:r>
        <w:rPr>
          <w:rFonts w:ascii="Calibri" w:hAnsi="Calibri"/>
          <w:b/>
          <w:i w:val="0"/>
          <w:sz w:val="19"/>
        </w:rPr>
        <w:t xml:space="preserve">Calibration Period &amp; Fitting Procedure: </w:t>
      </w:r>
      <w:r>
        <w:rPr>
          <w:rFonts w:ascii="Calibri" w:hAnsi="Calibri"/>
          <w:b w:val="0"/>
          <w:i w:val="0"/>
          <w:sz w:val="19"/>
        </w:rPr>
        <w:t>Parameters are rigorously calibrated against empirical data rather than assumed:</w:t>
      </w:r>
    </w:p>
    <w:p>
      <w:pPr>
        <w:pStyle w:val="ListBullet"/>
        <w:spacing w:after="80" w:before="40"/>
      </w:pPr>
      <w:r>
        <w:rPr>
          <w:rFonts w:ascii="Calibri" w:hAnsi="Calibri"/>
          <w:b/>
          <w:i w:val="0"/>
          <w:sz w:val="19"/>
        </w:rPr>
        <w:t xml:space="preserve">Calibration Period: </w:t>
      </w:r>
      <w:r>
        <w:rPr>
          <w:rFonts w:ascii="Calibri" w:hAnsi="Calibri"/>
          <w:b w:val="0"/>
          <w:i w:val="0"/>
          <w:sz w:val="19"/>
        </w:rPr>
        <w:t>Fitted over 9 annual empirical observations (2018–2026) obtained from the MoRTH VAHAN 4 national registration portal, tracking India's cumulative registered EV fleet from 0.12M vehicles in 2018 to 10.69M vehicles by early 2026.</w:t>
      </w:r>
    </w:p>
    <w:p>
      <w:pPr>
        <w:pStyle w:val="ListBullet"/>
        <w:spacing w:after="80" w:before="40"/>
      </w:pPr>
      <w:r>
        <w:rPr>
          <w:rFonts w:ascii="Calibri" w:hAnsi="Calibri"/>
          <w:b/>
          <w:i w:val="0"/>
          <w:sz w:val="19"/>
        </w:rPr>
        <w:t xml:space="preserve">Non-Linear Least Squares (NLLS) Fitting: </w:t>
      </w:r>
      <w:r>
        <w:rPr>
          <w:rFonts w:ascii="Calibri" w:hAnsi="Calibri"/>
          <w:b w:val="0"/>
          <w:i w:val="0"/>
          <w:sz w:val="19"/>
        </w:rPr>
        <w:t>Parameters are estimated via SciPy's Trust Region Reflective (trf) algorithm with bounded parameter domains (p ∈ [0.001, 0.05], q ∈ [0.1, 0.8], M ∈ [15.0M, 25.0M]), minimizing the residual sum of squares: min Σ [Y(t) - F(t; p, q, M)]².</w:t>
      </w:r>
    </w:p>
    <w:p>
      <w:pPr>
        <w:pStyle w:val="ListBullet"/>
        <w:spacing w:after="80" w:before="40"/>
      </w:pPr>
      <w:r>
        <w:rPr>
          <w:rFonts w:ascii="Calibri" w:hAnsi="Calibri"/>
          <w:b/>
          <w:i w:val="0"/>
          <w:sz w:val="19"/>
        </w:rPr>
        <w:t xml:space="preserve">Calibrated Model Parameters (R² = 0.992, RMSE = 0.14M): </w:t>
      </w:r>
      <w:r>
        <w:rPr>
          <w:rFonts w:ascii="Calibri" w:hAnsi="Calibri"/>
          <w:b w:val="0"/>
          <w:i w:val="0"/>
          <w:sz w:val="19"/>
        </w:rPr>
        <w:t>Innovation coefficient (p) = 0.0114 (adoption driven by central policy, purchase subsidies like FAME-II/PM E-DRIVE, and early adopters); Imitation coefficient (q) = 0.4963 (peer influence, word of mouth, commercial TCO parity, and charging network visibility).</w:t>
      </w:r>
    </w:p>
    <w:p>
      <w:pPr>
        <w:spacing w:after="80" w:before="40"/>
      </w:pPr>
      <w:r>
        <w:rPr>
          <w:rFonts w:ascii="Calibri" w:hAnsi="Calibri"/>
          <w:b/>
          <w:i w:val="0"/>
          <w:sz w:val="19"/>
        </w:rPr>
        <w:t xml:space="preserve">Justification for National Market Ceiling (M = 20.0 Million EVs): </w:t>
      </w:r>
      <w:r>
        <w:rPr>
          <w:rFonts w:ascii="Calibri" w:hAnsi="Calibri"/>
          <w:b w:val="0"/>
          <w:i w:val="0"/>
          <w:sz w:val="19"/>
        </w:rPr>
        <w:t xml:space="preserve">The assumed national ceiling M = 20.0M is directly anchored to Government of India policy commitments under NITI Aayog's </w:t>
      </w:r>
      <w:r>
        <w:rPr>
          <w:rFonts w:ascii="Calibri" w:hAnsi="Calibri"/>
          <w:b/>
          <w:i w:val="0"/>
          <w:sz w:val="19"/>
        </w:rPr>
        <w:t>EV30@30 roadmap</w:t>
      </w:r>
      <w:r>
        <w:rPr>
          <w:rFonts w:ascii="Calibri" w:hAnsi="Calibri"/>
          <w:b w:val="0"/>
          <w:i w:val="0"/>
          <w:sz w:val="19"/>
        </w:rPr>
        <w:t xml:space="preserve"> (targeting 30% private automobile, 70% commercial light vehicle, and 80% 2W/3W electric penetration by 2030), which translates to an operational fleet of 18 to 22 million active EVs nationwide between 2030 and 2032. Delhi NCT's localized EV fleet is calibrated at 5.14% of the national cumulative total (based on historical VAHAN RTO share), yielding an expected active fleet of </w:t>
      </w:r>
      <w:r>
        <w:rPr>
          <w:rFonts w:ascii="Calibri" w:hAnsi="Calibri"/>
          <w:b/>
          <w:i w:val="0"/>
          <w:sz w:val="19"/>
        </w:rPr>
        <w:t>933,751 EVs in Delhi by 2030</w:t>
      </w:r>
      <w:r>
        <w:rPr>
          <w:rFonts w:ascii="Calibri" w:hAnsi="Calibri"/>
          <w:b w:val="0"/>
          <w:i w:val="0"/>
          <w:sz w:val="19"/>
        </w:rPr>
        <w:t>.</w:t>
      </w:r>
    </w:p>
    <w:p>
      <w:pPr>
        <w:spacing w:after="80" w:before="40"/>
      </w:pPr>
      <w:r>
        <w:rPr>
          <w:rFonts w:ascii="Calibri" w:hAnsi="Calibri"/>
          <w:b/>
          <w:i w:val="0"/>
          <w:sz w:val="19"/>
        </w:rPr>
        <w:t xml:space="preserve">Adoption Projections and Fleet Forecasts (with P10/P90 Uncertainty Bands): </w:t>
      </w:r>
      <w:r>
        <w:rPr>
          <w:rFonts w:ascii="Calibri" w:hAnsi="Calibri"/>
          <w:b w:val="0"/>
          <w:i w:val="0"/>
          <w:sz w:val="19"/>
        </w:rPr>
        <w:t>Fleet trajectories project substantial non-linear scaling across planning horizons:</w:t>
      </w:r>
    </w:p>
    <w:p>
      <w:pPr>
        <w:pStyle w:val="ListBullet"/>
        <w:spacing w:after="80" w:before="40"/>
      </w:pPr>
      <w:r>
        <w:rPr>
          <w:rFonts w:ascii="Calibri" w:hAnsi="Calibri"/>
          <w:b/>
          <w:i w:val="0"/>
          <w:sz w:val="19"/>
        </w:rPr>
        <w:t xml:space="preserve">2026 Baseline: </w:t>
      </w:r>
      <w:r>
        <w:rPr>
          <w:rFonts w:ascii="Calibri" w:hAnsi="Calibri"/>
          <w:b w:val="0"/>
          <w:i w:val="0"/>
          <w:sz w:val="19"/>
        </w:rPr>
        <w:t>10.69 million EVs nationally and 549,153 active registered EVs in Delhi NCT.</w:t>
      </w:r>
    </w:p>
    <w:p>
      <w:pPr>
        <w:pStyle w:val="ListBullet"/>
        <w:spacing w:after="80" w:before="40"/>
      </w:pPr>
      <w:r>
        <w:rPr>
          <w:rFonts w:ascii="Calibri" w:hAnsi="Calibri"/>
          <w:b/>
          <w:i w:val="0"/>
          <w:sz w:val="19"/>
        </w:rPr>
        <w:t xml:space="preserve">2028 Projection: </w:t>
      </w:r>
      <w:r>
        <w:rPr>
          <w:rFonts w:ascii="Calibri" w:hAnsi="Calibri"/>
          <w:b w:val="0"/>
          <w:i w:val="0"/>
          <w:sz w:val="19"/>
        </w:rPr>
        <w:t>15.63 million EVs nationally (P10: 12.23M; P90: 18.71M) and 803,300 active EVs in Delhi NCT.</w:t>
      </w:r>
    </w:p>
    <w:p>
      <w:pPr>
        <w:pStyle w:val="ListBullet"/>
        <w:spacing w:after="80" w:before="40"/>
      </w:pPr>
      <w:r>
        <w:rPr>
          <w:rFonts w:ascii="Calibri" w:hAnsi="Calibri"/>
          <w:b/>
          <w:i w:val="0"/>
          <w:sz w:val="19"/>
        </w:rPr>
        <w:t xml:space="preserve">2030 Projection: </w:t>
      </w:r>
      <w:r>
        <w:rPr>
          <w:rFonts w:ascii="Calibri" w:hAnsi="Calibri"/>
          <w:b w:val="0"/>
          <w:i w:val="0"/>
          <w:sz w:val="19"/>
        </w:rPr>
        <w:t>18.17 million EVs nationally (P10: 15.27M; P90: 20.58M) and 933,751 active EVs in Delhi NCT.</w:t>
      </w:r>
    </w:p>
    <w:p>
      <w:pPr>
        <w:spacing w:after="120" w:before="80"/>
      </w:pPr>
      <w:r>
        <w:rPr>
          <w:rFonts w:ascii="Calibri" w:hAnsi="Calibri"/>
          <w:b/>
          <w:i w:val="0"/>
          <w:sz w:val="19"/>
        </w:rPr>
        <w:t xml:space="preserve">Distinguishing Fitted Statistical Uncertainty vs. Policy/Macroeconomic Shocks: </w:t>
      </w:r>
      <w:r>
        <w:rPr>
          <w:rFonts w:ascii="Calibri" w:hAnsi="Calibri"/>
          <w:b w:val="0"/>
          <w:i w:val="0"/>
          <w:sz w:val="19"/>
        </w:rPr>
        <w:t xml:space="preserve">The reported P10/P90 confidence intervals represent </w:t>
      </w:r>
      <w:r>
        <w:rPr>
          <w:rFonts w:ascii="Calibri" w:hAnsi="Calibri"/>
          <w:b/>
          <w:i w:val="0"/>
          <w:sz w:val="19"/>
        </w:rPr>
        <w:t>statistical parameter estimation uncertainty</w:t>
      </w:r>
      <w:r>
        <w:rPr>
          <w:rFonts w:ascii="Calibri" w:hAnsi="Calibri"/>
          <w:b w:val="0"/>
          <w:i w:val="0"/>
          <w:sz w:val="19"/>
        </w:rPr>
        <w:t xml:space="preserve">, derived by propagating the parameter covariance matrix of (p, q, M) with ±10% variation on p, ±12% on q, and ±15% on M. Crucially, this statistical fit assumes </w:t>
      </w:r>
      <w:r>
        <w:rPr>
          <w:rFonts w:ascii="Calibri" w:hAnsi="Calibri"/>
          <w:b/>
          <w:i w:val="0"/>
          <w:sz w:val="19"/>
        </w:rPr>
        <w:t>policy regime continuity</w:t>
      </w:r>
      <w:r>
        <w:rPr>
          <w:rFonts w:ascii="Calibri" w:hAnsi="Calibri"/>
          <w:b w:val="0"/>
          <w:i w:val="0"/>
          <w:sz w:val="19"/>
        </w:rPr>
        <w:t>. It does not capture exogenous structural shocks, such as sudden revisions to PM E-DRIVE subsidy allocations, domestic cell battery pack supply-chain cost shocks, or DISCOM tariff restructuring. Consequently, the Bass diffusion curve serves as an extrapolative baseline trajectory; GridSight EV provides interactive Low / Baseline / High scenario switches in the Coverage Planning module to let municipal planners stress-test infrastructure capital against policy fluctuations.</w:t>
      </w:r>
    </w:p>
    <w:p w:rsidR="00F425DB" w:rsidRDefault="003E2421">
      <w:pPr>
        <w:pStyle w:val="Heading3"/>
      </w:pPr>
      <w:r>
        <w:rPr>
          <w:rFonts w:ascii="Calibri" w:eastAsia="Calibri" w:hAnsi="Calibri" w:cs="Calibri"/>
        </w:rPr>
        <w:t>3.6 Estimating Daily Energy Demand and Hardware Requirements</w:t>
      </w:r>
    </w:p>
    <w:p w:rsidR="00F425DB" w:rsidRDefault="003E2421">
      <w:r>
        <w:rPr>
          <w:rFonts w:eastAsia="Calibri" w:cs="Calibri"/>
        </w:rPr>
        <w:t>Daily energy demand is estimated for each vehicle category k (2W, 3W,</w:t>
      </w:r>
      <w:r>
        <w:rPr>
          <w:rFonts w:eastAsia="Calibri" w:cs="Calibri"/>
        </w:rPr>
        <w:t xml:space="preserve"> 4W, buses, and goods vehicles) as follows:</w:t>
      </w:r>
    </w:p>
    <w:p w:rsidR="00F425DB" w:rsidRDefault="003E2421">
      <w:pPr>
        <w:spacing w:before="60" w:after="140"/>
        <w:jc w:val="center"/>
      </w:pPr>
      <w:r>
        <w:rPr>
          <w:rFonts w:eastAsia="Calibri" w:cs="Calibri"/>
          <w:b/>
          <w:sz w:val="20"/>
        </w:rPr>
        <w:t>E_k = V_k,2030 · e_k · φ_k,s (kWh/day) [Eq. 5]</w:t>
      </w:r>
    </w:p>
    <w:p w:rsidR="00F425DB" w:rsidRDefault="003E2421">
      <w:pPr>
        <w:pStyle w:val="ListBullet"/>
      </w:pPr>
      <w:r>
        <w:rPr>
          <w:rFonts w:eastAsia="Calibri" w:cs="Calibri"/>
          <w:b/>
        </w:rPr>
        <w:t>Daily driving-energy assumptions (e_k):</w:t>
      </w:r>
    </w:p>
    <w:p w:rsidR="00F425DB" w:rsidRDefault="003E2421">
      <w:r>
        <w:rPr>
          <w:rFonts w:eastAsia="Calibri" w:cs="Calibri"/>
        </w:rPr>
        <w:t>2W: 1.024 kWh (32 km × 0.032 kWh/km) | 3W: 6.375 kWh (85 km × 0.075 kWh/km) | 4W: 6.96 kWh (48 km × 0.145 kWh/km) | Bus: 207.</w:t>
      </w:r>
      <w:r>
        <w:rPr>
          <w:rFonts w:eastAsia="Calibri" w:cs="Calibri"/>
        </w:rPr>
        <w:t>0 kWh (180 km × 1.15 kWh/km) | Goods: 13.5 kWh (75 km × 0.18 kWh/km).</w:t>
      </w:r>
    </w:p>
    <w:p w:rsidR="00F425DB" w:rsidRDefault="003E2421">
      <w:pPr>
        <w:pStyle w:val="ListBullet"/>
      </w:pPr>
      <w:r>
        <w:rPr>
          <w:rFonts w:eastAsia="Calibri" w:cs="Calibri"/>
          <w:b/>
        </w:rPr>
        <w:t>Share of energy expected to come from public charging (φ_k,s):</w:t>
      </w:r>
    </w:p>
    <w:p w:rsidR="00F425DB" w:rsidRDefault="003E2421">
      <w:r>
        <w:rPr>
          <w:rFonts w:eastAsia="Calibri" w:cs="Calibri"/>
        </w:rPr>
        <w:t>2W: 20% | 3W: 55% | 4W: 35% | Bus: 20% (supported by depot charging) | Goods: 50%.</w:t>
      </w:r>
    </w:p>
    <w:p w:rsidR="00F425DB" w:rsidRDefault="003E2421">
      <w:pPr>
        <w:pStyle w:val="ListBullet"/>
      </w:pPr>
      <w:r>
        <w:rPr>
          <w:rFonts w:eastAsia="Calibri" w:cs="Calibri"/>
          <w:b/>
        </w:rPr>
        <w:t>Battery-swapping share (σ_s):</w:t>
      </w:r>
    </w:p>
    <w:p w:rsidR="00F425DB" w:rsidRDefault="003E2421">
      <w:r>
        <w:rPr>
          <w:rFonts w:eastAsia="Calibri" w:cs="Calibri"/>
        </w:rPr>
        <w:t>Battery sw</w:t>
      </w:r>
      <w:r>
        <w:rPr>
          <w:rFonts w:eastAsia="Calibri" w:cs="Calibri"/>
        </w:rPr>
        <w:t>apping covers 35% of public energy demand for two- and three-wheelers. The remaining plug-in demand goes to AC Type-2/LEV sockets or DC fast-charging CCS2/DC-001 connectors.</w:t>
      </w:r>
    </w:p>
    <w:p w:rsidR="00F425DB" w:rsidRDefault="003E2421">
      <w:pPr>
        <w:pStyle w:val="ListBullet"/>
      </w:pPr>
      <w:r>
        <w:rPr>
          <w:rFonts w:eastAsia="Calibri" w:cs="Calibri"/>
          <w:b/>
        </w:rPr>
        <w:t>Assumed daily energy throughput per connector:</w:t>
      </w:r>
    </w:p>
    <w:p w:rsidR="00F425DB" w:rsidRDefault="003E2421">
      <w:pPr>
        <w:pStyle w:val="ListBullet"/>
      </w:pPr>
      <w:r>
        <w:rPr>
          <w:rFonts w:eastAsia="Calibri" w:cs="Calibri"/>
        </w:rPr>
        <w:t xml:space="preserve">AC connector: 4.2 kW × 5.5 hours = </w:t>
      </w:r>
      <w:r>
        <w:rPr>
          <w:rFonts w:eastAsia="Calibri" w:cs="Calibri"/>
        </w:rPr>
        <w:t>23.1 kWh/day.</w:t>
      </w:r>
    </w:p>
    <w:p w:rsidR="00F425DB" w:rsidRDefault="003E2421">
      <w:pPr>
        <w:pStyle w:val="ListBullet"/>
      </w:pPr>
      <w:r>
        <w:rPr>
          <w:rFonts w:eastAsia="Calibri" w:cs="Calibri"/>
        </w:rPr>
        <w:t>DC fast-charging nozzle: 30.0 kW × 6.0 hours = 180.0 kWh/day.</w:t>
      </w:r>
    </w:p>
    <w:p w:rsidR="00F425DB" w:rsidRDefault="003E2421">
      <w:pPr>
        <w:pStyle w:val="ListBullet"/>
      </w:pPr>
      <w:r>
        <w:rPr>
          <w:rFonts w:eastAsia="Calibri" w:cs="Calibri"/>
        </w:rPr>
        <w:t>Battery-swap unit: 13 swaps/day × 2.1 kWh = 27.3 kWh/day.</w:t>
      </w:r>
    </w:p>
    <w:p w:rsidR="00F425DB" w:rsidRDefault="003E2421">
      <w:pPr>
        <w:spacing w:before="60" w:after="140"/>
        <w:jc w:val="center"/>
      </w:pPr>
      <w:r>
        <w:rPr>
          <w:rFonts w:eastAsia="Calibri" w:cs="Calibri"/>
          <w:b/>
          <w:sz w:val="20"/>
        </w:rPr>
        <w:t>Required Connectors = ⌈ E_publicThroughput ⌉, EVSE Points = AC + ⌈ DC1.35 ⌉, Stations = ⌈ EVSE Points4.5 ⌉ [Eq. 6]</w:t>
      </w:r>
    </w:p>
    <w:p w:rsidR="00F425DB" w:rsidRDefault="003E2421">
      <w:pPr>
        <w:spacing w:before="60" w:after="140"/>
        <w:jc w:val="center"/>
      </w:pPr>
      <w:r>
        <w:rPr>
          <w:rFonts w:eastAsia="Calibri" w:cs="Calibri"/>
          <w:b/>
          <w:sz w:val="20"/>
        </w:rPr>
        <w:t>Net New</w:t>
      </w:r>
      <w:r>
        <w:rPr>
          <w:rFonts w:eastAsia="Calibri" w:cs="Calibri"/>
          <w:b/>
          <w:sz w:val="20"/>
        </w:rPr>
        <w:t xml:space="preserve"> Hardware = max(0, Required Hardware - Σ Existing Installed · η_power) [Eq. 7]</w:t>
      </w:r>
    </w:p>
    <w:p w:rsidR="00F425DB" w:rsidRDefault="003E2421">
      <w:r>
        <w:rPr>
          <w:rFonts w:eastAsia="Calibri" w:cs="Calibri"/>
          <w:i/>
        </w:rPr>
        <w:t>Here, η_power is a power-substitution matrix. It stops low-power 3.3 kW sockets from being counted as a full substitute for high-power DC fast chargers.</w:t>
      </w:r>
    </w:p>
    <w:p>
      <w:pPr>
        <w:pStyle w:val="Heading3"/>
        <w:spacing w:after="80" w:before="160"/>
      </w:pPr>
      <w:r>
        <w:rPr>
          <w:rFonts w:ascii="Calibri" w:hAnsi="Calibri"/>
          <w:b/>
          <w:i w:val="0"/>
          <w:color w:val="2F5597"/>
          <w:sz w:val="20"/>
        </w:rPr>
        <w:t>3.7 Spatial-Electrical Hub Siting Optimizer &amp; Feeder Screening</w:t>
      </w:r>
    </w:p>
    <w:p>
      <w:pPr>
        <w:spacing w:after="80" w:before="40"/>
      </w:pPr>
      <w:r>
        <w:rPr>
          <w:rFonts w:ascii="Calibri" w:hAnsi="Calibri"/>
          <w:b w:val="0"/>
          <w:i w:val="0"/>
          <w:sz w:val="19"/>
        </w:rPr>
        <w:t xml:space="preserve">To translate continuous spatial demand surfaces into actionable capital investment recommendations, GridSight EV executes a </w:t>
      </w:r>
      <w:r>
        <w:rPr>
          <w:rFonts w:ascii="Calibri" w:hAnsi="Calibri"/>
          <w:b/>
          <w:i w:val="0"/>
          <w:sz w:val="19"/>
        </w:rPr>
        <w:t>Greedy Constructive Spatial Heuristic with Conflict Graph Rejection</w:t>
      </w:r>
      <w:r>
        <w:rPr>
          <w:rFonts w:ascii="Calibri" w:hAnsi="Calibri"/>
          <w:b w:val="0"/>
          <w:i w:val="0"/>
          <w:sz w:val="19"/>
        </w:rPr>
        <w:t xml:space="preserve"> to site K = 25 candidate charging hubs across Delhi's 375 planning cells.</w:t>
      </w:r>
    </w:p>
    <w:p>
      <w:pPr>
        <w:spacing w:after="80" w:before="80"/>
      </w:pPr>
      <w:r>
        <w:rPr>
          <w:rFonts w:ascii="Calibri" w:hAnsi="Calibri"/>
          <w:b/>
          <w:i w:val="0"/>
          <w:color w:val="17365D"/>
          <w:sz w:val="19"/>
        </w:rPr>
        <w:t>Objective: max_{S ⊆ V, |S| ≤ K}  Σ_{i ∈ S} S_i · (0.6 + 0.4 · Φ_grid,i)    [Eq. 8: Hub Siting Objective]</w:t>
      </w:r>
    </w:p>
    <w:p>
      <w:pPr>
        <w:spacing w:after="80" w:before="40"/>
      </w:pPr>
      <w:r>
        <w:rPr>
          <w:rFonts w:ascii="Calibri" w:hAnsi="Calibri"/>
          <w:b/>
          <w:i w:val="0"/>
          <w:sz w:val="19"/>
        </w:rPr>
        <w:t xml:space="preserve">Formal Combinatorial Optimization Formulation: </w:t>
      </w:r>
      <w:r>
        <w:rPr>
          <w:rFonts w:ascii="Calibri" w:hAnsi="Calibri"/>
          <w:b w:val="0"/>
          <w:i w:val="0"/>
          <w:sz w:val="19"/>
        </w:rPr>
        <w:t>The optimizer solves a constrained maximum-coverage problem over the discrete set of planning cell centroids V (|V| = 375):</w:t>
      </w:r>
    </w:p>
    <w:p>
      <w:pPr>
        <w:pStyle w:val="ListBullet"/>
        <w:spacing w:after="80" w:before="40"/>
      </w:pPr>
      <w:r>
        <w:rPr>
          <w:rFonts w:ascii="Calibri" w:hAnsi="Calibri"/>
          <w:b/>
          <w:i w:val="0"/>
          <w:sz w:val="19"/>
        </w:rPr>
        <w:t xml:space="preserve">Cardinality Constraint: </w:t>
      </w:r>
      <w:r>
        <w:rPr>
          <w:rFonts w:ascii="Calibri" w:hAnsi="Calibri"/>
          <w:b w:val="0"/>
          <w:i w:val="0"/>
          <w:sz w:val="19"/>
        </w:rPr>
        <w:t>|S| ≤ K = 25 hubs, capping total capital outlay.</w:t>
      </w:r>
    </w:p>
    <w:p>
      <w:pPr>
        <w:pStyle w:val="ListBullet"/>
        <w:spacing w:after="80" w:before="40"/>
      </w:pPr>
      <w:r>
        <w:rPr>
          <w:rFonts w:ascii="Calibri" w:hAnsi="Calibri"/>
          <w:b/>
          <w:i w:val="0"/>
          <w:sz w:val="19"/>
        </w:rPr>
        <w:t xml:space="preserve">Spatial Anti-Cannibalization Constraint: </w:t>
      </w:r>
      <w:r>
        <w:rPr>
          <w:rFonts w:ascii="Calibri" w:hAnsi="Calibri"/>
          <w:b w:val="0"/>
          <w:i w:val="0"/>
          <w:sz w:val="19"/>
        </w:rPr>
        <w:t>Haversine(u, v) ≥ d_min = 1.2 km for all pairs u, v ∈ S (u ≠ v), preventing capital clustering and cannibalization between public charging plazas.</w:t>
      </w:r>
    </w:p>
    <w:p>
      <w:pPr>
        <w:pStyle w:val="ListBullet"/>
        <w:spacing w:after="80" w:before="40"/>
      </w:pPr>
      <w:r>
        <w:rPr>
          <w:rFonts w:ascii="Calibri" w:hAnsi="Calibri"/>
          <w:b/>
          <w:i w:val="0"/>
          <w:sz w:val="19"/>
        </w:rPr>
        <w:t xml:space="preserve">Feeder Distance Screening Constraint: </w:t>
      </w:r>
      <w:r>
        <w:rPr>
          <w:rFonts w:ascii="Calibri" w:hAnsi="Calibri"/>
          <w:b w:val="0"/>
          <w:i w:val="0"/>
          <w:sz w:val="19"/>
        </w:rPr>
        <w:t>dist(u, Substation) ≤ 2.5 km for all u ∈ S (restricting candidate hubs to Tier 1 and Tier 2 interconnection corridors).</w:t>
      </w:r>
    </w:p>
    <w:p>
      <w:pPr>
        <w:spacing w:after="80" w:before="40"/>
      </w:pPr>
      <w:r>
        <w:rPr>
          <w:rFonts w:ascii="Calibri" w:hAnsi="Calibri"/>
          <w:b/>
          <w:i w:val="0"/>
          <w:sz w:val="19"/>
        </w:rPr>
        <w:t xml:space="preserve">Algorithmic Classification &amp; Theoretical Bounds: </w:t>
      </w:r>
      <w:r>
        <w:rPr>
          <w:rFonts w:ascii="Calibri" w:hAnsi="Calibri"/>
          <w:b w:val="0"/>
          <w:i w:val="0"/>
          <w:sz w:val="19"/>
        </w:rPr>
        <w:t xml:space="preserve">While unconstrained maximum coverage over a uniform matroid exhibits submodularity with Nemhauser's classic (1 - 1/e) ≈ 63.2% greedy approximation guarantee, the addition of hard pairwise spatial separation constraints (Haversine(u, v) ≥ 1.2 km) transforms the problem into a </w:t>
      </w:r>
      <w:r>
        <w:rPr>
          <w:rFonts w:ascii="Calibri" w:hAnsi="Calibri"/>
          <w:b/>
          <w:i w:val="0"/>
          <w:sz w:val="19"/>
        </w:rPr>
        <w:t>Constrained Maximum-Weight Independent Set (MWIS) on a Geometric Conflict Graph</w:t>
      </w:r>
      <w:r>
        <w:rPr>
          <w:rFonts w:ascii="Calibri" w:hAnsi="Calibri"/>
          <w:b w:val="0"/>
          <w:i w:val="0"/>
          <w:sz w:val="19"/>
        </w:rPr>
        <w:t xml:space="preserve">, which is known to be </w:t>
      </w:r>
      <w:r>
        <w:rPr>
          <w:rFonts w:ascii="Calibri" w:hAnsi="Calibri"/>
          <w:b/>
          <w:i w:val="0"/>
          <w:sz w:val="19"/>
        </w:rPr>
        <w:t>NP-hard</w:t>
      </w:r>
      <w:r>
        <w:rPr>
          <w:rFonts w:ascii="Calibri" w:hAnsi="Calibri"/>
          <w:b w:val="0"/>
          <w:i w:val="0"/>
          <w:sz w:val="19"/>
        </w:rPr>
        <w:t>. Therefore, GridSight EV does not claim an unconstrained submodular approximation guarantee. Instead, the algorithm operates as a rigorous, deterministic greedy heuristic:</w:t>
      </w:r>
    </w:p>
    <w:p>
      <w:pPr>
        <w:pStyle w:val="ListBullet"/>
        <w:spacing w:after="80" w:before="40"/>
      </w:pPr>
      <w:r>
        <w:rPr>
          <w:rFonts w:ascii="Calibri" w:hAnsi="Calibri"/>
          <w:b/>
          <w:i w:val="0"/>
          <w:sz w:val="19"/>
        </w:rPr>
        <w:t xml:space="preserve">Selection Procedure: </w:t>
      </w:r>
      <w:r>
        <w:rPr>
          <w:rFonts w:ascii="Calibri" w:hAnsi="Calibri"/>
          <w:b w:val="0"/>
          <w:i w:val="0"/>
          <w:sz w:val="19"/>
        </w:rPr>
        <w:t>Candidate cells in V are sorted in descending order of composite objective score W_i = S_i · (0.6 + 0.4 · Φ_grid,i). The algorithm iteratively selects the highest-scoring available candidate u* = argmax_{u ∈ V_eligible} W_u, commits u* to solution set S, and immediately purges u* and all spatial neighbors within a 1.2 km Haversine radius from V_eligible: V_eligible ← V_eligible \ {v ∈ V | Haversine(u*, v) &lt; 1.2 km}.</w:t>
      </w:r>
    </w:p>
    <w:p>
      <w:pPr>
        <w:pStyle w:val="ListBullet"/>
        <w:spacing w:after="80" w:before="40"/>
      </w:pPr>
      <w:r>
        <w:rPr>
          <w:rFonts w:ascii="Calibri" w:hAnsi="Calibri"/>
          <w:b/>
          <w:i w:val="0"/>
          <w:sz w:val="19"/>
        </w:rPr>
        <w:t xml:space="preserve">Stopping Rule: </w:t>
      </w:r>
      <w:r>
        <w:rPr>
          <w:rFonts w:ascii="Calibri" w:hAnsi="Calibri"/>
          <w:b w:val="0"/>
          <w:i w:val="0"/>
          <w:sz w:val="19"/>
        </w:rPr>
        <w:t>Execution halts cleanly when |S| = K = 25 or when V_eligible = ∅.</w:t>
      </w:r>
    </w:p>
    <w:p>
      <w:pPr>
        <w:pStyle w:val="ListBullet"/>
        <w:spacing w:after="80" w:before="40"/>
      </w:pPr>
      <w:r>
        <w:rPr>
          <w:rFonts w:ascii="Calibri" w:hAnsi="Calibri"/>
          <w:b/>
          <w:i w:val="0"/>
          <w:sz w:val="19"/>
        </w:rPr>
        <w:t xml:space="preserve">Runtime Complexity: </w:t>
      </w:r>
      <w:r>
        <w:rPr>
          <w:rFonts w:ascii="Calibri" w:hAnsi="Calibri"/>
          <w:b w:val="0"/>
          <w:i w:val="0"/>
          <w:sz w:val="19"/>
        </w:rPr>
        <w:t>With complexity O(K · |V|), the siting optimizer executes client-side in TypeScript in &lt; 5 milliseconds.</w:t>
      </w:r>
    </w:p>
    <w:p>
      <w:pPr>
        <w:spacing w:after="80" w:before="40"/>
      </w:pPr>
      <w:r>
        <w:rPr>
          <w:rFonts w:ascii="Calibri" w:hAnsi="Calibri"/>
          <w:b/>
          <w:i w:val="0"/>
          <w:sz w:val="19"/>
        </w:rPr>
        <w:t xml:space="preserve">Grid-Feasibility Screening Assumptions (Feeder Interconnection Proxies): </w:t>
      </w:r>
      <w:r>
        <w:rPr>
          <w:rFonts w:ascii="Calibri" w:hAnsi="Calibri"/>
          <w:b w:val="0"/>
          <w:i w:val="0"/>
          <w:sz w:val="19"/>
        </w:rPr>
        <w:t xml:space="preserve">Physical distance to an 11 kV/33 kV substation is utilized as an </w:t>
      </w:r>
      <w:r>
        <w:rPr>
          <w:rFonts w:ascii="Calibri" w:hAnsi="Calibri"/>
          <w:b/>
          <w:i w:val="0"/>
          <w:sz w:val="19"/>
        </w:rPr>
        <w:t>initial spatial screening proxy</w:t>
      </w:r>
      <w:r>
        <w:rPr>
          <w:rFonts w:ascii="Calibri" w:hAnsi="Calibri"/>
          <w:b w:val="0"/>
          <w:i w:val="0"/>
          <w:sz w:val="19"/>
        </w:rPr>
        <w:t xml:space="preserve"> for interconnection capital expenditure and distribution feeder line drop, derived from Central Electricity Authority (CEA) Technical Standards for Connectivity and Delhi DISCOM (BSES Rajdhani/Yamuna, Tata Power DDL) line-extension practices:</w:t>
      </w:r>
    </w:p>
    <w:p>
      <w:pPr>
        <w:pStyle w:val="ListBullet"/>
        <w:spacing w:after="80" w:before="40"/>
      </w:pPr>
      <w:r>
        <w:rPr>
          <w:rFonts w:ascii="Calibri" w:hAnsi="Calibri"/>
          <w:b/>
          <w:i w:val="0"/>
          <w:sz w:val="19"/>
        </w:rPr>
        <w:t xml:space="preserve">Tier 1 (&lt; 1.0 km): </w:t>
      </w:r>
      <w:r>
        <w:rPr>
          <w:rFonts w:ascii="Calibri" w:hAnsi="Calibri"/>
          <w:b w:val="0"/>
          <w:i w:val="0"/>
          <w:sz w:val="19"/>
        </w:rPr>
        <w:t>Direct 11 kV secondary line tap-off without severe voltage drop or extensive Right-of-Way (RoW) road trenching; assumed screening proxy of ≥ 500 kVA spare transformer capacity (250 kW maximum recommended hosting capacity).</w:t>
      </w:r>
    </w:p>
    <w:p>
      <w:pPr>
        <w:pStyle w:val="ListBullet"/>
        <w:spacing w:after="80" w:before="40"/>
      </w:pPr>
      <w:r>
        <w:rPr>
          <w:rFonts w:ascii="Calibri" w:hAnsi="Calibri"/>
          <w:b/>
          <w:i w:val="0"/>
          <w:sz w:val="19"/>
        </w:rPr>
        <w:t xml:space="preserve">Tier 2 (1.0–2.5 km): </w:t>
      </w:r>
      <w:r>
        <w:rPr>
          <w:rFonts w:ascii="Calibri" w:hAnsi="Calibri"/>
          <w:b w:val="0"/>
          <w:i w:val="0"/>
          <w:sz w:val="19"/>
        </w:rPr>
        <w:t>Feeder extension requires moderate 11 kV cable routing with RoW permissions; hosting capacity derated to 120 kW screening proxy (150–250 kVA spare capacity proxy).</w:t>
      </w:r>
    </w:p>
    <w:p>
      <w:pPr>
        <w:pStyle w:val="ListBullet"/>
        <w:spacing w:after="80" w:before="40"/>
      </w:pPr>
      <w:r>
        <w:rPr>
          <w:rFonts w:ascii="Calibri" w:hAnsi="Calibri"/>
          <w:b/>
          <w:i w:val="0"/>
          <w:sz w:val="19"/>
        </w:rPr>
        <w:t xml:space="preserve">Tier 3 (&gt; 2.5 km): </w:t>
      </w:r>
      <w:r>
        <w:rPr>
          <w:rFonts w:ascii="Calibri" w:hAnsi="Calibri"/>
          <w:b w:val="0"/>
          <w:i w:val="0"/>
          <w:sz w:val="19"/>
        </w:rPr>
        <w:t>Long cable run prone to unacceptable line drop (&gt; 5% statutory threshold); classified as feeder-constrained, requiring dedicated distribution-transformer augmentation or an express feeder (60 kW maximum proxy).</w:t>
      </w:r>
    </w:p>
    <w:p>
      <w:pPr>
        <w:spacing w:after="120" w:before="80"/>
      </w:pPr>
      <w:r>
        <w:rPr>
          <w:rFonts w:ascii="Calibri" w:hAnsi="Calibri"/>
          <w:b/>
          <w:i w:val="0"/>
          <w:color w:val="C00000"/>
          <w:sz w:val="19"/>
        </w:rPr>
        <w:t xml:space="preserve">Mandatory Utility Assessment Disclaimer: </w:t>
      </w:r>
      <w:r>
        <w:rPr>
          <w:rFonts w:ascii="Calibri" w:hAnsi="Calibri"/>
          <w:b w:val="0"/>
          <w:i/>
          <w:sz w:val="19"/>
        </w:rPr>
        <w:t>Physical distance alone cannot establish real-time transformer thermal headroom, reverse power flow capability, or dynamic feeder loading. In production deployment, every candidate site identified by GridSight EV must undergo a formal DISCOM Interconnection Feasibility Study (load-flow, short-circuit, and power quality analysis) prior to capital expenditure and hardware procurement.</w:t>
      </w:r>
    </w:p>
    <w:p w:rsidR="00F425DB" w:rsidRDefault="003E2421">
      <w:pPr>
        <w:pStyle w:val="Heading2"/>
      </w:pPr>
      <w:r>
        <w:rPr>
          <w:rFonts w:ascii="Calibri" w:eastAsia="Calibri" w:hAnsi="Calibri" w:cs="Calibri"/>
        </w:rPr>
        <w:t>4. Innovation &amp; Technical Soundness (20%)</w:t>
      </w:r>
    </w:p>
    <w:tbl>
      <w:tblPr>
        <w:tblStyle w:val="TableGrid"/>
        <w:tblW w:w="0" w:type="auto"/>
        <w:jc w:val="center"/>
        <w:tblLook w:val="04A0" w:firstRow="1" w:lastRow="0" w:firstColumn="1" w:lastColumn="0" w:noHBand="0" w:noVBand="1"/>
      </w:tblPr>
      <w:tblGrid>
        <w:gridCol w:w="3360"/>
        <w:gridCol w:w="3360"/>
        <w:gridCol w:w="3360"/>
      </w:tblGrid>
      <w:tr w:rsidR="00F425DB">
        <w:trPr>
          <w:jc w:val="center"/>
        </w:trPr>
        <w:tc>
          <w:tcPr>
            <w:tcW w:w="3360" w:type="dxa"/>
            <w:shd w:val="clear" w:color="auto" w:fill="17365D"/>
          </w:tcPr>
          <w:p w:rsidR="00F425DB" w:rsidRDefault="003E2421">
            <w:r>
              <w:rPr>
                <w:rFonts w:eastAsia="Calibri" w:cs="Calibri"/>
                <w:b/>
                <w:color w:val="FFFFFF"/>
                <w:sz w:val="14"/>
              </w:rPr>
              <w:t>Innovation Dimension</w:t>
            </w:r>
          </w:p>
        </w:tc>
        <w:tc>
          <w:tcPr>
            <w:tcW w:w="3360" w:type="dxa"/>
            <w:shd w:val="clear" w:color="auto" w:fill="17365D"/>
          </w:tcPr>
          <w:p w:rsidR="00F425DB" w:rsidRDefault="003E2421">
            <w:r>
              <w:rPr>
                <w:rFonts w:eastAsia="Calibri" w:cs="Calibri"/>
                <w:b/>
                <w:color w:val="FFFFFF"/>
                <w:sz w:val="14"/>
              </w:rPr>
              <w:t>Conventional Industry Practice</w:t>
            </w:r>
          </w:p>
        </w:tc>
        <w:tc>
          <w:tcPr>
            <w:tcW w:w="3360" w:type="dxa"/>
            <w:shd w:val="clear" w:color="auto" w:fill="17365D"/>
          </w:tcPr>
          <w:p w:rsidR="00F425DB" w:rsidRDefault="003E2421">
            <w:r>
              <w:rPr>
                <w:rFonts w:eastAsia="Calibri" w:cs="Calibri"/>
                <w:b/>
                <w:color w:val="FFFFFF"/>
                <w:sz w:val="14"/>
              </w:rPr>
              <w:t>GridSight EV Innovation</w:t>
            </w:r>
          </w:p>
        </w:tc>
      </w:tr>
      <w:tr w:rsidR="00F425DB">
        <w:trPr>
          <w:jc w:val="center"/>
        </w:trPr>
        <w:tc>
          <w:tcPr>
            <w:tcW w:w="3360" w:type="dxa"/>
          </w:tcPr>
          <w:p w:rsidR="00F425DB" w:rsidRDefault="003E2421">
            <w:r>
              <w:rPr>
                <w:rFonts w:eastAsia="Calibri" w:cs="Calibri"/>
                <w:b/>
                <w:sz w:val="14"/>
              </w:rPr>
              <w:t>Data architecture</w:t>
            </w:r>
          </w:p>
        </w:tc>
        <w:tc>
          <w:tcPr>
            <w:tcW w:w="3360" w:type="dxa"/>
          </w:tcPr>
          <w:p w:rsidR="00F425DB" w:rsidRDefault="003E2421">
            <w:r>
              <w:rPr>
                <w:rFonts w:eastAsia="Calibri" w:cs="Calibri"/>
                <w:sz w:val="14"/>
              </w:rPr>
              <w:t>Combines BEE, OMC, and crowdsourced records directly, which may inflate charger counts by 40–60%.</w:t>
            </w:r>
          </w:p>
        </w:tc>
        <w:tc>
          <w:tcPr>
            <w:tcW w:w="3360" w:type="dxa"/>
          </w:tcPr>
          <w:p w:rsidR="00F425DB" w:rsidRDefault="003E2421">
            <w:r>
              <w:rPr>
                <w:rFonts w:eastAsia="Calibri" w:cs="Calibri"/>
                <w:b/>
                <w:sz w:val="14"/>
              </w:rPr>
              <w:t>Keeps each source as a separate, selectable baseline, so comparing datasets never double-counts.</w:t>
            </w:r>
          </w:p>
        </w:tc>
      </w:tr>
      <w:tr w:rsidR="00F425DB">
        <w:trPr>
          <w:jc w:val="center"/>
        </w:trPr>
        <w:tc>
          <w:tcPr>
            <w:tcW w:w="3360" w:type="dxa"/>
            <w:shd w:val="clear" w:color="auto" w:fill="F2F6FA"/>
          </w:tcPr>
          <w:p w:rsidR="00F425DB" w:rsidRDefault="003E2421">
            <w:r>
              <w:rPr>
                <w:rFonts w:eastAsia="Calibri" w:cs="Calibri"/>
                <w:b/>
                <w:sz w:val="14"/>
              </w:rPr>
              <w:t>Fleet-demand mapping</w:t>
            </w:r>
          </w:p>
        </w:tc>
        <w:tc>
          <w:tcPr>
            <w:tcW w:w="3360" w:type="dxa"/>
            <w:shd w:val="clear" w:color="auto" w:fill="F2F6FA"/>
          </w:tcPr>
          <w:p w:rsidR="00F425DB" w:rsidRDefault="003E2421">
            <w:r>
              <w:rPr>
                <w:rFonts w:eastAsia="Calibri" w:cs="Calibri"/>
                <w:sz w:val="14"/>
              </w:rPr>
              <w:t>Treats RTO registrations as direct evid</w:t>
            </w:r>
            <w:r>
              <w:rPr>
                <w:rFonts w:eastAsia="Calibri" w:cs="Calibri"/>
                <w:sz w:val="14"/>
              </w:rPr>
              <w:t>ence of local demand, which creates artificial spikes around central RTOs.</w:t>
            </w:r>
          </w:p>
        </w:tc>
        <w:tc>
          <w:tcPr>
            <w:tcW w:w="3360" w:type="dxa"/>
            <w:shd w:val="clear" w:color="auto" w:fill="F2F6FA"/>
          </w:tcPr>
          <w:p w:rsidR="00F425DB" w:rsidRDefault="003E2421">
            <w:r>
              <w:rPr>
                <w:rFonts w:eastAsia="Calibri" w:cs="Calibri"/>
                <w:b/>
                <w:sz w:val="14"/>
              </w:rPr>
              <w:t>The Burari redistribution method (Eq. 1) spreads the activity of 200k+ commercial EVs across nine districts using population and POIs.</w:t>
            </w:r>
          </w:p>
        </w:tc>
      </w:tr>
      <w:tr w:rsidR="00F425DB">
        <w:trPr>
          <w:jc w:val="center"/>
        </w:trPr>
        <w:tc>
          <w:tcPr>
            <w:tcW w:w="3360" w:type="dxa"/>
          </w:tcPr>
          <w:p w:rsidR="00F425DB" w:rsidRDefault="003E2421">
            <w:r>
              <w:rPr>
                <w:rFonts w:eastAsia="Calibri" w:cs="Calibri"/>
                <w:b/>
                <w:sz w:val="14"/>
              </w:rPr>
              <w:t>Spatial gap prioritization</w:t>
            </w:r>
          </w:p>
        </w:tc>
        <w:tc>
          <w:tcPr>
            <w:tcW w:w="3360" w:type="dxa"/>
          </w:tcPr>
          <w:p w:rsidR="00F425DB" w:rsidRDefault="003E2421">
            <w:r>
              <w:rPr>
                <w:rFonts w:eastAsia="Calibri" w:cs="Calibri"/>
                <w:sz w:val="14"/>
              </w:rPr>
              <w:t>Uses fixed circular buffers (d ≤ r), which cause abrupt score changes at the boundary.</w:t>
            </w:r>
          </w:p>
        </w:tc>
        <w:tc>
          <w:tcPr>
            <w:tcW w:w="3360" w:type="dxa"/>
          </w:tcPr>
          <w:p w:rsidR="00F425DB" w:rsidRDefault="003E2421">
            <w:r>
              <w:rPr>
                <w:rFonts w:eastAsia="Calibri" w:cs="Calibri"/>
                <w:b/>
                <w:sz w:val="14"/>
              </w:rPr>
              <w:t>The continuous sigmoid distance-decay function (Eq. 3) shifts priority smoothly and avoids threshold artefacts.</w:t>
            </w:r>
          </w:p>
        </w:tc>
      </w:tr>
      <w:tr w:rsidR="00F425DB">
        <w:trPr>
          <w:jc w:val="center"/>
        </w:trPr>
        <w:tc>
          <w:tcPr>
            <w:tcW w:w="3360" w:type="dxa"/>
            <w:shd w:val="clear" w:color="auto" w:fill="F2F6FA"/>
          </w:tcPr>
          <w:p w:rsidR="00F425DB" w:rsidRDefault="003E2421">
            <w:r>
              <w:rPr>
                <w:rFonts w:eastAsia="Calibri" w:cs="Calibri"/>
                <w:b/>
                <w:sz w:val="14"/>
              </w:rPr>
              <w:t>Adoption modelling</w:t>
            </w:r>
          </w:p>
        </w:tc>
        <w:tc>
          <w:tcPr>
            <w:tcW w:w="3360" w:type="dxa"/>
            <w:shd w:val="clear" w:color="auto" w:fill="F2F6FA"/>
          </w:tcPr>
          <w:p w:rsidR="00F425DB" w:rsidRDefault="003E2421">
            <w:r>
              <w:rPr>
                <w:rFonts w:eastAsia="Calibri" w:cs="Calibri"/>
                <w:sz w:val="14"/>
              </w:rPr>
              <w:t>Uses static or arbitrary annual linea</w:t>
            </w:r>
            <w:r>
              <w:rPr>
                <w:rFonts w:eastAsia="Calibri" w:cs="Calibri"/>
                <w:sz w:val="14"/>
              </w:rPr>
              <w:t>r growth rates (CAGR).</w:t>
            </w:r>
          </w:p>
        </w:tc>
        <w:tc>
          <w:tcPr>
            <w:tcW w:w="3360" w:type="dxa"/>
            <w:shd w:val="clear" w:color="auto" w:fill="F2F6FA"/>
          </w:tcPr>
          <w:p w:rsidR="00F425DB" w:rsidRDefault="003E2421">
            <w:r>
              <w:rPr>
                <w:rFonts w:eastAsia="Calibri" w:cs="Calibri"/>
                <w:b/>
                <w:sz w:val="14"/>
              </w:rPr>
              <w:t>Uses a Bass Diffusion S-curve calibrated to data (Eq. 4; R² = 0.992), with P10/P90 forecast ranges to show uncertainty.</w:t>
            </w:r>
          </w:p>
        </w:tc>
      </w:tr>
      <w:tr w:rsidR="00F425DB">
        <w:trPr>
          <w:jc w:val="center"/>
        </w:trPr>
        <w:tc>
          <w:tcPr>
            <w:tcW w:w="3360" w:type="dxa"/>
          </w:tcPr>
          <w:p w:rsidR="00F425DB" w:rsidRDefault="003E2421">
            <w:r>
              <w:rPr>
                <w:rFonts w:eastAsia="Calibri" w:cs="Calibri"/>
                <w:b/>
                <w:sz w:val="14"/>
              </w:rPr>
              <w:t>Hardware sizing</w:t>
            </w:r>
          </w:p>
        </w:tc>
        <w:tc>
          <w:tcPr>
            <w:tcW w:w="3360" w:type="dxa"/>
          </w:tcPr>
          <w:p w:rsidR="00F425DB" w:rsidRDefault="003E2421">
            <w:r>
              <w:rPr>
                <w:rFonts w:eastAsia="Calibri" w:cs="Calibri"/>
                <w:sz w:val="14"/>
              </w:rPr>
              <w:t>Applies the same “one charger per ten EVs” ratio to every vehicle type.</w:t>
            </w:r>
          </w:p>
        </w:tc>
        <w:tc>
          <w:tcPr>
            <w:tcW w:w="3360" w:type="dxa"/>
          </w:tcPr>
          <w:p w:rsidR="00F425DB" w:rsidRDefault="003E2421">
            <w:r>
              <w:rPr>
                <w:rFonts w:eastAsia="Calibri" w:cs="Calibri"/>
                <w:b/>
                <w:sz w:val="14"/>
              </w:rPr>
              <w:t>A bottom-up energy model</w:t>
            </w:r>
            <w:r>
              <w:rPr>
                <w:rFonts w:eastAsia="Calibri" w:cs="Calibri"/>
                <w:b/>
                <w:sz w:val="14"/>
              </w:rPr>
              <w:t xml:space="preserve"> (Eqs. 5–7) estimates daily kWh for each vehicle segment and converts that demand into stations, EVSE points, AC/DC connectors, and swap units.</w:t>
            </w:r>
          </w:p>
        </w:tc>
      </w:tr>
      <w:tr w:rsidR="00F425DB">
        <w:trPr>
          <w:jc w:val="center"/>
        </w:trPr>
        <w:tc>
          <w:tcPr>
            <w:tcW w:w="3360" w:type="dxa"/>
            <w:shd w:val="clear" w:color="auto" w:fill="F2F6FA"/>
          </w:tcPr>
          <w:p w:rsidR="00F425DB" w:rsidRDefault="003E2421">
            <w:r>
              <w:rPr>
                <w:rFonts w:eastAsia="Calibri" w:cs="Calibri"/>
                <w:b/>
                <w:sz w:val="14"/>
              </w:rPr>
              <w:t>Grid siting feasibility</w:t>
            </w:r>
          </w:p>
        </w:tc>
        <w:tc>
          <w:tcPr>
            <w:tcW w:w="3360" w:type="dxa"/>
            <w:shd w:val="clear" w:color="auto" w:fill="F2F6FA"/>
          </w:tcPr>
          <w:p w:rsidR="00F425DB" w:rsidRDefault="003E2421">
            <w:r>
              <w:rPr>
                <w:rFonts w:eastAsia="Calibri" w:cs="Calibri"/>
                <w:sz w:val="14"/>
              </w:rPr>
              <w:t>Assumes grid power is available at any chosen location.</w:t>
            </w:r>
          </w:p>
        </w:tc>
        <w:tc>
          <w:tcPr>
            <w:tcW w:w="3360" w:type="dxa"/>
            <w:shd w:val="clear" w:color="auto" w:fill="F2F6FA"/>
          </w:tcPr>
          <w:p w:rsidR="00F425DB" w:rsidRDefault="003E2421">
            <w:r>
              <w:t>The optimizer applies substation-distance screening tiers as initial feeder proxies (subject to mandatory DISCOM interconnect studies).</w:t>
            </w:r>
          </w:p>
        </w:tc>
      </w:tr>
      <w:tr w:rsidR="00F425DB">
        <w:trPr>
          <w:jc w:val="center"/>
        </w:trPr>
        <w:tc>
          <w:tcPr>
            <w:tcW w:w="3360" w:type="dxa"/>
          </w:tcPr>
          <w:p w:rsidR="00F425DB" w:rsidRDefault="003E2421">
            <w:r>
              <w:rPr>
                <w:rFonts w:eastAsia="Calibri" w:cs="Calibri"/>
                <w:b/>
                <w:sz w:val="14"/>
              </w:rPr>
              <w:t>Utility operations interface</w:t>
            </w:r>
          </w:p>
        </w:tc>
        <w:tc>
          <w:tcPr>
            <w:tcW w:w="3360" w:type="dxa"/>
          </w:tcPr>
          <w:p w:rsidR="00F425DB" w:rsidRDefault="003E2421">
            <w:r>
              <w:rPr>
                <w:rFonts w:eastAsia="Calibri" w:cs="Calibri"/>
                <w:sz w:val="14"/>
              </w:rPr>
              <w:t>Uses standard light dashboards, which may be less suitable for control-room use.</w:t>
            </w:r>
          </w:p>
        </w:tc>
        <w:tc>
          <w:tcPr>
            <w:tcW w:w="3360" w:type="dxa"/>
          </w:tcPr>
          <w:p w:rsidR="00F425DB" w:rsidRDefault="003E2421">
            <w:r>
              <w:rPr>
                <w:rFonts w:eastAsia="Calibri" w:cs="Calibri"/>
                <w:b/>
                <w:sz w:val="14"/>
              </w:rPr>
              <w:t>Offers a one-click dark cartographic mode that keeps marker colours distinct and saves the preference locally.</w:t>
            </w:r>
          </w:p>
        </w:tc>
      </w:tr>
    </w:tbl>
    <w:p w:rsidR="00F425DB" w:rsidRDefault="00F425DB"/>
    <w:p w:rsidR="00F425DB" w:rsidRDefault="003E2421">
      <w:pPr>
        <w:pStyle w:val="Heading2"/>
      </w:pPr>
      <w:r>
        <w:rPr>
          <w:rFonts w:ascii="Calibri" w:eastAsia="Calibri" w:hAnsi="Calibri" w:cs="Calibri"/>
        </w:rPr>
        <w:t>5. Software Architecture and Implementation Checks</w:t>
      </w:r>
    </w:p>
    <w:p w:rsidR="00F425DB" w:rsidRDefault="003E2421">
      <w:pPr>
        <w:pStyle w:val="Heading3"/>
      </w:pPr>
      <w:r>
        <w:rPr>
          <w:rFonts w:ascii="Calibri" w:eastAsia="Calibri" w:hAnsi="Calibri" w:cs="Calibri"/>
        </w:rPr>
        <w:t>5.1 Technology Stack</w:t>
      </w:r>
    </w:p>
    <w:p w:rsidR="00F425DB" w:rsidRDefault="003E2421">
      <w:pPr>
        <w:pStyle w:val="ListBullet"/>
      </w:pPr>
      <w:r>
        <w:rPr>
          <w:rFonts w:eastAsia="Calibri" w:cs="Calibri"/>
          <w:b/>
        </w:rPr>
        <w:t>Frontend: React 18, TypeScript in strict mode, and Vite 5.</w:t>
      </w:r>
    </w:p>
    <w:p w:rsidR="00F425DB" w:rsidRDefault="003E2421">
      <w:pPr>
        <w:pStyle w:val="ListBullet"/>
      </w:pPr>
      <w:r>
        <w:rPr>
          <w:rFonts w:eastAsia="Calibri" w:cs="Calibri"/>
          <w:b/>
        </w:rPr>
        <w:t>Mapping subs</w:t>
      </w:r>
      <w:r>
        <w:rPr>
          <w:rFonts w:eastAsia="Calibri" w:cs="Calibri"/>
          <w:b/>
        </w:rPr>
        <w:t>ystem: Leaflet 1.9 and React-Leaflet 4, using OpenStreetMap tiles with no third-party API keys or map watermarks.</w:t>
      </w:r>
    </w:p>
    <w:p w:rsidR="00F425DB" w:rsidRDefault="003E2421">
      <w:pPr>
        <w:pStyle w:val="ListBullet"/>
      </w:pPr>
      <w:r>
        <w:rPr>
          <w:rFonts w:eastAsia="Calibri" w:cs="Calibri"/>
          <w:b/>
        </w:rPr>
        <w:t>Calculation engine: src/utils/planningEngine.ts handles grid filtering, coverage-distance calculations, sigmoid decay, and scenario projection</w:t>
      </w:r>
      <w:r>
        <w:rPr>
          <w:rFonts w:eastAsia="Calibri" w:cs="Calibri"/>
          <w:b/>
        </w:rPr>
        <w:t>s in the browser, with a reported runtime below 15 milliseconds.</w:t>
      </w:r>
    </w:p>
    <w:p w:rsidR="00F425DB" w:rsidRDefault="003E2421">
      <w:pPr>
        <w:pStyle w:val="ListBullet"/>
      </w:pPr>
      <w:r>
        <w:rPr>
          <w:rFonts w:eastAsia="Calibri" w:cs="Calibri"/>
          <w:b/>
        </w:rPr>
        <w:t>Data and AI pipelines: Python 3 scripts for data processing, model training, and validation (scripts/process_data.py, scripts/train_ai_models.py, and scripts/validate_processed_data.py).</w:t>
      </w:r>
    </w:p>
    <w:p w:rsidR="00F425DB" w:rsidRDefault="003E2421">
      <w:pPr>
        <w:pStyle w:val="Heading3"/>
      </w:pPr>
      <w:r>
        <w:rPr>
          <w:rFonts w:ascii="Calibri" w:eastAsia="Calibri" w:hAnsi="Calibri" w:cs="Calibri"/>
        </w:rPr>
        <w:t xml:space="preserve">5.2 </w:t>
      </w:r>
      <w:r>
        <w:rPr>
          <w:rFonts w:ascii="Calibri" w:eastAsia="Calibri" w:hAnsi="Calibri" w:cs="Calibri"/>
        </w:rPr>
        <w:t>Main Navigation: Five Platform Tabs</w:t>
      </w:r>
    </w:p>
    <w:p w:rsidR="00F425DB" w:rsidRDefault="003E2421">
      <w:pPr>
        <w:pStyle w:val="ListNumber"/>
      </w:pPr>
      <w:r>
        <w:rPr>
          <w:rFonts w:eastAsia="Calibri" w:cs="Calibri"/>
          <w:b/>
        </w:rPr>
        <w:t>Delhi Map: Street-level view of 876 Switch Delhi locations and 1,909 BEE stations, with power-class filters, a Burari redistribution toggle, and overlays for the 25 AI-selected candidate hubs.</w:t>
      </w:r>
    </w:p>
    <w:p w:rsidR="00F425DB" w:rsidRDefault="003E2421">
      <w:pPr>
        <w:pStyle w:val="ListNumber"/>
      </w:pPr>
      <w:r>
        <w:rPr>
          <w:rFonts w:eastAsia="Calibri" w:cs="Calibri"/>
          <w:b/>
        </w:rPr>
        <w:t>National Overview: Chorople</w:t>
      </w:r>
      <w:r>
        <w:rPr>
          <w:rFonts w:eastAsia="Calibri" w:cs="Calibri"/>
          <w:b/>
        </w:rPr>
        <w:t>th map of 36 States and Union Territories, alongside 10.68M active VAHAN EVs, 44K BEE connectors, and 27,737 OMC retail-fuel-station chargers.</w:t>
      </w:r>
    </w:p>
    <w:p w:rsidR="00F425DB" w:rsidRDefault="003E2421">
      <w:pPr>
        <w:pStyle w:val="ListNumber"/>
      </w:pPr>
      <w:r>
        <w:rPr>
          <w:rFonts w:eastAsia="Calibri" w:cs="Calibri"/>
          <w:b/>
        </w:rPr>
        <w:t>Coverage Planning: Map of the 375 planning cells, a switch between the spatial ML model and the baseline heuristi</w:t>
      </w:r>
      <w:r>
        <w:rPr>
          <w:rFonts w:eastAsia="Calibri" w:cs="Calibri"/>
          <w:b/>
        </w:rPr>
        <w:t>c, continuous sigmoid decay, and a simulator for projected 2030 capacity.</w:t>
      </w:r>
    </w:p>
    <w:p w:rsidR="00F425DB" w:rsidRDefault="003E2421">
      <w:pPr>
        <w:pStyle w:val="ListNumber"/>
      </w:pPr>
      <w:r>
        <w:rPr>
          <w:rFonts w:eastAsia="Calibri" w:cs="Calibri"/>
          <w:b/>
        </w:rPr>
        <w:t>AI and Optimization Studio: Shows Random Forest feature importance, Bass Diffusion adoption curves, and results from the constrained hub-siting optimizer.</w:t>
      </w:r>
    </w:p>
    <w:p w:rsidR="00F425DB" w:rsidRDefault="003E2421">
      <w:pPr>
        <w:pStyle w:val="ListNumber"/>
      </w:pPr>
      <w:r>
        <w:rPr>
          <w:rFonts w:eastAsia="Calibri" w:cs="Calibri"/>
          <w:b/>
        </w:rPr>
        <w:t>Data and Methodology: Gives</w:t>
      </w:r>
      <w:r>
        <w:rPr>
          <w:rFonts w:eastAsia="Calibri" w:cs="Calibri"/>
          <w:b/>
        </w:rPr>
        <w:t xml:space="preserve"> the audit trail, source-reconciliation matrix, documented data gaps, and results of all 28 schema assertions.</w:t>
      </w:r>
    </w:p>
    <w:p w:rsidR="00F425DB" w:rsidRDefault="003E2421">
      <w:pPr>
        <w:pStyle w:val="Heading3"/>
      </w:pPr>
      <w:r>
        <w:rPr>
          <w:rFonts w:ascii="Calibri" w:eastAsia="Calibri" w:hAnsi="Calibri" w:cs="Calibri"/>
        </w:rPr>
        <w:t>5.3 Build and Runtime Verification</w:t>
      </w:r>
    </w:p>
    <w:p w:rsidR="00F425DB" w:rsidRDefault="003E2421">
      <w:pPr>
        <w:pStyle w:val="ListBullet"/>
      </w:pPr>
      <w:r>
        <w:rPr>
          <w:rFonts w:eastAsia="Calibri" w:cs="Calibri"/>
          <w:sz w:val="17"/>
        </w:rPr>
        <w:t>npx tsc --noEmit: completed with zero TypeScript compiler errors in strict mode.</w:t>
      </w:r>
    </w:p>
    <w:p w:rsidR="00F425DB" w:rsidRDefault="003E2421">
      <w:pPr>
        <w:pStyle w:val="ListBullet"/>
      </w:pPr>
      <w:r>
        <w:rPr>
          <w:rFonts w:eastAsia="Calibri" w:cs="Calibri"/>
          <w:sz w:val="17"/>
        </w:rPr>
        <w:lastRenderedPageBreak/>
        <w:t>npm run build: the production</w:t>
      </w:r>
      <w:r>
        <w:rPr>
          <w:rFonts w:eastAsia="Calibri" w:cs="Calibri"/>
          <w:sz w:val="17"/>
        </w:rPr>
        <w:t xml:space="preserve"> bundle built successfully; 1,622 modules were transformed in 9.66 seconds and the dist/ directory was created.</w:t>
      </w:r>
    </w:p>
    <w:p w:rsidR="00F425DB" w:rsidRDefault="003E2421">
      <w:pPr>
        <w:pStyle w:val="ListBullet"/>
      </w:pPr>
      <w:r>
        <w:rPr>
          <w:rFonts w:eastAsia="Calibri" w:cs="Calibri"/>
          <w:sz w:val="17"/>
        </w:rPr>
        <w:t>python scripts/validate_processed_data.py: all 28 of 28 assertions passed (100%).</w:t>
      </w:r>
    </w:p>
    <w:p w:rsidR="00F425DB" w:rsidRDefault="003E2421">
      <w:pPr>
        <w:pStyle w:val="ListBullet"/>
      </w:pPr>
      <w:r>
        <w:rPr>
          <w:rFonts w:eastAsia="Calibri" w:cs="Calibri"/>
        </w:rPr>
        <w:t>Open-source code: hosted and maintained on GitHub at aadityaex</w:t>
      </w:r>
      <w:r>
        <w:rPr>
          <w:rFonts w:eastAsia="Calibri" w:cs="Calibri"/>
        </w:rPr>
        <w:t>press/gridsight-ev.</w:t>
      </w:r>
    </w:p>
    <w:p w:rsidR="00F425DB" w:rsidRDefault="003E2421">
      <w:pPr>
        <w:pStyle w:val="Heading2"/>
      </w:pPr>
      <w:r>
        <w:rPr>
          <w:rFonts w:ascii="Calibri" w:eastAsia="Calibri" w:hAnsi="Calibri" w:cs="Calibri"/>
        </w:rPr>
        <w:t>6. Implementation Roadmap (20%)</w:t>
      </w:r>
    </w:p>
    <w:p w:rsidR="00F425DB" w:rsidRDefault="003E2421">
      <w:pPr>
        <w:spacing w:after="120"/>
        <w:ind w:left="259"/>
      </w:pPr>
      <w:r>
        <w:rPr>
          <w:rFonts w:eastAsia="Calibri" w:cs="Calibri"/>
          <w:sz w:val="14"/>
        </w:rPr>
        <w:t>┌───────────────────────────────────────────────────────────────────────────────────────────────────────┐</w:t>
      </w:r>
      <w:r>
        <w:rPr>
          <w:rFonts w:eastAsia="Calibri" w:cs="Calibri"/>
          <w:sz w:val="14"/>
        </w:rPr>
        <w:br/>
        <w:t xml:space="preserve">│                                 GRIDSIGHT EV IMPLEMENTATION ROADMAP                             </w:t>
      </w:r>
      <w:r>
        <w:rPr>
          <w:rFonts w:eastAsia="Calibri" w:cs="Calibri"/>
          <w:sz w:val="14"/>
        </w:rPr>
        <w:t xml:space="preserve">      │</w:t>
      </w:r>
      <w:r>
        <w:rPr>
          <w:rFonts w:eastAsia="Calibri" w:cs="Calibri"/>
          <w:sz w:val="14"/>
        </w:rPr>
        <w:br/>
        <w:t>└───────────────────────────────────────────────────────────────────────────────────────────────────────┘</w:t>
      </w:r>
      <w:r>
        <w:rPr>
          <w:rFonts w:eastAsia="Calibri" w:cs="Calibri"/>
          <w:sz w:val="14"/>
        </w:rPr>
        <w:br/>
        <w:t xml:space="preserve">                                                   │</w:t>
      </w:r>
      <w:r>
        <w:rPr>
          <w:rFonts w:eastAsia="Calibri" w:cs="Calibri"/>
          <w:sz w:val="14"/>
        </w:rPr>
        <w:br/>
        <w:t xml:space="preserve">  ┌────────────────────────────────────────────────┼─────────────────────────────────────</w:t>
      </w:r>
      <w:r>
        <w:rPr>
          <w:rFonts w:eastAsia="Calibri" w:cs="Calibri"/>
          <w:sz w:val="14"/>
        </w:rPr>
        <w:t>────────────┐</w:t>
      </w:r>
      <w:r>
        <w:rPr>
          <w:rFonts w:eastAsia="Calibri" w:cs="Calibri"/>
          <w:sz w:val="14"/>
        </w:rPr>
        <w:br/>
        <w:t xml:space="preserve">  │ PHASE 0: BASELINE &amp; PROTOTYPE (COMPLETE)      │ PHASE 1: HIGHWAY CORRIDORS (Q1–Q2 2027)         │</w:t>
      </w:r>
      <w:r>
        <w:rPr>
          <w:rFonts w:eastAsia="Calibri" w:cs="Calibri"/>
          <w:sz w:val="14"/>
        </w:rPr>
        <w:br/>
        <w:t xml:space="preserve">  │ • 375-cell Delhi pilot &amp; 36-state overview     │ • 5km spatial buffers along NH-48 &amp; NH-44       │</w:t>
      </w:r>
      <w:r>
        <w:rPr>
          <w:rFonts w:eastAsia="Calibri" w:cs="Calibri"/>
          <w:sz w:val="14"/>
        </w:rPr>
        <w:br/>
        <w:t xml:space="preserve">  │ • 876 Switch Delhi, 1,909 BEE, 27</w:t>
      </w:r>
      <w:r>
        <w:rPr>
          <w:rFonts w:eastAsia="Calibri" w:cs="Calibri"/>
          <w:sz w:val="14"/>
        </w:rPr>
        <w:t>.7K OMC pumps │ • Golden Quadrilateral inter-city infill        │</w:t>
      </w:r>
      <w:r>
        <w:rPr>
          <w:rFonts w:eastAsia="Calibri" w:cs="Calibri"/>
          <w:sz w:val="14"/>
        </w:rPr>
        <w:br/>
        <w:t xml:space="preserve">  │ • Spatial Random Forest &amp; Bass Diffusion model │ • Top-5 Tier-1 Metros (Mumbai, Bengaluru, etc.) │</w:t>
      </w:r>
      <w:r>
        <w:rPr>
          <w:rFonts w:eastAsia="Calibri" w:cs="Calibri"/>
          <w:sz w:val="14"/>
        </w:rPr>
        <w:br/>
        <w:t xml:space="preserve">  │ • 28/28 automated validation assertions passed │ • PM Gati Shakti freight vector in</w:t>
      </w:r>
      <w:r>
        <w:rPr>
          <w:rFonts w:eastAsia="Calibri" w:cs="Calibri"/>
          <w:sz w:val="14"/>
        </w:rPr>
        <w:t>gestion       │</w:t>
      </w:r>
      <w:r>
        <w:rPr>
          <w:rFonts w:eastAsia="Calibri" w:cs="Calibri"/>
          <w:sz w:val="14"/>
        </w:rPr>
        <w:br/>
        <w:t xml:space="preserve">  └────────────────────────────────────────────────┼─────────────────────────────────────────────────┘</w:t>
      </w:r>
      <w:r>
        <w:rPr>
          <w:rFonts w:eastAsia="Calibri" w:cs="Calibri"/>
          <w:sz w:val="14"/>
        </w:rPr>
        <w:br/>
        <w:t xml:space="preserve">                                                   │</w:t>
      </w:r>
      <w:r>
        <w:rPr>
          <w:rFonts w:eastAsia="Calibri" w:cs="Calibri"/>
          <w:sz w:val="14"/>
        </w:rPr>
        <w:br/>
        <w:t xml:space="preserve">  ┌────────────────────────────────────────────────┼────────────────────────────────</w:t>
      </w:r>
      <w:r>
        <w:rPr>
          <w:rFonts w:eastAsia="Calibri" w:cs="Calibri"/>
          <w:sz w:val="14"/>
        </w:rPr>
        <w:t>─────────────────┐</w:t>
      </w:r>
      <w:r>
        <w:rPr>
          <w:rFonts w:eastAsia="Calibri" w:cs="Calibri"/>
          <w:sz w:val="14"/>
        </w:rPr>
        <w:br/>
        <w:t xml:space="preserve">  │ PHASE 2: DISCOM GRID INTEGRATION (Q3–Q4 2027)  │ PHASE 3: LIVE TELEMATICS &amp; SCALE (2028)         │</w:t>
      </w:r>
      <w:r>
        <w:rPr>
          <w:rFonts w:eastAsia="Calibri" w:cs="Calibri"/>
          <w:sz w:val="14"/>
        </w:rPr>
        <w:br/>
        <w:t xml:space="preserve">  │ • Direct 11kV/33kV distribution feeder GIS     │ • PM E-DRIVE live charger API telemetry         │</w:t>
      </w:r>
      <w:r>
        <w:rPr>
          <w:rFonts w:eastAsia="Calibri" w:cs="Calibri"/>
          <w:sz w:val="14"/>
        </w:rPr>
        <w:br/>
        <w:t xml:space="preserve">  │ • Real-time substation spar</w:t>
      </w:r>
      <w:r>
        <w:rPr>
          <w:rFonts w:eastAsia="Calibri" w:cs="Calibri"/>
          <w:sz w:val="14"/>
        </w:rPr>
        <w:t>e MVA capacity maps │ • Dynamic tariff &amp; utilization tracking         │</w:t>
      </w:r>
      <w:r>
        <w:rPr>
          <w:rFonts w:eastAsia="Calibri" w:cs="Calibri"/>
          <w:sz w:val="14"/>
        </w:rPr>
        <w:br/>
        <w:t xml:space="preserve">  │ • Dynamic transformer upgrade costing          │ • Pan-India municipal ward automated sizing     │</w:t>
      </w:r>
      <w:r>
        <w:rPr>
          <w:rFonts w:eastAsia="Calibri" w:cs="Calibri"/>
          <w:sz w:val="14"/>
        </w:rPr>
        <w:br/>
        <w:t xml:space="preserve">  │ • Time-of-Day (ToD) tariff optimization        │ • Open API for CPOs, OEMs, a</w:t>
      </w:r>
      <w:r>
        <w:rPr>
          <w:rFonts w:eastAsia="Calibri" w:cs="Calibri"/>
          <w:sz w:val="14"/>
        </w:rPr>
        <w:t>nd city planners    │</w:t>
      </w:r>
      <w:r>
        <w:rPr>
          <w:rFonts w:eastAsia="Calibri" w:cs="Calibri"/>
          <w:sz w:val="14"/>
        </w:rPr>
        <w:br/>
        <w:t xml:space="preserve">  └────────────────────────────────────────────────┴─────────────────────────────────────────────────┘</w:t>
      </w:r>
    </w:p>
    <w:p w:rsidR="00F425DB" w:rsidRDefault="003E2421">
      <w:pPr>
        <w:pStyle w:val="Heading2"/>
      </w:pPr>
      <w:r>
        <w:rPr>
          <w:rFonts w:ascii="Calibri" w:eastAsia="Calibri" w:hAnsi="Calibri" w:cs="Calibri"/>
        </w:rPr>
        <w:t>7. Limitations, Scope Boundaries, and Risk Mitigation</w:t>
      </w:r>
    </w:p>
    <w:tbl>
      <w:tblPr>
        <w:tblStyle w:val="TableGrid"/>
        <w:tblW w:w="0" w:type="auto"/>
        <w:jc w:val="center"/>
        <w:tblLook w:val="04A0" w:firstRow="1" w:lastRow="0" w:firstColumn="1" w:lastColumn="0" w:noHBand="0" w:noVBand="1"/>
      </w:tblPr>
      <w:tblGrid>
        <w:gridCol w:w="3360"/>
        <w:gridCol w:w="3360"/>
        <w:gridCol w:w="3360"/>
      </w:tblGrid>
      <w:tr w:rsidR="00F425DB">
        <w:trPr>
          <w:jc w:val="center"/>
        </w:trPr>
        <w:tc>
          <w:tcPr>
            <w:tcW w:w="3360" w:type="dxa"/>
            <w:shd w:val="clear" w:color="auto" w:fill="17365D"/>
          </w:tcPr>
          <w:p w:rsidR="00F425DB" w:rsidRDefault="003E2421">
            <w:r>
              <w:rPr>
                <w:rFonts w:eastAsia="Calibri" w:cs="Calibri"/>
                <w:b/>
                <w:color w:val="FFFFFF"/>
                <w:sz w:val="14"/>
              </w:rPr>
              <w:t>Practical Limitation / Risk</w:t>
            </w:r>
          </w:p>
        </w:tc>
        <w:tc>
          <w:tcPr>
            <w:tcW w:w="3360" w:type="dxa"/>
            <w:shd w:val="clear" w:color="auto" w:fill="17365D"/>
          </w:tcPr>
          <w:p w:rsidR="00F425DB" w:rsidRDefault="003E2421">
            <w:r>
              <w:rPr>
                <w:rFonts w:eastAsia="Calibri" w:cs="Calibri"/>
                <w:b/>
                <w:color w:val="FFFFFF"/>
                <w:sz w:val="14"/>
              </w:rPr>
              <w:t>Analytical Consequence</w:t>
            </w:r>
          </w:p>
        </w:tc>
        <w:tc>
          <w:tcPr>
            <w:tcW w:w="3360" w:type="dxa"/>
            <w:shd w:val="clear" w:color="auto" w:fill="17365D"/>
          </w:tcPr>
          <w:p w:rsidR="00F425DB" w:rsidRDefault="003E2421">
            <w:r>
              <w:rPr>
                <w:rFonts w:eastAsia="Calibri" w:cs="Calibri"/>
                <w:b/>
                <w:color w:val="FFFFFF"/>
                <w:sz w:val="14"/>
              </w:rPr>
              <w:t xml:space="preserve">GridSight EV Engineering </w:t>
            </w:r>
            <w:r>
              <w:rPr>
                <w:rFonts w:eastAsia="Calibri" w:cs="Calibri"/>
                <w:b/>
                <w:color w:val="FFFFFF"/>
                <w:sz w:val="14"/>
              </w:rPr>
              <w:t>Treatment</w:t>
            </w:r>
          </w:p>
        </w:tc>
      </w:tr>
      <w:tr w:rsidR="00F425DB">
        <w:trPr>
          <w:jc w:val="center"/>
        </w:trPr>
        <w:tc>
          <w:tcPr>
            <w:tcW w:w="3360" w:type="dxa"/>
          </w:tcPr>
          <w:p w:rsidR="00F425DB" w:rsidRDefault="003E2421">
            <w:r>
              <w:rPr>
                <w:rFonts w:eastAsia="Calibri" w:cs="Calibri"/>
                <w:b/>
                <w:sz w:val="14"/>
              </w:rPr>
              <w:t>No real-time charging-session logs</w:t>
            </w:r>
          </w:p>
        </w:tc>
        <w:tc>
          <w:tcPr>
            <w:tcW w:w="3360" w:type="dxa"/>
          </w:tcPr>
          <w:p w:rsidR="00F425DB" w:rsidRDefault="003E2421">
            <w:r>
              <w:rPr>
                <w:rFonts w:eastAsia="Calibri" w:cs="Calibri"/>
                <w:sz w:val="14"/>
              </w:rPr>
              <w:t>Public registries do not provide live occupancy, session duration, or connector downtime.</w:t>
            </w:r>
          </w:p>
        </w:tc>
        <w:tc>
          <w:tcPr>
            <w:tcW w:w="3360" w:type="dxa"/>
          </w:tcPr>
          <w:p w:rsidR="00F425DB" w:rsidRDefault="003E2421">
            <w:r>
              <w:rPr>
                <w:rFonts w:eastAsia="Calibri" w:cs="Calibri"/>
                <w:sz w:val="14"/>
              </w:rPr>
              <w:t>The platform reports whether physical infrastructure exists, not live availability, and applies an 82.0% OMC operational</w:t>
            </w:r>
            <w:r>
              <w:rPr>
                <w:rFonts w:eastAsia="Calibri" w:cs="Calibri"/>
                <w:sz w:val="14"/>
              </w:rPr>
              <w:t>-availability discount factor.</w:t>
            </w:r>
          </w:p>
        </w:tc>
      </w:tr>
      <w:tr w:rsidR="00F425DB">
        <w:trPr>
          <w:jc w:val="center"/>
        </w:trPr>
        <w:tc>
          <w:tcPr>
            <w:tcW w:w="3360" w:type="dxa"/>
            <w:shd w:val="clear" w:color="auto" w:fill="F2F6FA"/>
          </w:tcPr>
          <w:p w:rsidR="00F425DB" w:rsidRDefault="003E2421">
            <w:r>
              <w:rPr>
                <w:rFonts w:eastAsia="Calibri" w:cs="Calibri"/>
                <w:b/>
                <w:sz w:val="14"/>
              </w:rPr>
              <w:t>Substation proximity is not electrical capacity</w:t>
            </w:r>
          </w:p>
        </w:tc>
        <w:tc>
          <w:tcPr>
            <w:tcW w:w="3360" w:type="dxa"/>
            <w:shd w:val="clear" w:color="auto" w:fill="F2F6FA"/>
          </w:tcPr>
          <w:p w:rsidR="00F425DB" w:rsidRDefault="003E2421">
            <w:r>
              <w:rPr>
                <w:rFonts w:eastAsia="Calibri" w:cs="Calibri"/>
                <w:sz w:val="14"/>
              </w:rPr>
              <w:t>Being close to a substation does not prove that spare distribution capacity (kVA) is available.</w:t>
            </w:r>
          </w:p>
        </w:tc>
        <w:tc>
          <w:tcPr>
            <w:tcW w:w="3360" w:type="dxa"/>
            <w:shd w:val="clear" w:color="auto" w:fill="F2F6FA"/>
          </w:tcPr>
          <w:p w:rsidR="00F425DB" w:rsidRDefault="003E2421">
            <w:r>
              <w:rPr>
                <w:rFonts w:eastAsia="Calibri" w:cs="Calibri"/>
                <w:sz w:val="14"/>
              </w:rPr>
              <w:t>The interface states this limitation openly. Substations serve as proximity indi</w:t>
            </w:r>
            <w:r>
              <w:rPr>
                <w:rFonts w:eastAsia="Calibri" w:cs="Calibri"/>
                <w:sz w:val="14"/>
              </w:rPr>
              <w:t>cators, and feasibility is expressed through Tiers 1, 2, and 3.</w:t>
            </w:r>
          </w:p>
        </w:tc>
      </w:tr>
      <w:tr w:rsidR="00F425DB">
        <w:trPr>
          <w:jc w:val="center"/>
        </w:trPr>
        <w:tc>
          <w:tcPr>
            <w:tcW w:w="3360" w:type="dxa"/>
          </w:tcPr>
          <w:p w:rsidR="00F425DB" w:rsidRDefault="003E2421">
            <w:r>
              <w:rPr>
                <w:rFonts w:eastAsia="Calibri" w:cs="Calibri"/>
                <w:b/>
                <w:sz w:val="14"/>
              </w:rPr>
              <w:t>Different source dates</w:t>
            </w:r>
          </w:p>
        </w:tc>
        <w:tc>
          <w:tcPr>
            <w:tcW w:w="3360" w:type="dxa"/>
          </w:tcPr>
          <w:p w:rsidR="00F425DB" w:rsidRDefault="003E2421">
            <w:r>
              <w:rPr>
                <w:rFonts w:eastAsia="Calibri" w:cs="Calibri"/>
                <w:sz w:val="14"/>
              </w:rPr>
              <w:t>The BEE registry (October 2025) is 12 months older than MoRTH VAHAN (October 2026).</w:t>
            </w:r>
          </w:p>
        </w:tc>
        <w:tc>
          <w:tcPr>
            <w:tcW w:w="3360" w:type="dxa"/>
          </w:tcPr>
          <w:p w:rsidR="00F425DB" w:rsidRDefault="003E2421">
            <w:r>
              <w:rPr>
                <w:rFonts w:eastAsia="Calibri" w:cs="Calibri"/>
                <w:sz w:val="14"/>
              </w:rPr>
              <w:t>Sources stay separate and users pick one baseline at a time; the interface also flags the date mismatch.</w:t>
            </w:r>
          </w:p>
        </w:tc>
      </w:tr>
      <w:tr w:rsidR="00F425DB">
        <w:trPr>
          <w:jc w:val="center"/>
        </w:trPr>
        <w:tc>
          <w:tcPr>
            <w:tcW w:w="3360" w:type="dxa"/>
            <w:shd w:val="clear" w:color="auto" w:fill="F2F6FA"/>
          </w:tcPr>
          <w:p w:rsidR="00F425DB" w:rsidRDefault="003E2421">
            <w:r>
              <w:rPr>
                <w:rFonts w:eastAsia="Calibri" w:cs="Calibri"/>
                <w:b/>
                <w:sz w:val="14"/>
              </w:rPr>
              <w:t>Registered EVs without current compliance</w:t>
            </w:r>
          </w:p>
        </w:tc>
        <w:tc>
          <w:tcPr>
            <w:tcW w:w="3360" w:type="dxa"/>
            <w:shd w:val="clear" w:color="auto" w:fill="F2F6FA"/>
          </w:tcPr>
          <w:p w:rsidR="00F425DB" w:rsidRDefault="003E2421">
            <w:r>
              <w:rPr>
                <w:rFonts w:eastAsia="Calibri" w:cs="Calibri"/>
                <w:sz w:val="14"/>
              </w:rPr>
              <w:t>26.4% of registered EVs lack active fitness/PUC compliance.</w:t>
            </w:r>
          </w:p>
        </w:tc>
        <w:tc>
          <w:tcPr>
            <w:tcW w:w="3360" w:type="dxa"/>
            <w:shd w:val="clear" w:color="auto" w:fill="F2F6FA"/>
          </w:tcPr>
          <w:p w:rsidR="00F425DB" w:rsidRDefault="003E2421">
            <w:r>
              <w:rPr>
                <w:rFonts w:eastAsia="Calibri" w:cs="Calibri"/>
                <w:sz w:val="14"/>
              </w:rPr>
              <w:t>The platform shows both the compliant active veh</w:t>
            </w:r>
            <w:r>
              <w:rPr>
                <w:rFonts w:eastAsia="Calibri" w:cs="Calibri"/>
                <w:sz w:val="14"/>
              </w:rPr>
              <w:t>icles (7.87M) and the total registered fleet (10.68M) so the gap is visible.</w:t>
            </w:r>
          </w:p>
        </w:tc>
      </w:tr>
      <w:tr w:rsidR="00F425DB">
        <w:trPr>
          <w:jc w:val="center"/>
        </w:trPr>
        <w:tc>
          <w:tcPr>
            <w:tcW w:w="3360" w:type="dxa"/>
          </w:tcPr>
          <w:p w:rsidR="00F425DB" w:rsidRDefault="003E2421">
            <w:r>
              <w:rPr>
                <w:rFonts w:eastAsia="Calibri" w:cs="Calibri"/>
                <w:b/>
                <w:sz w:val="14"/>
              </w:rPr>
              <w:t>Planar projection approximation</w:t>
            </w:r>
          </w:p>
        </w:tc>
        <w:tc>
          <w:tcPr>
            <w:tcW w:w="3360" w:type="dxa"/>
          </w:tcPr>
          <w:p w:rsidR="00F425DB" w:rsidRDefault="003E2421">
            <w:r>
              <w:rPr>
                <w:rFonts w:eastAsia="Calibri" w:cs="Calibri"/>
                <w:sz w:val="14"/>
              </w:rPr>
              <w:t>An equirectangular planar approximation is used across Delhi's grid cells.</w:t>
            </w:r>
          </w:p>
        </w:tc>
        <w:tc>
          <w:tcPr>
            <w:tcW w:w="3360" w:type="dxa"/>
          </w:tcPr>
          <w:p w:rsidR="00F425DB" w:rsidRDefault="003E2421">
            <w:r>
              <w:rPr>
                <w:rFonts w:eastAsia="Calibri" w:cs="Calibri"/>
                <w:sz w:val="14"/>
              </w:rPr>
              <w:t>The reported mathematical check puts distortion below 0.05% (under 2 m/</w:t>
            </w:r>
            <w:r>
              <w:rPr>
                <w:rFonts w:eastAsia="Calibri" w:cs="Calibri"/>
                <w:sz w:val="14"/>
              </w:rPr>
              <w:t>km across Delhi's 50 km extent), within typical GPS tolerances.</w:t>
            </w:r>
          </w:p>
        </w:tc>
      </w:tr>
    </w:tbl>
    <w:p w:rsidR="00F425DB" w:rsidRDefault="00F425DB"/>
    <w:p w:rsidR="00F425DB" w:rsidRDefault="003E2421">
      <w:pPr>
        <w:pStyle w:val="Heading2"/>
      </w:pPr>
      <w:r>
        <w:rPr>
          <w:rFonts w:ascii="Calibri" w:eastAsia="Calibri" w:hAnsi="Calibri" w:cs="Calibri"/>
        </w:rPr>
        <w:t>8. Mapping the Methodology to the Evaluation Rubric</w:t>
      </w:r>
    </w:p>
    <w:tbl>
      <w:tblPr>
        <w:tblStyle w:val="TableGrid"/>
        <w:tblW w:w="0" w:type="auto"/>
        <w:jc w:val="center"/>
        <w:tblLook w:val="04A0" w:firstRow="1" w:lastRow="0" w:firstColumn="1" w:lastColumn="0" w:noHBand="0" w:noVBand="1"/>
      </w:tblPr>
      <w:tblGrid>
        <w:gridCol w:w="2519"/>
        <w:gridCol w:w="2520"/>
        <w:gridCol w:w="2520"/>
        <w:gridCol w:w="2737"/>
      </w:tblGrid>
      <w:tr w:rsidR="00F425DB">
        <w:trPr>
          <w:jc w:val="center"/>
        </w:trPr>
        <w:tc>
          <w:tcPr>
            <w:tcW w:w="2520" w:type="dxa"/>
            <w:shd w:val="clear" w:color="auto" w:fill="17365D"/>
          </w:tcPr>
          <w:p w:rsidR="00F425DB" w:rsidRDefault="003E2421">
            <w:r>
              <w:rPr>
                <w:rFonts w:eastAsia="Calibri" w:cs="Calibri"/>
                <w:b/>
                <w:color w:val="FFFFFF"/>
                <w:sz w:val="14"/>
              </w:rPr>
              <w:t>Criterion</w:t>
            </w:r>
          </w:p>
        </w:tc>
        <w:tc>
          <w:tcPr>
            <w:tcW w:w="2520" w:type="dxa"/>
            <w:shd w:val="clear" w:color="auto" w:fill="17365D"/>
          </w:tcPr>
          <w:p w:rsidR="00F425DB" w:rsidRDefault="003E2421">
            <w:r>
              <w:rPr>
                <w:rFonts w:eastAsia="Calibri" w:cs="Calibri"/>
                <w:b/>
                <w:color w:val="FFFFFF"/>
                <w:sz w:val="14"/>
              </w:rPr>
              <w:t>Weight</w:t>
            </w:r>
          </w:p>
        </w:tc>
        <w:tc>
          <w:tcPr>
            <w:tcW w:w="2520" w:type="dxa"/>
            <w:shd w:val="clear" w:color="auto" w:fill="17365D"/>
          </w:tcPr>
          <w:p w:rsidR="00F425DB" w:rsidRDefault="003E2421">
            <w:r>
              <w:rPr>
                <w:rFonts w:eastAsia="Calibri" w:cs="Calibri"/>
                <w:b/>
                <w:color w:val="FFFFFF"/>
                <w:sz w:val="14"/>
              </w:rPr>
              <w:t>Primary Methodology Section</w:t>
            </w:r>
          </w:p>
        </w:tc>
        <w:tc>
          <w:tcPr>
            <w:tcW w:w="2520" w:type="dxa"/>
            <w:shd w:val="clear" w:color="auto" w:fill="17365D"/>
          </w:tcPr>
          <w:p w:rsidR="00F425DB" w:rsidRDefault="003E2421">
            <w:r>
              <w:rPr>
                <w:rFonts w:eastAsia="Calibri" w:cs="Calibri"/>
                <w:b/>
                <w:color w:val="FFFFFF"/>
                <w:sz w:val="14"/>
              </w:rPr>
              <w:t>Codebase &amp; Technical Evidence</w:t>
            </w:r>
          </w:p>
        </w:tc>
      </w:tr>
      <w:tr w:rsidR="00F425DB">
        <w:trPr>
          <w:jc w:val="center"/>
        </w:trPr>
        <w:tc>
          <w:tcPr>
            <w:tcW w:w="2520" w:type="dxa"/>
          </w:tcPr>
          <w:p w:rsidR="00F425DB" w:rsidRDefault="003E2421">
            <w:r>
              <w:rPr>
                <w:rFonts w:eastAsia="Calibri" w:cs="Calibri"/>
                <w:b/>
                <w:sz w:val="14"/>
              </w:rPr>
              <w:t>Problem understanding and relevance</w:t>
            </w:r>
          </w:p>
        </w:tc>
        <w:tc>
          <w:tcPr>
            <w:tcW w:w="2520" w:type="dxa"/>
          </w:tcPr>
          <w:p w:rsidR="00F425DB" w:rsidRDefault="003E2421">
            <w:r>
              <w:rPr>
                <w:rFonts w:eastAsia="Calibri" w:cs="Calibri"/>
                <w:b/>
                <w:sz w:val="14"/>
              </w:rPr>
              <w:t>25%</w:t>
            </w:r>
          </w:p>
        </w:tc>
        <w:tc>
          <w:tcPr>
            <w:tcW w:w="2520" w:type="dxa"/>
          </w:tcPr>
          <w:p w:rsidR="00F425DB" w:rsidRDefault="003E2421">
            <w:r>
              <w:rPr>
                <w:rFonts w:eastAsia="Calibri" w:cs="Calibri"/>
                <w:b/>
                <w:sz w:val="14"/>
              </w:rPr>
              <w:t>Sections 1 and 2: fragmented datasets, Burari RTO bias, the limits of a universal ratio, and source separation.</w:t>
            </w:r>
          </w:p>
        </w:tc>
        <w:tc>
          <w:tcPr>
            <w:tcW w:w="2520" w:type="dxa"/>
          </w:tcPr>
          <w:p w:rsidR="00F425DB" w:rsidRDefault="003E2421">
            <w:r>
              <w:rPr>
                <w:rFonts w:eastAsia="Calibri" w:cs="Calibri"/>
                <w:sz w:val="14"/>
              </w:rPr>
              <w:t>DATA_AVAILABILITY_AUDIT.md; src/components/DelhiPilotView.tsx</w:t>
            </w:r>
          </w:p>
        </w:tc>
      </w:tr>
      <w:tr w:rsidR="00F425DB">
        <w:trPr>
          <w:jc w:val="center"/>
        </w:trPr>
        <w:tc>
          <w:tcPr>
            <w:tcW w:w="2520" w:type="dxa"/>
            <w:shd w:val="clear" w:color="auto" w:fill="F2F6FA"/>
          </w:tcPr>
          <w:p w:rsidR="00F425DB" w:rsidRDefault="003E2421">
            <w:r>
              <w:rPr>
                <w:rFonts w:eastAsia="Calibri" w:cs="Calibri"/>
                <w:b/>
                <w:sz w:val="14"/>
              </w:rPr>
              <w:t>Technical approach and feasibility</w:t>
            </w:r>
          </w:p>
        </w:tc>
        <w:tc>
          <w:tcPr>
            <w:tcW w:w="2520" w:type="dxa"/>
            <w:shd w:val="clear" w:color="auto" w:fill="F2F6FA"/>
          </w:tcPr>
          <w:p w:rsidR="00F425DB" w:rsidRDefault="003E2421">
            <w:r>
              <w:rPr>
                <w:rFonts w:eastAsia="Calibri" w:cs="Calibri"/>
                <w:b/>
                <w:sz w:val="14"/>
              </w:rPr>
              <w:t>25%</w:t>
            </w:r>
          </w:p>
        </w:tc>
        <w:tc>
          <w:tcPr>
            <w:tcW w:w="2520" w:type="dxa"/>
            <w:shd w:val="clear" w:color="auto" w:fill="F2F6FA"/>
          </w:tcPr>
          <w:p w:rsidR="00F425DB" w:rsidRDefault="003E2421">
            <w:r>
              <w:rPr>
                <w:rFonts w:eastAsia="Calibri" w:cs="Calibri"/>
                <w:b/>
                <w:sz w:val="14"/>
              </w:rPr>
              <w:t>Section 3: spatial ML regressor, sigmoid d</w:t>
            </w:r>
            <w:r>
              <w:rPr>
                <w:rFonts w:eastAsia="Calibri" w:cs="Calibri"/>
                <w:b/>
                <w:sz w:val="14"/>
              </w:rPr>
              <w:t>ecay, Bass S-curve, and bottom-up kWh sizing.</w:t>
            </w:r>
          </w:p>
        </w:tc>
        <w:tc>
          <w:tcPr>
            <w:tcW w:w="2520" w:type="dxa"/>
            <w:shd w:val="clear" w:color="auto" w:fill="F2F6FA"/>
          </w:tcPr>
          <w:p w:rsidR="00F425DB" w:rsidRDefault="003E2421">
            <w:r>
              <w:rPr>
                <w:rFonts w:eastAsia="Calibri" w:cs="Calibri"/>
                <w:sz w:val="14"/>
              </w:rPr>
              <w:t>scripts/train_ai_models.py; src/utils/planningEngine.ts</w:t>
            </w:r>
          </w:p>
        </w:tc>
      </w:tr>
      <w:tr w:rsidR="00F425DB">
        <w:trPr>
          <w:jc w:val="center"/>
        </w:trPr>
        <w:tc>
          <w:tcPr>
            <w:tcW w:w="2520" w:type="dxa"/>
          </w:tcPr>
          <w:p w:rsidR="00F425DB" w:rsidRDefault="003E2421">
            <w:r>
              <w:rPr>
                <w:rFonts w:eastAsia="Calibri" w:cs="Calibri"/>
                <w:b/>
                <w:sz w:val="14"/>
              </w:rPr>
              <w:t>Innovation and differentiation</w:t>
            </w:r>
          </w:p>
        </w:tc>
        <w:tc>
          <w:tcPr>
            <w:tcW w:w="2520" w:type="dxa"/>
          </w:tcPr>
          <w:p w:rsidR="00F425DB" w:rsidRDefault="003E2421">
            <w:r>
              <w:rPr>
                <w:rFonts w:eastAsia="Calibri" w:cs="Calibri"/>
                <w:b/>
                <w:sz w:val="14"/>
              </w:rPr>
              <w:t>20%</w:t>
            </w:r>
          </w:p>
        </w:tc>
        <w:tc>
          <w:tcPr>
            <w:tcW w:w="2520" w:type="dxa"/>
          </w:tcPr>
          <w:p w:rsidR="00F425DB" w:rsidRDefault="003E2421">
            <w:r>
              <w:rPr>
                <w:rFonts w:eastAsia="Calibri" w:cs="Calibri"/>
                <w:b/>
                <w:sz w:val="14"/>
              </w:rPr>
              <w:t>Sections 3 and 4: explainable AI, continuous distance decay, and OMC fuel-station integration.</w:t>
            </w:r>
          </w:p>
        </w:tc>
        <w:tc>
          <w:tcPr>
            <w:tcW w:w="2520" w:type="dxa"/>
          </w:tcPr>
          <w:p w:rsidR="00F425DB" w:rsidRDefault="003E2421">
            <w:r>
              <w:t>Supervised Random Forest (target: demonstrated carrying capacity; R²=0.796, R²_CV=0.333), Bass Diffusion adoption model (R²=0.992; EV30@30 ceiling M=20M), Greedy Spatial Optimizer with Conflict Graph Rejection.</w:t>
            </w:r>
          </w:p>
        </w:tc>
      </w:tr>
      <w:tr w:rsidR="00F425DB">
        <w:trPr>
          <w:jc w:val="center"/>
        </w:trPr>
        <w:tc>
          <w:tcPr>
            <w:tcW w:w="2520" w:type="dxa"/>
            <w:shd w:val="clear" w:color="auto" w:fill="F2F6FA"/>
          </w:tcPr>
          <w:p w:rsidR="00F425DB" w:rsidRDefault="003E2421">
            <w:r>
              <w:rPr>
                <w:rFonts w:eastAsia="Calibri" w:cs="Calibri"/>
                <w:b/>
                <w:sz w:val="14"/>
              </w:rPr>
              <w:t>Implementation roadmap</w:t>
            </w:r>
          </w:p>
        </w:tc>
        <w:tc>
          <w:tcPr>
            <w:tcW w:w="2520" w:type="dxa"/>
            <w:shd w:val="clear" w:color="auto" w:fill="F2F6FA"/>
          </w:tcPr>
          <w:p w:rsidR="00F425DB" w:rsidRDefault="003E2421">
            <w:r>
              <w:rPr>
                <w:rFonts w:eastAsia="Calibri" w:cs="Calibri"/>
                <w:b/>
                <w:sz w:val="14"/>
              </w:rPr>
              <w:t>20%</w:t>
            </w:r>
          </w:p>
        </w:tc>
        <w:tc>
          <w:tcPr>
            <w:tcW w:w="2520" w:type="dxa"/>
            <w:shd w:val="clear" w:color="auto" w:fill="F2F6FA"/>
          </w:tcPr>
          <w:p w:rsidR="00F425DB" w:rsidRDefault="003E2421">
            <w:r>
              <w:rPr>
                <w:rFonts w:eastAsia="Calibri" w:cs="Calibri"/>
                <w:b/>
                <w:sz w:val="14"/>
              </w:rPr>
              <w:t>Section 6: completed Phase 0, plus planned highway corridors, DISCOM/SCADA integration, and PM E-DRIVE.</w:t>
            </w:r>
          </w:p>
        </w:tc>
        <w:tc>
          <w:tcPr>
            <w:tcW w:w="2520" w:type="dxa"/>
            <w:shd w:val="clear" w:color="auto" w:fill="F2F6FA"/>
          </w:tcPr>
          <w:p w:rsidR="00F425DB" w:rsidRDefault="003E2421">
            <w:r>
              <w:rPr>
                <w:rFonts w:eastAsia="Calibri" w:cs="Calibri"/>
                <w:sz w:val="14"/>
              </w:rPr>
              <w:t>scripts/validate_processed_data.py; PRESENTATION_SLIDES.md</w:t>
            </w:r>
          </w:p>
        </w:tc>
      </w:tr>
      <w:tr w:rsidR="00F425DB">
        <w:trPr>
          <w:jc w:val="center"/>
        </w:trPr>
        <w:tc>
          <w:tcPr>
            <w:tcW w:w="2520" w:type="dxa"/>
          </w:tcPr>
          <w:p w:rsidR="00F425DB" w:rsidRDefault="003E2421">
            <w:r>
              <w:rPr>
                <w:rFonts w:eastAsia="Calibri" w:cs="Calibri"/>
                <w:b/>
                <w:sz w:val="14"/>
              </w:rPr>
              <w:t>Planned data strategy</w:t>
            </w:r>
          </w:p>
        </w:tc>
        <w:tc>
          <w:tcPr>
            <w:tcW w:w="2520" w:type="dxa"/>
          </w:tcPr>
          <w:p w:rsidR="00F425DB" w:rsidRDefault="003E2421">
            <w:r>
              <w:rPr>
                <w:rFonts w:eastAsia="Calibri" w:cs="Calibri"/>
                <w:b/>
                <w:sz w:val="14"/>
              </w:rPr>
              <w:t>10%</w:t>
            </w:r>
          </w:p>
        </w:tc>
        <w:tc>
          <w:tcPr>
            <w:tcW w:w="2520" w:type="dxa"/>
          </w:tcPr>
          <w:p w:rsidR="00F425DB" w:rsidRDefault="003E2421">
            <w:r>
              <w:rPr>
                <w:rFonts w:eastAsia="Calibri" w:cs="Calibri"/>
                <w:b/>
                <w:sz w:val="14"/>
              </w:rPr>
              <w:t>Sections 2 and 7: eight datasets, source separation, OSM scope boundaries, and 28 validation assertions.</w:t>
            </w:r>
          </w:p>
        </w:tc>
        <w:tc>
          <w:tcPr>
            <w:tcW w:w="2520" w:type="dxa"/>
          </w:tcPr>
          <w:p w:rsidR="00F425DB" w:rsidRDefault="003E2421">
            <w:r>
              <w:rPr>
                <w:rFonts w:eastAsia="Calibri" w:cs="Calibri"/>
                <w:sz w:val="14"/>
              </w:rPr>
              <w:t>data/source_manifest.csv; DATA_QUALITY_REPORT.md</w:t>
            </w:r>
          </w:p>
        </w:tc>
      </w:tr>
    </w:tbl>
    <w:p w:rsidR="00F425DB" w:rsidRDefault="00F425DB"/>
    <w:p w:rsidR="00F425DB" w:rsidRDefault="003E2421">
      <w:pPr>
        <w:pStyle w:val="Heading3"/>
      </w:pPr>
      <w:r>
        <w:rPr>
          <w:rFonts w:ascii="Calibri" w:eastAsia="Calibri" w:hAnsi="Calibri" w:cs="Calibri"/>
        </w:rPr>
        <w:lastRenderedPageBreak/>
        <w:t>Verification and Submission Note</w:t>
      </w:r>
    </w:p>
    <w:p w:rsidR="00F425DB" w:rsidRDefault="003E2421">
      <w:r>
        <w:rPr>
          <w:rFonts w:eastAsia="Calibri" w:cs="Calibri"/>
          <w:i/>
        </w:rPr>
        <w:t>This document describes the GridSight EV codebase on the main branch at commit 0fbb9a0, which has been compiled for production. The formulas, source inventory, validation checks, and architecture described here are meant to be reproducible and independentl</w:t>
      </w:r>
      <w:r>
        <w:rPr>
          <w:rFonts w:eastAsia="Calibri" w:cs="Calibri"/>
          <w:i/>
        </w:rPr>
        <w:t>y verifiable.</w:t>
      </w:r>
    </w:p>
    <w:sectPr w:rsidR="00F425DB" w:rsidSect="00034616">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2421" w:rsidRDefault="003E2421">
      <w:pPr>
        <w:spacing w:after="0" w:line="240" w:lineRule="auto"/>
      </w:pPr>
      <w:r>
        <w:separator/>
      </w:r>
    </w:p>
  </w:endnote>
  <w:endnote w:type="continuationSeparator" w:id="0">
    <w:p w:rsidR="003E2421" w:rsidRDefault="003E2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25DB" w:rsidRDefault="003E2421">
    <w:pPr>
      <w:pStyle w:val="Footer"/>
      <w:jc w:val="center"/>
    </w:pPr>
    <w:r>
      <w:t xml:space="preserve">GridSight EV | Methodology &amp; Implementation Document  •  Page </w:t>
    </w:r>
    <w:r>
      <w:fldChar w:fldCharType="begin"/>
    </w:r>
    <w:r>
      <w:instrText>PAGE</w:instrText>
    </w:r>
    <w:r>
      <w:fldChar w:fldCharType="separate"/>
    </w:r>
    <w:r w:rsidR="001578BD">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2421" w:rsidRDefault="003E2421">
      <w:pPr>
        <w:spacing w:after="0" w:line="240" w:lineRule="auto"/>
      </w:pPr>
      <w:r>
        <w:separator/>
      </w:r>
    </w:p>
  </w:footnote>
  <w:footnote w:type="continuationSeparator" w:id="0">
    <w:p w:rsidR="003E2421" w:rsidRDefault="003E24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78BD"/>
    <w:rsid w:val="0029639D"/>
    <w:rsid w:val="00326F90"/>
    <w:rsid w:val="003E2421"/>
    <w:rsid w:val="00AA1D8D"/>
    <w:rsid w:val="00B47730"/>
    <w:rsid w:val="00CB0664"/>
    <w:rsid w:val="00F425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B44FE76-9BAD-4326-8E8F-F7E68EBC9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578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adityaexpress/gridsight-ev"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rive.google.com/file/d/1FqyCZMgjRjLgFu3nu4ZrEjMyY0_0OJbe/view?usp=drivesdk" TargetMode="External"/><Relationship Id="rId4" Type="http://schemas.openxmlformats.org/officeDocument/2006/relationships/settings" Target="settings.xml"/><Relationship Id="rId9" Type="http://schemas.openxmlformats.org/officeDocument/2006/relationships/hyperlink" Target="https://gridsight-ev-git-main-aadityaexpress-projects.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31E0EC-FFA5-4BF9-80E8-EE0BFB463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3534</Words>
  <Characters>20147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23634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2026-10-26T21:06:00Z</dcterms:modified>
  <cp:category/>
</cp:coreProperties>
</file>