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cs="Arial" w:eastAsia="Arial"/>
          <w:b/>
          <w:i w:val="0"/>
          <w:color w:val="0F766E"/>
          <w:sz w:val="28"/>
        </w:rPr>
        <w:t>GridSight EV: Geospatial EV Charging Infrastructure Intelligence Platform</w:t>
      </w:r>
    </w:p>
    <w:p>
      <w:pPr>
        <w:spacing w:after="60"/>
      </w:pPr>
      <w:r>
        <w:rPr>
          <w:rFonts w:ascii="Arial" w:hAnsi="Arial" w:cs="Arial" w:eastAsia="Arial"/>
          <w:b/>
          <w:i w:val="0"/>
          <w:color w:val="475569"/>
          <w:sz w:val="20"/>
        </w:rPr>
        <w:t>Methodology Document | IIT Bombay Techfest 2026–27, Round 1 | Challenge 1: EV Infra Map India</w:t>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Look w:firstColumn="1" w:firstRow="1" w:lastColumn="0" w:lastRow="0" w:noHBand="0" w:noVBand="1" w:val="04A0"/>
      </w:tblPr>
      <w:tblGrid>
        <w:gridCol w:w="2556"/>
        <w:gridCol w:w="2556"/>
        <w:gridCol w:w="2556"/>
        <w:gridCol w:w="2556"/>
      </w:tblGrid>
      <w:tr>
        <w:trPr>
          <w:cantSplit/>
        </w:trPr>
        <w:tc>
          <w:tcPr>
            <w:tcW w:type="dxa" w:w="2556"/>
            <w:shd w:val="clear" w:color="auto" w:fill="F1F5F9"/>
            <w:tcMar>
              <w:top w:w="30" w:type="dxa"/>
              <w:left w:w="70" w:type="dxa"/>
              <w:bottom w:w="30" w:type="dxa"/>
              <w:right w:w="70" w:type="dxa"/>
            </w:tcMar>
          </w:tcPr>
          <w:p>
            <w:pPr>
              <w:spacing w:after="0"/>
            </w:pPr>
            <w:r>
              <w:rPr>
                <w:rFonts w:ascii="Arial" w:hAnsi="Arial" w:cs="Arial" w:eastAsia="Arial"/>
                <w:b/>
                <w:i w:val="0"/>
                <w:color w:val="0F172A"/>
                <w:sz w:val="20"/>
              </w:rPr>
              <w:t xml:space="preserve">Team: </w:t>
            </w:r>
            <w:r>
              <w:rPr>
                <w:rFonts w:ascii="Arial" w:hAnsi="Arial" w:cs="Arial" w:eastAsia="Arial"/>
                <w:b w:val="0"/>
                <w:i w:val="0"/>
                <w:sz w:val="20"/>
              </w:rPr>
              <w:t>Mechies (NSUT, New Delhi)</w:t>
            </w:r>
          </w:p>
        </w:tc>
        <w:tc>
          <w:tcPr>
            <w:tcW w:type="dxa" w:w="2556"/>
            <w:shd w:val="clear" w:color="auto" w:fill="F1F5F9"/>
            <w:tcMar>
              <w:top w:w="30" w:type="dxa"/>
              <w:left w:w="70" w:type="dxa"/>
              <w:bottom w:w="30" w:type="dxa"/>
              <w:right w:w="70" w:type="dxa"/>
            </w:tcMar>
          </w:tcPr>
          <w:p>
            <w:pPr>
              <w:spacing w:after="0"/>
            </w:pPr>
            <w:r>
              <w:rPr>
                <w:rFonts w:ascii="Arial" w:hAnsi="Arial" w:cs="Arial" w:eastAsia="Arial"/>
                <w:b/>
                <w:i w:val="0"/>
                <w:color w:val="0F172A"/>
                <w:sz w:val="20"/>
              </w:rPr>
              <w:t xml:space="preserve">Leader: </w:t>
            </w:r>
            <w:r>
              <w:rPr>
                <w:rFonts w:ascii="Arial" w:hAnsi="Arial" w:cs="Arial" w:eastAsia="Arial"/>
                <w:b w:val="0"/>
                <w:i w:val="0"/>
                <w:sz w:val="20"/>
              </w:rPr>
              <w:t>Kunal, kunalclass1112@gmail.com</w:t>
            </w:r>
          </w:p>
        </w:tc>
        <w:tc>
          <w:tcPr>
            <w:tcW w:type="dxa" w:w="2556"/>
            <w:shd w:val="clear" w:color="auto" w:fill="F1F5F9"/>
            <w:tcMar>
              <w:top w:w="30" w:type="dxa"/>
              <w:left w:w="70" w:type="dxa"/>
              <w:bottom w:w="30" w:type="dxa"/>
              <w:right w:w="70" w:type="dxa"/>
            </w:tcMar>
          </w:tcPr>
          <w:p>
            <w:pPr>
              <w:spacing w:after="0"/>
            </w:pPr>
            <w:r>
              <w:rPr>
                <w:rFonts w:ascii="Arial" w:hAnsi="Arial" w:cs="Arial" w:eastAsia="Arial"/>
                <w:b/>
                <w:i w:val="0"/>
                <w:color w:val="0F172A"/>
                <w:sz w:val="20"/>
              </w:rPr>
              <w:t xml:space="preserve">Code: </w:t>
            </w:r>
            <w:r>
              <w:rPr>
                <w:rFonts w:ascii="Arial" w:hAnsi="Arial" w:cs="Arial" w:eastAsia="Arial"/>
                <w:b w:val="0"/>
                <w:i w:val="0"/>
                <w:sz w:val="20"/>
              </w:rPr>
              <w:t>github.com/aadityaexpress/gridsight-ev</w:t>
            </w:r>
          </w:p>
        </w:tc>
        <w:tc>
          <w:tcPr>
            <w:tcW w:type="dxa" w:w="2556"/>
            <w:shd w:val="clear" w:color="auto" w:fill="F1F5F9"/>
            <w:tcMar>
              <w:top w:w="30" w:type="dxa"/>
              <w:left w:w="70" w:type="dxa"/>
              <w:bottom w:w="30" w:type="dxa"/>
              <w:right w:w="70" w:type="dxa"/>
            </w:tcMar>
          </w:tcPr>
          <w:p>
            <w:pPr>
              <w:spacing w:after="0"/>
            </w:pPr>
            <w:r>
              <w:rPr>
                <w:rFonts w:ascii="Arial" w:hAnsi="Arial" w:cs="Arial" w:eastAsia="Arial"/>
                <w:b/>
                <w:i w:val="0"/>
                <w:color w:val="0F172A"/>
                <w:sz w:val="20"/>
              </w:rPr>
              <w:t xml:space="preserve">Data freeze: </w:t>
            </w:r>
            <w:r>
              <w:rPr>
                <w:rFonts w:ascii="Arial" w:hAnsi="Arial" w:cs="Arial" w:eastAsia="Arial"/>
                <w:b w:val="0"/>
                <w:i w:val="0"/>
                <w:sz w:val="20"/>
              </w:rPr>
              <w:t>19 October 2026</w:t>
            </w:r>
          </w:p>
        </w:tc>
      </w:tr>
    </w:tbl>
    <w:p>
      <w:pPr>
        <w:keepNext/>
        <w:spacing w:before="140" w:after="40"/>
      </w:pPr>
      <w:r>
        <w:rPr>
          <w:rFonts w:ascii="Arial" w:hAnsi="Arial" w:cs="Arial" w:eastAsia="Arial"/>
          <w:b/>
          <w:i w:val="0"/>
          <w:color w:val="0F766E"/>
          <w:sz w:val="24"/>
        </w:rPr>
        <w:t>1. Problem Understanding and Relevance (25%)</w:t>
      </w:r>
    </w:p>
    <w:p>
      <w:r>
        <w:rPr>
          <w:rFonts w:ascii="Arial" w:hAnsi="Arial" w:cs="Arial" w:eastAsia="Arial"/>
          <w:b w:val="0"/>
          <w:i w:val="0"/>
          <w:sz w:val="20"/>
        </w:rPr>
        <w:t xml:space="preserve">India's public EV charging data is fragmented across ministries, agencies and crowdsourced maps, each with different units, dates and geographies. Planners therefore cannot answer the two questions that decide capital allocation: </w:t>
      </w:r>
      <w:r>
        <w:rPr>
          <w:rFonts w:ascii="Arial" w:hAnsi="Arial" w:cs="Arial" w:eastAsia="Arial"/>
          <w:b/>
          <w:i w:val="0"/>
          <w:sz w:val="20"/>
        </w:rPr>
        <w:t>where</w:t>
      </w:r>
      <w:r>
        <w:rPr>
          <w:rFonts w:ascii="Arial" w:hAnsi="Arial" w:cs="Arial" w:eastAsia="Arial"/>
          <w:b w:val="0"/>
          <w:i w:val="0"/>
          <w:sz w:val="20"/>
        </w:rPr>
        <w:t xml:space="preserve"> is charging missing, and </w:t>
      </w:r>
      <w:r>
        <w:rPr>
          <w:rFonts w:ascii="Arial" w:hAnsi="Arial" w:cs="Arial" w:eastAsia="Arial"/>
          <w:b/>
          <w:i w:val="0"/>
          <w:sz w:val="20"/>
        </w:rPr>
        <w:t>how much capacity</w:t>
      </w:r>
      <w:r>
        <w:rPr>
          <w:rFonts w:ascii="Arial" w:hAnsi="Arial" w:cs="Arial" w:eastAsia="Arial"/>
          <w:b w:val="0"/>
          <w:i w:val="0"/>
          <w:sz w:val="20"/>
        </w:rPr>
        <w:t xml:space="preserve"> is needed there. We identify four root problems:</w:t>
      </w:r>
    </w:p>
    <w:p>
      <w:pPr>
        <w:pStyle w:val="ListBullet"/>
        <w:spacing w:after="30"/>
      </w:pPr>
      <w:r>
        <w:rPr>
          <w:rFonts w:ascii="Arial" w:hAnsi="Arial" w:cs="Arial" w:eastAsia="Arial"/>
          <w:b/>
          <w:i w:val="0"/>
          <w:sz w:val="20"/>
        </w:rPr>
        <w:t>Registry overlap and unit ambiguity.</w:t>
      </w:r>
      <w:r>
        <w:rPr>
          <w:rFonts w:ascii="Arial" w:hAnsi="Arial" w:cs="Arial" w:eastAsia="Arial"/>
          <w:b w:val="0"/>
          <w:i w:val="0"/>
          <w:sz w:val="20"/>
        </w:rPr>
        <w:t xml:space="preserve"> BEE lists charger rows (39,641 rows, 44,066 connectors, 29,371 unique sites); MoPNG/OMC lists fuel-retail sites (27,737 installed, 22,753 operational); MHI lists FAME-II chargers (8,932); Switch Delhi lists 876 sites (573 charging, 303 swapping); OSM holds 725 national features (179 in Delhi). These are different units over overlapping assets, so summing them double-counts.</w:t>
      </w:r>
    </w:p>
    <w:p>
      <w:pPr>
        <w:pStyle w:val="ListBullet"/>
        <w:spacing w:after="30"/>
      </w:pPr>
      <w:r>
        <w:rPr>
          <w:rFonts w:ascii="Arial" w:hAnsi="Arial" w:cs="Arial" w:eastAsia="Arial"/>
          <w:b/>
          <w:i w:val="0"/>
          <w:sz w:val="20"/>
        </w:rPr>
        <w:t>Geographic mismatch.</w:t>
      </w:r>
      <w:r>
        <w:rPr>
          <w:rFonts w:ascii="Arial" w:hAnsi="Arial" w:cs="Arial" w:eastAsia="Arial"/>
          <w:b w:val="0"/>
          <w:i w:val="0"/>
          <w:sz w:val="20"/>
        </w:rPr>
        <w:t xml:space="preserve"> VAHAN demand is published by State and RTO, but chargers are points. In Delhi, commercial EVs (e-rickshaws, cabs, goods vehicles) register at Burari RTO (DL-11 to DL-14), which hides district-level demand.</w:t>
      </w:r>
    </w:p>
    <w:p>
      <w:pPr>
        <w:pStyle w:val="ListBullet"/>
        <w:spacing w:after="30"/>
      </w:pPr>
      <w:r>
        <w:rPr>
          <w:rFonts w:ascii="Arial" w:hAnsi="Arial" w:cs="Arial" w:eastAsia="Arial"/>
          <w:b/>
          <w:i w:val="0"/>
          <w:sz w:val="20"/>
        </w:rPr>
        <w:t>Electrical opacity.</w:t>
      </w:r>
      <w:r>
        <w:rPr>
          <w:rFonts w:ascii="Arial" w:hAnsi="Arial" w:cs="Arial" w:eastAsia="Arial"/>
          <w:b w:val="0"/>
          <w:i w:val="0"/>
          <w:sz w:val="20"/>
        </w:rPr>
        <w:t xml:space="preserve"> No public source gives feeder or transformer spare capacity or live connector occupancy.</w:t>
      </w:r>
    </w:p>
    <w:p>
      <w:pPr>
        <w:pStyle w:val="ListBullet"/>
        <w:spacing w:after="30"/>
      </w:pPr>
      <w:r>
        <w:rPr>
          <w:rFonts w:ascii="Arial" w:hAnsi="Arial" w:cs="Arial" w:eastAsia="Arial"/>
          <w:b/>
          <w:i w:val="0"/>
          <w:sz w:val="20"/>
        </w:rPr>
        <w:t>Proximity is not adequacy.</w:t>
      </w:r>
      <w:r>
        <w:rPr>
          <w:rFonts w:ascii="Arial" w:hAnsi="Arial" w:cs="Arial" w:eastAsia="Arial"/>
          <w:b w:val="0"/>
          <w:i w:val="0"/>
          <w:sz w:val="20"/>
        </w:rPr>
        <w:t xml:space="preserve"> A coverage circle (distance d ≤ radius r) says a charger is near, not that it can serve the fleet. Two 3.3 kW sockets within 1 km cannot serve 100 e-rickshaws that each need about 6.4 kWh/day.</w:t>
      </w:r>
    </w:p>
    <w:p>
      <w:r>
        <w:rPr>
          <w:rFonts w:ascii="Arial" w:hAnsi="Arial" w:cs="Arial" w:eastAsia="Arial"/>
          <w:b/>
          <w:i w:val="0"/>
          <w:sz w:val="20"/>
        </w:rPr>
        <w:t>Scope.</w:t>
      </w:r>
      <w:r>
        <w:rPr>
          <w:rFonts w:ascii="Arial" w:hAnsi="Arial" w:cs="Arial" w:eastAsia="Arial"/>
          <w:b w:val="0"/>
          <w:i w:val="0"/>
          <w:sz w:val="20"/>
        </w:rPr>
        <w:t xml:space="preserve"> Delhi (NCT) is the detailed spatial pilot because it has the richest open EV data. The national layer covers all 36 States/UTs using official registrations only. </w:t>
      </w:r>
      <w:r>
        <w:rPr>
          <w:rFonts w:ascii="Arial" w:hAnsi="Arial" w:cs="Arial" w:eastAsia="Arial"/>
          <w:b/>
          <w:i w:val="0"/>
          <w:sz w:val="20"/>
        </w:rPr>
        <w:t>Intended use:</w:t>
      </w:r>
      <w:r>
        <w:rPr>
          <w:rFonts w:ascii="Arial" w:hAnsi="Arial" w:cs="Arial" w:eastAsia="Arial"/>
          <w:b w:val="0"/>
          <w:i w:val="0"/>
          <w:sz w:val="20"/>
        </w:rPr>
        <w:t xml:space="preserve"> a decision-support tool for MHI, ICAT, DISCOMs and state nodal agencies to prioritise sites and size hardware.</w:t>
      </w:r>
    </w:p>
    <w:p>
      <w:pPr>
        <w:keepNext/>
        <w:spacing w:before="140" w:after="40"/>
      </w:pPr>
      <w:r>
        <w:rPr>
          <w:rFonts w:ascii="Arial" w:hAnsi="Arial" w:cs="Arial" w:eastAsia="Arial"/>
          <w:b/>
          <w:i w:val="0"/>
          <w:color w:val="0F766E"/>
          <w:sz w:val="24"/>
        </w:rPr>
        <w:t>2. Solution Overview and Implementation Status</w:t>
      </w:r>
    </w:p>
    <w:p>
      <w:r>
        <w:rPr>
          <w:rFonts w:ascii="Arial" w:hAnsi="Arial" w:cs="Arial" w:eastAsia="Arial"/>
          <w:b w:val="0"/>
          <w:i w:val="0"/>
          <w:sz w:val="20"/>
        </w:rPr>
        <w:t xml:space="preserve">GridSight EV is a four-stage pipeline: </w:t>
      </w:r>
      <w:r>
        <w:rPr>
          <w:rFonts w:ascii="Arial" w:hAnsi="Arial" w:cs="Arial" w:eastAsia="Arial"/>
          <w:b/>
          <w:i w:val="0"/>
          <w:sz w:val="20"/>
        </w:rPr>
        <w:t>(1)</w:t>
      </w:r>
      <w:r>
        <w:rPr>
          <w:rFonts w:ascii="Arial" w:hAnsi="Arial" w:cs="Arial" w:eastAsia="Arial"/>
          <w:b w:val="0"/>
          <w:i w:val="0"/>
          <w:sz w:val="20"/>
        </w:rPr>
        <w:t xml:space="preserve"> deterministic multi-source integration with a strict non-additivity rule; </w:t>
      </w:r>
      <w:r>
        <w:rPr>
          <w:rFonts w:ascii="Arial" w:hAnsi="Arial" w:cs="Arial" w:eastAsia="Arial"/>
          <w:b/>
          <w:i w:val="0"/>
          <w:sz w:val="20"/>
        </w:rPr>
        <w:t>(2)</w:t>
      </w:r>
      <w:r>
        <w:rPr>
          <w:rFonts w:ascii="Arial" w:hAnsi="Arial" w:cs="Arial" w:eastAsia="Arial"/>
          <w:b w:val="0"/>
          <w:i w:val="0"/>
          <w:sz w:val="20"/>
        </w:rPr>
        <w:t xml:space="preserve"> a 375-cell Delhi gap grid separating geometric coverage from energy adequacy; </w:t>
      </w:r>
      <w:r>
        <w:rPr>
          <w:rFonts w:ascii="Arial" w:hAnsi="Arial" w:cs="Arial" w:eastAsia="Arial"/>
          <w:b/>
          <w:i w:val="0"/>
          <w:sz w:val="20"/>
        </w:rPr>
        <w:t>(3)</w:t>
      </w:r>
      <w:r>
        <w:rPr>
          <w:rFonts w:ascii="Arial" w:hAnsi="Arial" w:cs="Arial" w:eastAsia="Arial"/>
          <w:b w:val="0"/>
          <w:i w:val="0"/>
          <w:sz w:val="20"/>
        </w:rPr>
        <w:t xml:space="preserve"> an explainable AI and optimisation layer (Random Forest demand model, Bass diffusion forecast, constrained siting); </w:t>
      </w:r>
      <w:r>
        <w:rPr>
          <w:rFonts w:ascii="Arial" w:hAnsi="Arial" w:cs="Arial" w:eastAsia="Arial"/>
          <w:b/>
          <w:i w:val="0"/>
          <w:sz w:val="20"/>
        </w:rPr>
        <w:t>(4)</w:t>
      </w:r>
      <w:r>
        <w:rPr>
          <w:rFonts w:ascii="Arial" w:hAnsi="Arial" w:cs="Arial" w:eastAsia="Arial"/>
          <w:b w:val="0"/>
          <w:i w:val="0"/>
          <w:sz w:val="20"/>
        </w:rPr>
        <w:t xml:space="preserve"> a bottom-up capacity simulator for 2026–2030 that converts fleet growth into kWh/day and hardware counts. Processing runs in Python (</w:t>
      </w:r>
      <w:r>
        <w:rPr>
          <w:rFonts w:ascii="Arial" w:hAnsi="Arial" w:cs="Arial" w:eastAsia="Arial"/>
          <w:b w:val="0"/>
          <w:i w:val="0"/>
          <w:sz w:val="20"/>
        </w:rPr>
        <w:t>scripts/process_data.py</w:t>
      </w:r>
      <w:r>
        <w:rPr>
          <w:rFonts w:ascii="Arial" w:hAnsi="Arial" w:cs="Arial" w:eastAsia="Arial"/>
          <w:b w:val="0"/>
          <w:i w:val="0"/>
          <w:sz w:val="20"/>
        </w:rPr>
        <w:t xml:space="preserve">, </w:t>
      </w:r>
      <w:r>
        <w:rPr>
          <w:rFonts w:ascii="Arial" w:hAnsi="Arial" w:cs="Arial" w:eastAsia="Arial"/>
          <w:b w:val="0"/>
          <w:i w:val="0"/>
          <w:sz w:val="20"/>
        </w:rPr>
        <w:t>train_ai_models.py</w:t>
      </w:r>
      <w:r>
        <w:rPr>
          <w:rFonts w:ascii="Arial" w:hAnsi="Arial" w:cs="Arial" w:eastAsia="Arial"/>
          <w:b w:val="0"/>
          <w:i w:val="0"/>
          <w:sz w:val="20"/>
        </w:rPr>
        <w:t>); the React/TypeScript/Leaflet front end (</w:t>
      </w:r>
      <w:r>
        <w:rPr>
          <w:rFonts w:ascii="Arial" w:hAnsi="Arial" w:cs="Arial" w:eastAsia="Arial"/>
          <w:b w:val="0"/>
          <w:i w:val="0"/>
          <w:sz w:val="20"/>
        </w:rPr>
        <w:t>src/utils/planningEngine.ts</w:t>
      </w:r>
      <w:r>
        <w:rPr>
          <w:rFonts w:ascii="Arial" w:hAnsi="Arial" w:cs="Arial" w:eastAsia="Arial"/>
          <w:b w:val="0"/>
          <w:i w:val="0"/>
          <w:sz w:val="20"/>
        </w:rPr>
        <w:t>) recomputes coverage and scenarios in the browser on keyless OpenStreetMap tiles.</w:t>
      </w:r>
    </w:p>
    <w:tbl>
      <w:tblPr>
        <w:tblW w:type="auto" w:w="0"/>
        <w:jc w:val="center"/>
        <w:tblLayout w:type="fixed"/>
        <w:tblLook w:firstColumn="1" w:firstRow="1" w:lastColumn="0" w:lastRow="0" w:noHBand="0" w:noVBand="1" w:val="04A0"/>
      </w:tblPr>
      <w:tblGrid>
        <w:gridCol w:w="10224"/>
      </w:tblGrid>
      <w:tr>
        <w:trPr>
          <w:cantSplit/>
        </w:trPr>
        <w:tc>
          <w:tcPr>
            <w:tcW w:type="dxa" w:w="10224"/>
            <w:tcBorders>
              <w:left w:val="single" w:sz="18" w:space="0" w:color="0F766E"/>
            </w:tcBorders>
            <w:shd w:val="clear" w:color="auto" w:fill="F0FDFA"/>
            <w:tcMar>
              <w:top w:w="40" w:type="dxa"/>
              <w:left w:w="100" w:type="dxa"/>
              <w:bottom w:w="40" w:type="dxa"/>
              <w:right w:w="100" w:type="dxa"/>
            </w:tcMar>
          </w:tcPr>
          <w:p>
            <w:pPr>
              <w:spacing w:after="0"/>
            </w:pPr>
            <w:r>
              <w:rPr>
                <w:rFonts w:ascii="Arial" w:hAnsi="Arial" w:cs="Arial" w:eastAsia="Arial"/>
                <w:b/>
                <w:i w:val="0"/>
                <w:color w:val="0F766E"/>
                <w:sz w:val="20"/>
              </w:rPr>
              <w:t xml:space="preserve">Implemented vs planned. </w:t>
            </w:r>
            <w:r>
              <w:rPr>
                <w:rFonts w:ascii="Arial" w:hAnsi="Arial" w:cs="Arial" w:eastAsia="Arial"/>
                <w:b/>
                <w:i w:val="0"/>
                <w:sz w:val="20"/>
              </w:rPr>
              <w:t>Implemented and verified (Phase 0):</w:t>
            </w:r>
            <w:r>
              <w:rPr>
                <w:rFonts w:ascii="Arial" w:hAnsi="Arial" w:cs="Arial" w:eastAsia="Arial"/>
                <w:b w:val="0"/>
                <w:i w:val="0"/>
                <w:sz w:val="20"/>
              </w:rPr>
              <w:t xml:space="preserve"> 36-State demand choropleths; BEE, OMC, FAME-II, Switch Delhi and OSM as separate baselines; 375-cell grid; Random Forest; Bass forecast; 25-site siting optimiser; capacity simulator; 28/28 data assertions; deployed web app. </w:t>
            </w:r>
            <w:r>
              <w:rPr>
                <w:rFonts w:ascii="Arial" w:hAnsi="Arial" w:cs="Arial" w:eastAsia="Arial"/>
                <w:b/>
                <w:i w:val="0"/>
                <w:sz w:val="20"/>
              </w:rPr>
              <w:t>Planned (Phases 1–3):</w:t>
            </w:r>
            <w:r>
              <w:rPr>
                <w:rFonts w:ascii="Arial" w:hAnsi="Arial" w:cs="Arial" w:eastAsia="Arial"/>
                <w:b w:val="0"/>
                <w:i w:val="0"/>
                <w:sz w:val="20"/>
              </w:rPr>
              <w:t xml:space="preserve"> highway corridors, DISCOM voltage-tier grid proxy, containerised offline deployment (Section 8).</w:t>
            </w:r>
          </w:p>
        </w:tc>
      </w:tr>
    </w:tbl>
    <w:p>
      <w:pPr>
        <w:spacing w:after="0" w:line="60" w:lineRule="exact"/>
      </w:pPr>
      <w:r>
        <w:rPr>
          <w:rFonts w:ascii="Arial" w:hAnsi="Arial" w:cs="Arial" w:eastAsia="Arial"/>
          <w:b w:val="0"/>
          <w:i w:val="0"/>
          <w:sz w:val="20"/>
        </w:rPr>
      </w:r>
    </w:p>
    <w:p>
      <w:pPr>
        <w:keepNext/>
        <w:spacing w:before="140" w:after="40"/>
      </w:pPr>
      <w:r>
        <w:rPr>
          <w:rFonts w:ascii="Arial" w:hAnsi="Arial" w:cs="Arial" w:eastAsia="Arial"/>
          <w:b/>
          <w:i w:val="0"/>
          <w:color w:val="0F766E"/>
          <w:sz w:val="24"/>
        </w:rPr>
        <w:t>3. Data Strategy and Provenance (10%)</w:t>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Look w:firstColumn="1" w:firstRow="1" w:lastColumn="0" w:lastRow="0" w:noHBand="0" w:noVBand="1" w:val="04A0"/>
      </w:tblPr>
      <w:tblGrid>
        <w:gridCol w:w="3408"/>
        <w:gridCol w:w="3408"/>
        <w:gridCol w:w="3408"/>
      </w:tblGrid>
      <w:tr>
        <w:trPr>
          <w:cantSplit/>
        </w:trPr>
        <w:tc>
          <w:tcPr>
            <w:tcW w:type="dxa" w:w="2952"/>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Source (ID)</w:t>
            </w:r>
          </w:p>
        </w:tc>
        <w:tc>
          <w:tcPr>
            <w:tcW w:type="dxa" w:w="2088"/>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Vintage / unit</w:t>
            </w:r>
          </w:p>
        </w:tc>
        <w:tc>
          <w:tcPr>
            <w:tcW w:type="dxa" w:w="5184"/>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Role, limitation and treatment</w:t>
            </w:r>
          </w:p>
        </w:tc>
      </w:tr>
      <w:tr>
        <w:trPr>
          <w:cantSplit/>
        </w:trPr>
        <w:tc>
          <w:tcPr>
            <w:tcW w:type="dxa" w:w="2952"/>
            <w:shd w:val="clear" w:color="auto" w:fill="FFFFFF"/>
            <w:tcMar>
              <w:top w:w="30" w:type="dxa"/>
              <w:left w:w="70" w:type="dxa"/>
              <w:bottom w:w="30" w:type="dxa"/>
              <w:right w:w="70" w:type="dxa"/>
            </w:tcMar>
          </w:tcPr>
          <w:p>
            <w:pPr>
              <w:spacing w:after="0"/>
            </w:pPr>
            <w:r>
              <w:rPr>
                <w:rFonts w:ascii="Arial" w:hAnsi="Arial" w:cs="Arial" w:eastAsia="Arial"/>
                <w:b w:val="0"/>
                <w:i w:val="0"/>
                <w:sz w:val="20"/>
              </w:rPr>
              <w:t>BEE public charging registry (SRC-01)</w:t>
            </w:r>
          </w:p>
        </w:tc>
        <w:tc>
          <w:tcPr>
            <w:tcW w:type="dxa" w:w="2088"/>
            <w:shd w:val="clear" w:color="auto" w:fill="FFFFFF"/>
            <w:tcMar>
              <w:top w:w="30" w:type="dxa"/>
              <w:left w:w="70" w:type="dxa"/>
              <w:bottom w:w="30" w:type="dxa"/>
              <w:right w:w="70" w:type="dxa"/>
            </w:tcMar>
          </w:tcPr>
          <w:p>
            <w:pPr>
              <w:spacing w:after="0"/>
            </w:pPr>
            <w:r>
              <w:rPr>
                <w:rFonts w:ascii="Arial" w:hAnsi="Arial" w:cs="Arial" w:eastAsia="Arial"/>
                <w:b w:val="0"/>
                <w:i w:val="0"/>
                <w:sz w:val="20"/>
              </w:rPr>
              <w:t>to 26 Oct 2025; site</w:t>
            </w:r>
          </w:p>
        </w:tc>
        <w:tc>
          <w:tcPr>
            <w:tcW w:type="dxa" w:w="5184"/>
            <w:shd w:val="clear" w:color="auto" w:fill="FFFFFF"/>
            <w:tcMar>
              <w:top w:w="30" w:type="dxa"/>
              <w:left w:w="70" w:type="dxa"/>
              <w:bottom w:w="30" w:type="dxa"/>
              <w:right w:w="70" w:type="dxa"/>
            </w:tcMar>
          </w:tcPr>
          <w:p>
            <w:pPr>
              <w:spacing w:after="0"/>
            </w:pPr>
            <w:r>
              <w:rPr>
                <w:rFonts w:ascii="Arial" w:hAnsi="Arial" w:cs="Arial" w:eastAsia="Arial"/>
                <w:b w:val="0"/>
                <w:i w:val="0"/>
                <w:sz w:val="20"/>
              </w:rPr>
              <w:t>39,641 rows, 29,371 sites. Static PDF, no operating status; 119 bad coordinates isolated but kept in state totals.</w:t>
            </w:r>
          </w:p>
        </w:tc>
      </w:tr>
      <w:tr>
        <w:trPr>
          <w:cantSplit/>
        </w:trPr>
        <w:tc>
          <w:tcPr>
            <w:tcW w:type="dxa" w:w="2952"/>
            <w:shd w:val="clear" w:color="auto" w:fill="F8FAFC"/>
            <w:tcMar>
              <w:top w:w="30" w:type="dxa"/>
              <w:left w:w="70" w:type="dxa"/>
              <w:bottom w:w="30" w:type="dxa"/>
              <w:right w:w="70" w:type="dxa"/>
            </w:tcMar>
          </w:tcPr>
          <w:p>
            <w:pPr>
              <w:spacing w:after="0"/>
            </w:pPr>
            <w:r>
              <w:rPr>
                <w:rFonts w:ascii="Arial" w:hAnsi="Arial" w:cs="Arial" w:eastAsia="Arial"/>
                <w:b w:val="0"/>
                <w:i w:val="0"/>
                <w:sz w:val="20"/>
              </w:rPr>
              <w:t>MoPNG/OMC and MHI FAME-II, PIB (SRC-02/03)</w:t>
            </w:r>
          </w:p>
        </w:tc>
        <w:tc>
          <w:tcPr>
            <w:tcW w:type="dxa" w:w="2088"/>
            <w:shd w:val="clear" w:color="auto" w:fill="F8FAFC"/>
            <w:tcMar>
              <w:top w:w="30" w:type="dxa"/>
              <w:left w:w="70" w:type="dxa"/>
              <w:bottom w:w="30" w:type="dxa"/>
              <w:right w:w="70" w:type="dxa"/>
            </w:tcMar>
          </w:tcPr>
          <w:p>
            <w:pPr>
              <w:spacing w:after="0"/>
            </w:pPr>
            <w:r>
              <w:rPr>
                <w:rFonts w:ascii="Arial" w:hAnsi="Arial" w:cs="Arial" w:eastAsia="Arial"/>
                <w:b w:val="0"/>
                <w:i w:val="0"/>
                <w:sz w:val="20"/>
              </w:rPr>
              <w:t>to 1 Mar 2026; State</w:t>
            </w:r>
          </w:p>
        </w:tc>
        <w:tc>
          <w:tcPr>
            <w:tcW w:type="dxa" w:w="5184"/>
            <w:shd w:val="clear" w:color="auto" w:fill="F8FAFC"/>
            <w:tcMar>
              <w:top w:w="30" w:type="dxa"/>
              <w:left w:w="70" w:type="dxa"/>
              <w:bottom w:w="30" w:type="dxa"/>
              <w:right w:w="70" w:type="dxa"/>
            </w:tcMar>
          </w:tcPr>
          <w:p>
            <w:pPr>
              <w:spacing w:after="0"/>
            </w:pPr>
            <w:r>
              <w:rPr>
                <w:rFonts w:ascii="Arial" w:hAnsi="Arial" w:cs="Arial" w:eastAsia="Arial"/>
                <w:b w:val="0"/>
                <w:i w:val="0"/>
                <w:sz w:val="20"/>
              </w:rPr>
              <w:t>22,753 operational OMC sites; 8,932 FAME-II chargers. Scheme or retailer subsets, kept as separate layers.</w:t>
            </w:r>
          </w:p>
        </w:tc>
      </w:tr>
      <w:tr>
        <w:trPr>
          <w:cantSplit/>
        </w:trPr>
        <w:tc>
          <w:tcPr>
            <w:tcW w:type="dxa" w:w="2952"/>
            <w:shd w:val="clear" w:color="auto" w:fill="FFFFFF"/>
            <w:tcMar>
              <w:top w:w="30" w:type="dxa"/>
              <w:left w:w="70" w:type="dxa"/>
              <w:bottom w:w="30" w:type="dxa"/>
              <w:right w:w="70" w:type="dxa"/>
            </w:tcMar>
          </w:tcPr>
          <w:p>
            <w:pPr>
              <w:spacing w:after="0"/>
            </w:pPr>
            <w:r>
              <w:rPr>
                <w:rFonts w:ascii="Arial" w:hAnsi="Arial" w:cs="Arial" w:eastAsia="Arial"/>
                <w:b w:val="0"/>
                <w:i w:val="0"/>
                <w:sz w:val="20"/>
              </w:rPr>
              <w:t>Switch Delhi, GNCTD (SRC-04)</w:t>
            </w:r>
          </w:p>
        </w:tc>
        <w:tc>
          <w:tcPr>
            <w:tcW w:type="dxa" w:w="2088"/>
            <w:shd w:val="clear" w:color="auto" w:fill="FFFFFF"/>
            <w:tcMar>
              <w:top w:w="30" w:type="dxa"/>
              <w:left w:w="70" w:type="dxa"/>
              <w:bottom w:w="30" w:type="dxa"/>
              <w:right w:w="70" w:type="dxa"/>
            </w:tcMar>
          </w:tcPr>
          <w:p>
            <w:pPr>
              <w:spacing w:after="0"/>
            </w:pPr>
            <w:r>
              <w:rPr>
                <w:rFonts w:ascii="Arial" w:hAnsi="Arial" w:cs="Arial" w:eastAsia="Arial"/>
                <w:b w:val="0"/>
                <w:i w:val="0"/>
                <w:sz w:val="20"/>
              </w:rPr>
              <w:t>19 Oct 2026; site</w:t>
            </w:r>
          </w:p>
        </w:tc>
        <w:tc>
          <w:tcPr>
            <w:tcW w:type="dxa" w:w="5184"/>
            <w:shd w:val="clear" w:color="auto" w:fill="FFFFFF"/>
            <w:tcMar>
              <w:top w:w="30" w:type="dxa"/>
              <w:left w:w="70" w:type="dxa"/>
              <w:bottom w:w="30" w:type="dxa"/>
              <w:right w:w="70" w:type="dxa"/>
            </w:tcMar>
          </w:tcPr>
          <w:p>
            <w:pPr>
              <w:spacing w:after="0"/>
            </w:pPr>
            <w:r>
              <w:rPr>
                <w:rFonts w:ascii="Arial" w:hAnsi="Arial" w:cs="Arial" w:eastAsia="Arial"/>
                <w:b w:val="0"/>
                <w:i w:val="0"/>
                <w:sz w:val="20"/>
              </w:rPr>
              <w:t>876 sites after removing 15 duplicate kiosks; 121 swap kiosks geocoded to PIN centroid. Training target for the demand model.</w:t>
            </w:r>
          </w:p>
        </w:tc>
      </w:tr>
      <w:tr>
        <w:trPr>
          <w:cantSplit/>
        </w:trPr>
        <w:tc>
          <w:tcPr>
            <w:tcW w:type="dxa" w:w="2952"/>
            <w:shd w:val="clear" w:color="auto" w:fill="F8FAFC"/>
            <w:tcMar>
              <w:top w:w="30" w:type="dxa"/>
              <w:left w:w="70" w:type="dxa"/>
              <w:bottom w:w="30" w:type="dxa"/>
              <w:right w:w="70" w:type="dxa"/>
            </w:tcMar>
          </w:tcPr>
          <w:p>
            <w:pPr>
              <w:spacing w:after="0"/>
            </w:pPr>
            <w:r>
              <w:rPr>
                <w:rFonts w:ascii="Arial" w:hAnsi="Arial" w:cs="Arial" w:eastAsia="Arial"/>
                <w:b w:val="0"/>
                <w:i w:val="0"/>
                <w:sz w:val="20"/>
              </w:rPr>
              <w:t>OpenStreetMap (SRC-05, 08, 10C, 11C)</w:t>
            </w:r>
          </w:p>
        </w:tc>
        <w:tc>
          <w:tcPr>
            <w:tcW w:type="dxa" w:w="2088"/>
            <w:shd w:val="clear" w:color="auto" w:fill="F8FAFC"/>
            <w:tcMar>
              <w:top w:w="30" w:type="dxa"/>
              <w:left w:w="70" w:type="dxa"/>
              <w:bottom w:w="30" w:type="dxa"/>
              <w:right w:w="70" w:type="dxa"/>
            </w:tcMar>
          </w:tcPr>
          <w:p>
            <w:pPr>
              <w:spacing w:after="0"/>
            </w:pPr>
            <w:r>
              <w:rPr>
                <w:rFonts w:ascii="Arial" w:hAnsi="Arial" w:cs="Arial" w:eastAsia="Arial"/>
                <w:b w:val="0"/>
                <w:i w:val="0"/>
                <w:sz w:val="20"/>
              </w:rPr>
              <w:t>19 Oct 2026; point/line</w:t>
            </w:r>
          </w:p>
        </w:tc>
        <w:tc>
          <w:tcPr>
            <w:tcW w:type="dxa" w:w="5184"/>
            <w:shd w:val="clear" w:color="auto" w:fill="F8FAFC"/>
            <w:tcMar>
              <w:top w:w="30" w:type="dxa"/>
              <w:left w:w="70" w:type="dxa"/>
              <w:bottom w:w="30" w:type="dxa"/>
              <w:right w:w="70" w:type="dxa"/>
            </w:tcMar>
          </w:tcPr>
          <w:p>
            <w:pPr>
              <w:spacing w:after="0"/>
            </w:pPr>
            <w:r>
              <w:rPr>
                <w:rFonts w:ascii="Arial" w:hAnsi="Arial" w:cs="Arial" w:eastAsia="Arial"/>
                <w:b w:val="0"/>
                <w:i w:val="0"/>
                <w:sz w:val="20"/>
              </w:rPr>
              <w:t>179 Delhi stations (cross-check only), 8,087 road segments, 576 substations/transformers, 3,534 POIs. Crowdsourced; used only inside Delhi.</w:t>
            </w:r>
          </w:p>
        </w:tc>
      </w:tr>
      <w:tr>
        <w:trPr>
          <w:cantSplit/>
        </w:trPr>
        <w:tc>
          <w:tcPr>
            <w:tcW w:type="dxa" w:w="2952"/>
            <w:shd w:val="clear" w:color="auto" w:fill="FFFFFF"/>
            <w:tcMar>
              <w:top w:w="30" w:type="dxa"/>
              <w:left w:w="70" w:type="dxa"/>
              <w:bottom w:w="30" w:type="dxa"/>
              <w:right w:w="70" w:type="dxa"/>
            </w:tcMar>
          </w:tcPr>
          <w:p>
            <w:pPr>
              <w:spacing w:after="0"/>
            </w:pPr>
            <w:r>
              <w:rPr>
                <w:rFonts w:ascii="Arial" w:hAnsi="Arial" w:cs="Arial" w:eastAsia="Arial"/>
                <w:b w:val="0"/>
                <w:i w:val="0"/>
                <w:sz w:val="20"/>
              </w:rPr>
              <w:t>VAHAN 4, MoRTH (SRC-06)</w:t>
            </w:r>
          </w:p>
        </w:tc>
        <w:tc>
          <w:tcPr>
            <w:tcW w:type="dxa" w:w="2088"/>
            <w:shd w:val="clear" w:color="auto" w:fill="FFFFFF"/>
            <w:tcMar>
              <w:top w:w="30" w:type="dxa"/>
              <w:left w:w="70" w:type="dxa"/>
              <w:bottom w:w="30" w:type="dxa"/>
              <w:right w:w="70" w:type="dxa"/>
            </w:tcMar>
          </w:tcPr>
          <w:p>
            <w:pPr>
              <w:spacing w:after="0"/>
            </w:pPr>
            <w:r>
              <w:rPr>
                <w:rFonts w:ascii="Arial" w:hAnsi="Arial" w:cs="Arial" w:eastAsia="Arial"/>
                <w:b w:val="0"/>
                <w:i w:val="0"/>
                <w:sz w:val="20"/>
              </w:rPr>
              <w:t>19 Oct 2026; State/RTO</w:t>
            </w:r>
          </w:p>
        </w:tc>
        <w:tc>
          <w:tcPr>
            <w:tcW w:type="dxa" w:w="5184"/>
            <w:shd w:val="clear" w:color="auto" w:fill="FFFFFF"/>
            <w:tcMar>
              <w:top w:w="30" w:type="dxa"/>
              <w:left w:w="70" w:type="dxa"/>
              <w:bottom w:w="30" w:type="dxa"/>
              <w:right w:w="70" w:type="dxa"/>
            </w:tcMar>
          </w:tcPr>
          <w:p>
            <w:pPr>
              <w:spacing w:after="0"/>
            </w:pPr>
            <w:r>
              <w:rPr>
                <w:rFonts w:ascii="Arial" w:hAnsi="Arial" w:cs="Arial" w:eastAsia="Arial"/>
                <w:b w:val="0"/>
                <w:i w:val="0"/>
                <w:sz w:val="20"/>
              </w:rPr>
              <w:t>10,689,490 active EVs; 549,153 in Delhi. Includes 26.4% non-compliant active vehicles.</w:t>
            </w:r>
          </w:p>
        </w:tc>
      </w:tr>
      <w:tr>
        <w:trPr>
          <w:cantSplit/>
        </w:trPr>
        <w:tc>
          <w:tcPr>
            <w:tcW w:type="dxa" w:w="2952"/>
            <w:shd w:val="clear" w:color="auto" w:fill="F8FAFC"/>
            <w:tcMar>
              <w:top w:w="30" w:type="dxa"/>
              <w:left w:w="70" w:type="dxa"/>
              <w:bottom w:w="30" w:type="dxa"/>
              <w:right w:w="70" w:type="dxa"/>
            </w:tcMar>
          </w:tcPr>
          <w:p>
            <w:pPr>
              <w:spacing w:after="0"/>
            </w:pPr>
            <w:r>
              <w:rPr>
                <w:rFonts w:ascii="Arial" w:hAnsi="Arial" w:cs="Arial" w:eastAsia="Arial"/>
                <w:b w:val="0"/>
                <w:i w:val="0"/>
                <w:sz w:val="20"/>
              </w:rPr>
              <w:t>DataMeet boundaries (SRC-07); WorldPop 1 km (SRC-09)</w:t>
            </w:r>
          </w:p>
        </w:tc>
        <w:tc>
          <w:tcPr>
            <w:tcW w:type="dxa" w:w="2088"/>
            <w:shd w:val="clear" w:color="auto" w:fill="F8FAFC"/>
            <w:tcMar>
              <w:top w:w="30" w:type="dxa"/>
              <w:left w:w="70" w:type="dxa"/>
              <w:bottom w:w="30" w:type="dxa"/>
              <w:right w:w="70" w:type="dxa"/>
            </w:tcMar>
          </w:tcPr>
          <w:p>
            <w:pPr>
              <w:spacing w:after="0"/>
            </w:pPr>
            <w:r>
              <w:rPr>
                <w:rFonts w:ascii="Arial" w:hAnsi="Arial" w:cs="Arial" w:eastAsia="Arial"/>
                <w:b w:val="0"/>
                <w:i w:val="0"/>
                <w:sz w:val="20"/>
              </w:rPr>
              <w:t>2011/2019; 2020 scaled to 2025</w:t>
            </w:r>
          </w:p>
        </w:tc>
        <w:tc>
          <w:tcPr>
            <w:tcW w:type="dxa" w:w="5184"/>
            <w:shd w:val="clear" w:color="auto" w:fill="F8FAFC"/>
            <w:tcMar>
              <w:top w:w="30" w:type="dxa"/>
              <w:left w:w="70" w:type="dxa"/>
              <w:bottom w:w="30" w:type="dxa"/>
              <w:right w:w="70" w:type="dxa"/>
            </w:tcMar>
          </w:tcPr>
          <w:p>
            <w:pPr>
              <w:spacing w:after="0"/>
            </w:pPr>
            <w:r>
              <w:rPr>
                <w:rFonts w:ascii="Arial" w:hAnsi="Arial" w:cs="Arial" w:eastAsia="Arial"/>
                <w:b w:val="0"/>
                <w:i w:val="0"/>
                <w:sz w:val="20"/>
              </w:rPr>
              <w:t>36 State and 9 Delhi district polygons (CC BY 4.0). Population scaled to the NCP 2025 Delhi projection of 22.3 million.</w:t>
            </w:r>
          </w:p>
        </w:tc>
      </w:tr>
      <w:tr>
        <w:trPr>
          <w:cantSplit/>
        </w:trPr>
        <w:tc>
          <w:tcPr>
            <w:tcW w:type="dxa" w:w="2952"/>
            <w:shd w:val="clear" w:color="auto" w:fill="FFFFFF"/>
            <w:tcMar>
              <w:top w:w="30" w:type="dxa"/>
              <w:left w:w="70" w:type="dxa"/>
              <w:bottom w:w="30" w:type="dxa"/>
              <w:right w:w="70" w:type="dxa"/>
            </w:tcMar>
          </w:tcPr>
          <w:p>
            <w:pPr>
              <w:spacing w:after="0"/>
            </w:pPr>
            <w:r>
              <w:rPr>
                <w:rFonts w:ascii="Arial" w:hAnsi="Arial" w:cs="Arial" w:eastAsia="Arial"/>
                <w:b w:val="0"/>
                <w:i w:val="0"/>
                <w:sz w:val="20"/>
              </w:rPr>
              <w:t>NITI Aayog/WRI IEMI 2025; BEE/SERC tariffs (SRC-10B, 11A)</w:t>
            </w:r>
          </w:p>
        </w:tc>
        <w:tc>
          <w:tcPr>
            <w:tcW w:type="dxa" w:w="2088"/>
            <w:shd w:val="clear" w:color="auto" w:fill="FFFFFF"/>
            <w:tcMar>
              <w:top w:w="30" w:type="dxa"/>
              <w:left w:w="70" w:type="dxa"/>
              <w:bottom w:w="30" w:type="dxa"/>
              <w:right w:w="70" w:type="dxa"/>
            </w:tcMar>
          </w:tcPr>
          <w:p>
            <w:pPr>
              <w:spacing w:after="0"/>
            </w:pPr>
            <w:r>
              <w:rPr>
                <w:rFonts w:ascii="Arial" w:hAnsi="Arial" w:cs="Arial" w:eastAsia="Arial"/>
                <w:b w:val="0"/>
                <w:i w:val="0"/>
                <w:sz w:val="20"/>
              </w:rPr>
              <w:t>2025; State</w:t>
            </w:r>
          </w:p>
        </w:tc>
        <w:tc>
          <w:tcPr>
            <w:tcW w:type="dxa" w:w="5184"/>
            <w:shd w:val="clear" w:color="auto" w:fill="FFFFFF"/>
            <w:tcMar>
              <w:top w:w="30" w:type="dxa"/>
              <w:left w:w="70" w:type="dxa"/>
              <w:bottom w:w="30" w:type="dxa"/>
              <w:right w:w="70" w:type="dxa"/>
            </w:tcMar>
          </w:tcPr>
          <w:p>
            <w:pPr>
              <w:spacing w:after="0"/>
            </w:pPr>
            <w:r>
              <w:rPr>
                <w:rFonts w:ascii="Arial" w:hAnsi="Arial" w:cs="Arial" w:eastAsia="Arial"/>
                <w:b w:val="0"/>
                <w:i w:val="0"/>
                <w:sz w:val="20"/>
              </w:rPr>
              <w:t>Secondary benchmarks and tariff context only; three States have no notified tariff.</w:t>
            </w:r>
          </w:p>
        </w:tc>
      </w:tr>
    </w:tbl>
    <w:p>
      <w:pPr>
        <w:spacing w:after="0" w:line="80" w:lineRule="exact"/>
      </w:pPr>
      <w:r>
        <w:rPr>
          <w:rFonts w:ascii="Arial" w:hAnsi="Arial" w:cs="Arial" w:eastAsia="Arial"/>
          <w:b w:val="0"/>
          <w:i w:val="0"/>
          <w:sz w:val="20"/>
        </w:rPr>
      </w:r>
    </w:p>
    <w:p>
      <w:pPr>
        <w:pStyle w:val="ListBullet"/>
        <w:spacing w:after="30"/>
      </w:pPr>
      <w:r>
        <w:rPr>
          <w:rFonts w:ascii="Arial" w:hAnsi="Arial" w:cs="Arial" w:eastAsia="Arial"/>
          <w:b/>
          <w:i w:val="0"/>
          <w:sz w:val="20"/>
        </w:rPr>
        <w:t>Non-additivity rule.</w:t>
      </w:r>
      <w:r>
        <w:rPr>
          <w:rFonts w:ascii="Arial" w:hAnsi="Arial" w:cs="Arial" w:eastAsia="Arial"/>
          <w:b w:val="0"/>
          <w:i w:val="0"/>
          <w:sz w:val="20"/>
        </w:rPr>
        <w:t xml:space="preserve"> BEE, OMC, FAME-II, Switch Delhi and OSM are independent baselines; the interface shows one at a time and never adds them.</w:t>
      </w:r>
    </w:p>
    <w:p>
      <w:pPr>
        <w:pStyle w:val="ListBullet"/>
        <w:spacing w:after="30"/>
      </w:pPr>
      <w:r>
        <w:rPr>
          <w:rFonts w:ascii="Arial" w:hAnsi="Arial" w:cs="Arial" w:eastAsia="Arial"/>
          <w:b/>
          <w:i w:val="0"/>
          <w:sz w:val="20"/>
        </w:rPr>
        <w:t>Two VAHAN fuel tags.</w:t>
      </w:r>
      <w:r>
        <w:rPr>
          <w:rFonts w:ascii="Arial" w:hAnsi="Arial" w:cs="Arial" w:eastAsia="Arial"/>
          <w:b w:val="0"/>
          <w:i w:val="0"/>
          <w:sz w:val="20"/>
        </w:rPr>
        <w:t xml:space="preserve"> </w:t>
      </w:r>
      <w:r>
        <w:rPr>
          <w:rFonts w:ascii="Arial" w:hAnsi="Arial" w:cs="Arial" w:eastAsia="Arial"/>
          <w:b w:val="0"/>
          <w:i w:val="0"/>
          <w:sz w:val="20"/>
        </w:rPr>
        <w:t>ELECTRIC(BOV)</w:t>
      </w:r>
      <w:r>
        <w:rPr>
          <w:rFonts w:ascii="Arial" w:hAnsi="Arial" w:cs="Arial" w:eastAsia="Arial"/>
          <w:b w:val="0"/>
          <w:i w:val="0"/>
          <w:sz w:val="20"/>
        </w:rPr>
        <w:t xml:space="preserve"> (6.35 M) alone misses </w:t>
      </w:r>
      <w:r>
        <w:rPr>
          <w:rFonts w:ascii="Arial" w:hAnsi="Arial" w:cs="Arial" w:eastAsia="Arial"/>
          <w:b w:val="0"/>
          <w:i w:val="0"/>
          <w:sz w:val="20"/>
        </w:rPr>
        <w:t>PURE EV</w:t>
      </w:r>
      <w:r>
        <w:rPr>
          <w:rFonts w:ascii="Arial" w:hAnsi="Arial" w:cs="Arial" w:eastAsia="Arial"/>
          <w:b w:val="0"/>
          <w:i w:val="0"/>
          <w:sz w:val="20"/>
        </w:rPr>
        <w:t xml:space="preserve"> (4.34 M); both are combined. Compliant (7.87 M) and non-compliant (2.82 M) vehicles are shown separately to give lower and upper demand bounds.</w:t>
      </w:r>
    </w:p>
    <w:p>
      <w:pPr>
        <w:pStyle w:val="ListBullet"/>
        <w:spacing w:after="30"/>
      </w:pPr>
      <w:r>
        <w:rPr>
          <w:rFonts w:ascii="Arial" w:hAnsi="Arial" w:cs="Arial" w:eastAsia="Arial"/>
          <w:b/>
          <w:i w:val="0"/>
          <w:sz w:val="20"/>
        </w:rPr>
        <w:t>State harmonisation.</w:t>
      </w:r>
      <w:r>
        <w:rPr>
          <w:rFonts w:ascii="Arial" w:hAnsi="Arial" w:cs="Arial" w:eastAsia="Arial"/>
          <w:b w:val="0"/>
          <w:i w:val="0"/>
          <w:sz w:val="20"/>
        </w:rPr>
        <w:t xml:space="preserve"> 46 BEE and 38 PIB spelling variants are mapped to 36 canonical State codes. Raw files are kept under </w:t>
      </w:r>
      <w:r>
        <w:rPr>
          <w:rFonts w:ascii="Arial" w:hAnsi="Arial" w:cs="Arial" w:eastAsia="Arial"/>
          <w:b w:val="0"/>
          <w:i w:val="0"/>
          <w:sz w:val="20"/>
        </w:rPr>
        <w:t>data/raw/</w:t>
      </w:r>
      <w:r>
        <w:rPr>
          <w:rFonts w:ascii="Arial" w:hAnsi="Arial" w:cs="Arial" w:eastAsia="Arial"/>
          <w:b w:val="0"/>
          <w:i w:val="0"/>
          <w:sz w:val="20"/>
        </w:rPr>
        <w:t xml:space="preserve"> and listed in </w:t>
      </w:r>
      <w:r>
        <w:rPr>
          <w:rFonts w:ascii="Arial" w:hAnsi="Arial" w:cs="Arial" w:eastAsia="Arial"/>
          <w:b w:val="0"/>
          <w:i w:val="0"/>
          <w:sz w:val="20"/>
        </w:rPr>
        <w:t>data/source_manifest.csv</w:t>
      </w:r>
      <w:r>
        <w:rPr>
          <w:rFonts w:ascii="Arial" w:hAnsi="Arial" w:cs="Arial" w:eastAsia="Arial"/>
          <w:b w:val="0"/>
          <w:i w:val="0"/>
          <w:sz w:val="20"/>
        </w:rPr>
        <w:t xml:space="preserve">. Gaps (Delhi OpenEV HTTP 502, CEA login, Census timeout) are logged in </w:t>
      </w:r>
      <w:r>
        <w:rPr>
          <w:rFonts w:ascii="Arial" w:hAnsi="Arial" w:cs="Arial" w:eastAsia="Arial"/>
          <w:b w:val="0"/>
          <w:i w:val="0"/>
          <w:sz w:val="20"/>
        </w:rPr>
        <w:t>DATA_GAPS.md</w:t>
      </w:r>
      <w:r>
        <w:rPr>
          <w:rFonts w:ascii="Arial" w:hAnsi="Arial" w:cs="Arial" w:eastAsia="Arial"/>
          <w:b w:val="0"/>
          <w:i w:val="0"/>
          <w:sz w:val="20"/>
        </w:rPr>
        <w:t>.</w:t>
      </w:r>
    </w:p>
    <w:p>
      <w:pPr>
        <w:pStyle w:val="ListBullet"/>
        <w:spacing w:after="30"/>
      </w:pPr>
      <w:r>
        <w:rPr>
          <w:rFonts w:ascii="Arial" w:hAnsi="Arial" w:cs="Arial" w:eastAsia="Arial"/>
          <w:b/>
          <w:i w:val="0"/>
          <w:sz w:val="20"/>
        </w:rPr>
        <w:t>Boundary of OSM use.</w:t>
      </w:r>
      <w:r>
        <w:rPr>
          <w:rFonts w:ascii="Arial" w:hAnsi="Arial" w:cs="Arial" w:eastAsia="Arial"/>
          <w:b w:val="0"/>
          <w:i w:val="0"/>
          <w:sz w:val="20"/>
        </w:rPr>
        <w:t xml:space="preserve"> National rankings use only VAHAN, MoSPI GSDP and NITI benchmarks, never OSM.</w:t>
      </w:r>
    </w:p>
    <w:p>
      <w:pPr>
        <w:keepNext/>
        <w:spacing w:before="140" w:after="40"/>
      </w:pPr>
      <w:r>
        <w:rPr>
          <w:rFonts w:ascii="Arial" w:hAnsi="Arial" w:cs="Arial" w:eastAsia="Arial"/>
          <w:b/>
          <w:i w:val="0"/>
          <w:color w:val="0F766E"/>
          <w:sz w:val="24"/>
        </w:rPr>
        <w:t>4. Technical Approach and Feasibility (25%)</w:t>
      </w:r>
    </w:p>
    <w:p>
      <w:pPr>
        <w:keepNext/>
        <w:spacing w:before="60" w:after="20"/>
      </w:pPr>
      <w:r>
        <w:rPr>
          <w:rFonts w:ascii="Arial" w:hAnsi="Arial" w:cs="Arial" w:eastAsia="Arial"/>
          <w:b/>
          <w:i w:val="0"/>
          <w:color w:val="0F172A"/>
          <w:sz w:val="20"/>
        </w:rPr>
        <w:t>4.1 Delhi spatial grid and demand redistribution</w:t>
      </w:r>
    </w:p>
    <w:p>
      <w:r>
        <w:rPr>
          <w:rFonts w:ascii="Arial" w:hAnsi="Arial" w:cs="Arial" w:eastAsia="Arial"/>
          <w:b w:val="0"/>
          <w:i w:val="0"/>
          <w:sz w:val="20"/>
        </w:rPr>
        <w:t xml:space="preserve">The grid covers 28.40–28.89°N, 76.83–77.35°E in steps of 0.018° latitude × 0.0205° longitude (about 2 km × 2 km), giving </w:t>
      </w:r>
      <w:r>
        <w:rPr>
          <w:rFonts w:ascii="Arial" w:hAnsi="Arial" w:cs="Arial" w:eastAsia="Arial"/>
          <w:b/>
          <w:i w:val="0"/>
          <w:sz w:val="20"/>
        </w:rPr>
        <w:t>375 cells</w:t>
      </w:r>
      <w:r>
        <w:rPr>
          <w:rFonts w:ascii="Arial" w:hAnsi="Arial" w:cs="Arial" w:eastAsia="Arial"/>
          <w:b w:val="0"/>
          <w:i w:val="0"/>
          <w:sz w:val="20"/>
        </w:rPr>
        <w:t xml:space="preserve"> that include commuter-fringe areas of Gurugram, Noida, Faridabad and Ghaziabad. Population is summed from WorldPop by pixel centre and scaled to 22.3 million. Distances use an equirectangular projection (error under 0.05% against Haversine, under 2 m/km). Burari-registered commercial EVs are spread over the 9 Census districts by an activity-and-population weight:</w:t>
      </w:r>
    </w:p>
    <w:tbl>
      <w:tblPr>
        <w:tblW w:type="auto" w:w="0"/>
        <w:jc w:val="center"/>
        <w:tblLayout w:type="fixed"/>
        <w:tblLook w:firstColumn="1" w:firstRow="1" w:lastColumn="0" w:lastRow="0" w:noHBand="0" w:noVBand="1" w:val="04A0"/>
      </w:tblPr>
      <w:tblGrid>
        <w:gridCol w:w="10224"/>
      </w:tblGrid>
      <w:tr>
        <w:trPr>
          <w:cantSplit/>
        </w:trPr>
        <w:tc>
          <w:tcPr>
            <w:tcW w:type="dxa" w:w="10224"/>
            <w:tcBorders>
              <w:left w:val="single" w:sz="18" w:space="0" w:color="0F766E"/>
            </w:tcBorders>
            <w:shd w:val="clear" w:color="auto" w:fill="F8FAFC"/>
            <w:tcMar>
              <w:top w:w="40" w:type="dxa"/>
              <w:left w:w="100" w:type="dxa"/>
              <w:bottom w:w="40" w:type="dxa"/>
              <w:right w:w="100" w:type="dxa"/>
            </w:tcMar>
          </w:tcPr>
          <w:p>
            <w:pPr>
              <w:spacing w:after="0"/>
            </w:pPr>
            <w:r>
              <w:rPr>
                <w:rFonts w:ascii="Arial" w:hAnsi="Arial" w:cs="Arial" w:eastAsia="Arial"/>
                <w:b/>
                <w:i w:val="0"/>
                <w:color w:val="0F766E"/>
                <w:sz w:val="20"/>
              </w:rPr>
              <w:t xml:space="preserve">[Eq. 1]  </w:t>
            </w:r>
            <w:r>
              <w:rPr>
                <w:rFonts w:ascii="Arial" w:hAnsi="Arial" w:cs="Arial" w:eastAsia="Arial"/>
                <w:b/>
                <w:i w:val="0"/>
                <w:color w:val="0F172A"/>
                <w:sz w:val="20"/>
              </w:rPr>
              <w:t>w</w:t>
            </w:r>
            <w:r>
              <w:rPr>
                <w:rFonts w:ascii="Arial" w:hAnsi="Arial" w:cs="Arial" w:eastAsia="Arial"/>
                <w:b/>
                <w:i w:val="0"/>
                <w:color w:val="0F172A"/>
                <w:sz w:val="20"/>
              </w:rPr>
              <w:t>_district</w:t>
            </w:r>
            <w:r>
              <w:rPr>
                <w:rFonts w:ascii="Arial" w:hAnsi="Arial" w:cs="Arial" w:eastAsia="Arial"/>
                <w:b/>
                <w:i w:val="0"/>
                <w:color w:val="0F172A"/>
                <w:sz w:val="20"/>
              </w:rPr>
              <w:t xml:space="preserve"> = 0.5 · (N</w:t>
            </w:r>
            <w:r>
              <w:rPr>
                <w:rFonts w:ascii="Arial" w:hAnsi="Arial" w:cs="Arial" w:eastAsia="Arial"/>
                <w:b/>
                <w:i w:val="0"/>
                <w:color w:val="0F172A"/>
                <w:sz w:val="20"/>
              </w:rPr>
              <w:t>_poi,district</w:t>
            </w:r>
            <w:r>
              <w:rPr>
                <w:rFonts w:ascii="Arial" w:hAnsi="Arial" w:cs="Arial" w:eastAsia="Arial"/>
                <w:b/>
                <w:i w:val="0"/>
                <w:color w:val="0F172A"/>
                <w:sz w:val="20"/>
              </w:rPr>
              <w:t xml:space="preserve"> / N</w:t>
            </w:r>
            <w:r>
              <w:rPr>
                <w:rFonts w:ascii="Arial" w:hAnsi="Arial" w:cs="Arial" w:eastAsia="Arial"/>
                <w:b/>
                <w:i w:val="0"/>
                <w:color w:val="0F172A"/>
                <w:sz w:val="20"/>
              </w:rPr>
              <w:t>_poi,total</w:t>
            </w:r>
            <w:r>
              <w:rPr>
                <w:rFonts w:ascii="Arial" w:hAnsi="Arial" w:cs="Arial" w:eastAsia="Arial"/>
                <w:b/>
                <w:i w:val="0"/>
                <w:color w:val="0F172A"/>
                <w:sz w:val="20"/>
              </w:rPr>
              <w:t>) + 0.5 · (P</w:t>
            </w:r>
            <w:r>
              <w:rPr>
                <w:rFonts w:ascii="Arial" w:hAnsi="Arial" w:cs="Arial" w:eastAsia="Arial"/>
                <w:b/>
                <w:i w:val="0"/>
                <w:color w:val="0F172A"/>
                <w:sz w:val="20"/>
              </w:rPr>
              <w:t>_district</w:t>
            </w:r>
            <w:r>
              <w:rPr>
                <w:rFonts w:ascii="Arial" w:hAnsi="Arial" w:cs="Arial" w:eastAsia="Arial"/>
                <w:b/>
                <w:i w:val="0"/>
                <w:color w:val="0F172A"/>
                <w:sz w:val="20"/>
              </w:rPr>
              <w:t xml:space="preserve"> / P</w:t>
            </w:r>
            <w:r>
              <w:rPr>
                <w:rFonts w:ascii="Arial" w:hAnsi="Arial" w:cs="Arial" w:eastAsia="Arial"/>
                <w:b/>
                <w:i w:val="0"/>
                <w:color w:val="0F172A"/>
                <w:sz w:val="20"/>
              </w:rPr>
              <w:t>_total</w:t>
            </w:r>
            <w:r>
              <w:rPr>
                <w:rFonts w:ascii="Arial" w:hAnsi="Arial" w:cs="Arial" w:eastAsia="Arial"/>
                <w:b/>
                <w:i w:val="0"/>
                <w:color w:val="0F172A"/>
                <w:sz w:val="20"/>
              </w:rPr>
              <w:t>)</w:t>
            </w:r>
          </w:p>
        </w:tc>
      </w:tr>
    </w:tbl>
    <w:p>
      <w:pPr>
        <w:spacing w:after="0" w:line="60" w:lineRule="exact"/>
      </w:pPr>
      <w:r>
        <w:rPr>
          <w:rFonts w:ascii="Arial" w:hAnsi="Arial" w:cs="Arial" w:eastAsia="Arial"/>
          <w:b w:val="0"/>
          <w:i w:val="0"/>
          <w:sz w:val="20"/>
        </w:rPr>
      </w:r>
    </w:p>
    <w:p>
      <w:r>
        <w:rPr>
          <w:rFonts w:ascii="Arial" w:hAnsi="Arial" w:cs="Arial" w:eastAsia="Arial"/>
          <w:b w:val="0"/>
          <w:i w:val="0"/>
          <w:sz w:val="20"/>
        </w:rPr>
        <w:t>Here N</w:t>
      </w:r>
      <w:r>
        <w:rPr>
          <w:rFonts w:ascii="Arial" w:hAnsi="Arial" w:cs="Arial" w:eastAsia="Arial"/>
          <w:b w:val="0"/>
          <w:i w:val="0"/>
          <w:sz w:val="20"/>
        </w:rPr>
        <w:t>_poi</w:t>
      </w:r>
      <w:r>
        <w:rPr>
          <w:rFonts w:ascii="Arial" w:hAnsi="Arial" w:cs="Arial" w:eastAsia="Arial"/>
          <w:b w:val="0"/>
          <w:i w:val="0"/>
          <w:sz w:val="20"/>
        </w:rPr>
        <w:t xml:space="preserve"> counts OSM commercial attractors and P is district population. Private two-wheelers stay with their zonal RTO.</w:t>
      </w:r>
    </w:p>
    <w:p>
      <w:pPr>
        <w:keepNext/>
        <w:spacing w:before="60" w:after="20"/>
      </w:pPr>
      <w:r>
        <w:rPr>
          <w:rFonts w:ascii="Arial" w:hAnsi="Arial" w:cs="Arial" w:eastAsia="Arial"/>
          <w:b/>
          <w:i w:val="0"/>
          <w:color w:val="0F172A"/>
          <w:sz w:val="20"/>
        </w:rPr>
        <w:t>4.2 Two-stage coverage logic</w:t>
      </w:r>
    </w:p>
    <w:p>
      <w:r>
        <w:rPr>
          <w:rFonts w:ascii="Arial" w:hAnsi="Arial" w:cs="Arial" w:eastAsia="Arial"/>
          <w:b/>
          <w:i w:val="0"/>
          <w:sz w:val="20"/>
        </w:rPr>
        <w:t>Stage 1 (proximity):</w:t>
      </w:r>
      <w:r>
        <w:rPr>
          <w:rFonts w:ascii="Arial" w:hAnsi="Arial" w:cs="Arial" w:eastAsia="Arial"/>
          <w:b w:val="0"/>
          <w:i w:val="0"/>
          <w:sz w:val="20"/>
        </w:rPr>
        <w:t xml:space="preserve"> a cell is *Covered* if d ≤ r (r selectable 0.5–5 km, default 1.5 km); an *Underserved Priority Zone* if d &gt; r and demand score D ≥ 22 (65th percentile); otherwise a *Low-Demand Fringe*. </w:t>
      </w:r>
      <w:r>
        <w:rPr>
          <w:rFonts w:ascii="Arial" w:hAnsi="Arial" w:cs="Arial" w:eastAsia="Arial"/>
          <w:b/>
          <w:i w:val="0"/>
          <w:sz w:val="20"/>
        </w:rPr>
        <w:t>Stage 2 (adequacy):</w:t>
      </w:r>
      <w:r>
        <w:rPr>
          <w:rFonts w:ascii="Arial" w:hAnsi="Arial" w:cs="Arial" w:eastAsia="Arial"/>
          <w:b w:val="0"/>
          <w:i w:val="0"/>
          <w:sz w:val="20"/>
        </w:rPr>
        <w:t xml:space="preserve"> a covered cell is still flagged if installed daily kWh is below its modelled demand, so proximity cannot hide a capacity shortfall.</w:t>
      </w:r>
    </w:p>
    <w:p>
      <w:pPr>
        <w:keepNext/>
        <w:spacing w:before="60" w:after="20"/>
      </w:pPr>
      <w:r>
        <w:rPr>
          <w:rFonts w:ascii="Arial" w:hAnsi="Arial" w:cs="Arial" w:eastAsia="Arial"/>
          <w:b/>
          <w:i w:val="0"/>
          <w:color w:val="0F172A"/>
          <w:sz w:val="20"/>
        </w:rPr>
        <w:t>4.3 Explainable spatial demand model</w:t>
      </w:r>
    </w:p>
    <w:p>
      <w:r>
        <w:rPr>
          <w:rFonts w:ascii="Arial" w:hAnsi="Arial" w:cs="Arial" w:eastAsia="Arial"/>
          <w:b w:val="0"/>
          <w:i w:val="0"/>
          <w:sz w:val="20"/>
        </w:rPr>
        <w:t xml:space="preserve">A Random Forest regressor (120 trees, depth 6) learns charging density from the 375 cells, using population, commercial POIs, attractor hubs, transit interchanges, road density, distance to feeder substation and local transformer count. The target is observed density of the 876 Switch Delhi sites. </w:t>
      </w:r>
      <w:r>
        <w:rPr>
          <w:rFonts w:ascii="Arial" w:hAnsi="Arial" w:cs="Arial" w:eastAsia="Arial"/>
          <w:b/>
          <w:i w:val="0"/>
          <w:sz w:val="20"/>
        </w:rPr>
        <w:t>In-sample R² = 0.796, MAE = 5.85, RMSE = 10.38; 5-fold cross-validated R² = 0.333 ± 0.096.</w:t>
      </w:r>
      <w:r>
        <w:rPr>
          <w:rFonts w:ascii="Arial" w:hAnsi="Arial" w:cs="Arial" w:eastAsia="Arial"/>
          <w:b w:val="0"/>
          <w:i w:val="0"/>
          <w:sz w:val="20"/>
        </w:rPr>
        <w:t xml:space="preserve"> Importances: population 49.65%, commercial POIs 13.14%, attractor hubs 9.53%, feeder distance 9.14%, roads 8.32%, transit 6.69%, transformer count 3.55%.</w:t>
      </w:r>
    </w:p>
    <w:tbl>
      <w:tblPr>
        <w:tblW w:type="auto" w:w="0"/>
        <w:jc w:val="center"/>
        <w:tblLayout w:type="fixed"/>
        <w:tblLook w:firstColumn="1" w:firstRow="1" w:lastColumn="0" w:lastRow="0" w:noHBand="0" w:noVBand="1" w:val="04A0"/>
      </w:tblPr>
      <w:tblGrid>
        <w:gridCol w:w="10224"/>
      </w:tblGrid>
      <w:tr>
        <w:trPr>
          <w:cantSplit/>
        </w:trPr>
        <w:tc>
          <w:tcPr>
            <w:tcW w:type="dxa" w:w="10224"/>
            <w:tcBorders>
              <w:left w:val="single" w:sz="18" w:space="0" w:color="0F766E"/>
            </w:tcBorders>
            <w:shd w:val="clear" w:color="auto" w:fill="F8FAFC"/>
            <w:tcMar>
              <w:top w:w="40" w:type="dxa"/>
              <w:left w:w="100" w:type="dxa"/>
              <w:bottom w:w="40" w:type="dxa"/>
              <w:right w:w="100" w:type="dxa"/>
            </w:tcMar>
          </w:tcPr>
          <w:p>
            <w:pPr>
              <w:spacing w:after="0"/>
            </w:pPr>
            <w:r>
              <w:rPr>
                <w:rFonts w:ascii="Arial" w:hAnsi="Arial" w:cs="Arial" w:eastAsia="Arial"/>
                <w:b/>
                <w:i w:val="0"/>
                <w:color w:val="0F766E"/>
                <w:sz w:val="20"/>
              </w:rPr>
              <w:t xml:space="preserve">[Eq. 2]  </w:t>
            </w:r>
            <w:r>
              <w:rPr>
                <w:rFonts w:ascii="Arial" w:hAnsi="Arial" w:cs="Arial" w:eastAsia="Arial"/>
                <w:b/>
                <w:i w:val="0"/>
                <w:color w:val="0F172A"/>
                <w:sz w:val="20"/>
              </w:rPr>
              <w:t>D</w:t>
            </w:r>
            <w:r>
              <w:rPr>
                <w:rFonts w:ascii="Arial" w:hAnsi="Arial" w:cs="Arial" w:eastAsia="Arial"/>
                <w:b/>
                <w:i w:val="0"/>
                <w:color w:val="0F172A"/>
                <w:sz w:val="20"/>
              </w:rPr>
              <w:t>_AI</w:t>
            </w:r>
            <w:r>
              <w:rPr>
                <w:rFonts w:ascii="Arial" w:hAnsi="Arial" w:cs="Arial" w:eastAsia="Arial"/>
                <w:b/>
                <w:i w:val="0"/>
                <w:color w:val="0F172A"/>
                <w:sz w:val="20"/>
              </w:rPr>
              <w:t xml:space="preserve"> = f</w:t>
            </w:r>
            <w:r>
              <w:rPr>
                <w:rFonts w:ascii="Arial" w:hAnsi="Arial" w:cs="Arial" w:eastAsia="Arial"/>
                <w:b/>
                <w:i w:val="0"/>
                <w:color w:val="0F172A"/>
                <w:sz w:val="20"/>
              </w:rPr>
              <w:t>_RF</w:t>
            </w:r>
            <w:r>
              <w:rPr>
                <w:rFonts w:ascii="Arial" w:hAnsi="Arial" w:cs="Arial" w:eastAsia="Arial"/>
                <w:b/>
                <w:i w:val="0"/>
                <w:color w:val="0F172A"/>
                <w:sz w:val="20"/>
              </w:rPr>
              <w:t>(Pop, POI, Transit, Roads, Dist</w:t>
            </w:r>
            <w:r>
              <w:rPr>
                <w:rFonts w:ascii="Arial" w:hAnsi="Arial" w:cs="Arial" w:eastAsia="Arial"/>
                <w:b/>
                <w:i w:val="0"/>
                <w:color w:val="0F172A"/>
                <w:sz w:val="20"/>
              </w:rPr>
              <w:t>_substation</w:t>
            </w:r>
            <w:r>
              <w:rPr>
                <w:rFonts w:ascii="Arial" w:hAnsi="Arial" w:cs="Arial" w:eastAsia="Arial"/>
                <w:b/>
                <w:i w:val="0"/>
                <w:color w:val="0F172A"/>
                <w:sz w:val="20"/>
              </w:rPr>
              <w:t>, DT</w:t>
            </w:r>
            <w:r>
              <w:rPr>
                <w:rFonts w:ascii="Arial" w:hAnsi="Arial" w:cs="Arial" w:eastAsia="Arial"/>
                <w:b/>
                <w:i w:val="0"/>
                <w:color w:val="0F172A"/>
                <w:sz w:val="20"/>
              </w:rPr>
              <w:t>_count</w:t>
            </w:r>
            <w:r>
              <w:rPr>
                <w:rFonts w:ascii="Arial" w:hAnsi="Arial" w:cs="Arial" w:eastAsia="Arial"/>
                <w:b/>
                <w:i w:val="0"/>
                <w:color w:val="0F172A"/>
                <w:sz w:val="20"/>
              </w:rPr>
              <w:t>) in [0, 100]</w:t>
            </w:r>
          </w:p>
        </w:tc>
      </w:tr>
    </w:tbl>
    <w:p>
      <w:pPr>
        <w:spacing w:after="0" w:line="60" w:lineRule="exact"/>
      </w:pPr>
      <w:r>
        <w:rPr>
          <w:rFonts w:ascii="Arial" w:hAnsi="Arial" w:cs="Arial" w:eastAsia="Arial"/>
          <w:b w:val="0"/>
          <w:i w:val="0"/>
          <w:sz w:val="20"/>
        </w:rPr>
      </w:r>
    </w:p>
    <w:p>
      <w:r>
        <w:rPr>
          <w:rFonts w:ascii="Arial" w:hAnsi="Arial" w:cs="Arial" w:eastAsia="Arial"/>
          <w:b/>
          <w:i w:val="0"/>
          <w:sz w:val="20"/>
        </w:rPr>
        <w:t>Interpretation and limit.</w:t>
      </w:r>
      <w:r>
        <w:rPr>
          <w:rFonts w:ascii="Arial" w:hAnsi="Arial" w:cs="Arial" w:eastAsia="Arial"/>
          <w:b w:val="0"/>
          <w:i w:val="0"/>
          <w:sz w:val="20"/>
        </w:rPr>
        <w:t xml:space="preserve"> The wide gap between in-sample and cross-validated R² shows the model is a spatial prioritisation index, not a precise predictor: existing stations follow land and policy as well as demand. We report both scores and use D only to rank cells.</w:t>
      </w:r>
    </w:p>
    <w:p>
      <w:pPr>
        <w:keepNext/>
        <w:spacing w:before="60" w:after="20"/>
      </w:pPr>
      <w:r>
        <w:rPr>
          <w:rFonts w:ascii="Arial" w:hAnsi="Arial" w:cs="Arial" w:eastAsia="Arial"/>
          <w:b/>
          <w:i w:val="0"/>
          <w:color w:val="0F172A"/>
          <w:sz w:val="20"/>
        </w:rPr>
        <w:t>4.4 Continuous distance decay</w:t>
      </w:r>
    </w:p>
    <w:p>
      <w:r>
        <w:rPr>
          <w:rFonts w:ascii="Arial" w:hAnsi="Arial" w:cs="Arial" w:eastAsia="Arial"/>
          <w:b w:val="0"/>
          <w:i w:val="0"/>
          <w:sz w:val="20"/>
        </w:rPr>
        <w:t>A hard cut-off makes priority jump at d = r. We use a smooth kernel instead:</w:t>
      </w:r>
    </w:p>
    <w:tbl>
      <w:tblPr>
        <w:tblW w:type="auto" w:w="0"/>
        <w:jc w:val="center"/>
        <w:tblLayout w:type="fixed"/>
        <w:tblLook w:firstColumn="1" w:firstRow="1" w:lastColumn="0" w:lastRow="0" w:noHBand="0" w:noVBand="1" w:val="04A0"/>
      </w:tblPr>
      <w:tblGrid>
        <w:gridCol w:w="10224"/>
      </w:tblGrid>
      <w:tr>
        <w:trPr>
          <w:cantSplit/>
        </w:trPr>
        <w:tc>
          <w:tcPr>
            <w:tcW w:type="dxa" w:w="10224"/>
            <w:tcBorders>
              <w:left w:val="single" w:sz="18" w:space="0" w:color="0F766E"/>
            </w:tcBorders>
            <w:shd w:val="clear" w:color="auto" w:fill="F8FAFC"/>
            <w:tcMar>
              <w:top w:w="40" w:type="dxa"/>
              <w:left w:w="100" w:type="dxa"/>
              <w:bottom w:w="40" w:type="dxa"/>
              <w:right w:w="100" w:type="dxa"/>
            </w:tcMar>
          </w:tcPr>
          <w:p>
            <w:pPr>
              <w:spacing w:after="0"/>
            </w:pPr>
            <w:r>
              <w:rPr>
                <w:rFonts w:ascii="Arial" w:hAnsi="Arial" w:cs="Arial" w:eastAsia="Arial"/>
                <w:b/>
                <w:i w:val="0"/>
                <w:color w:val="0F766E"/>
                <w:sz w:val="20"/>
              </w:rPr>
              <w:t xml:space="preserve">[Eq. 3]  </w:t>
            </w:r>
            <w:r>
              <w:rPr>
                <w:rFonts w:ascii="Arial" w:hAnsi="Arial" w:cs="Arial" w:eastAsia="Arial"/>
                <w:b/>
                <w:i w:val="0"/>
                <w:color w:val="0F172A"/>
                <w:sz w:val="20"/>
              </w:rPr>
              <w:t>S = D</w:t>
            </w:r>
            <w:r>
              <w:rPr>
                <w:rFonts w:ascii="Arial" w:hAnsi="Arial" w:cs="Arial" w:eastAsia="Arial"/>
                <w:b/>
                <w:i w:val="0"/>
                <w:color w:val="0F172A"/>
                <w:sz w:val="20"/>
              </w:rPr>
              <w:t>_AI</w:t>
            </w:r>
            <w:r>
              <w:rPr>
                <w:rFonts w:ascii="Arial" w:hAnsi="Arial" w:cs="Arial" w:eastAsia="Arial"/>
                <w:b/>
                <w:i w:val="0"/>
                <w:color w:val="0F172A"/>
                <w:sz w:val="20"/>
              </w:rPr>
              <w:t xml:space="preserve"> · [ 1 − 1 / (1 + (d / r)</w:t>
            </w:r>
            <w:r>
              <w:rPr>
                <w:rFonts w:ascii="Arial" w:hAnsi="Arial" w:cs="Arial" w:eastAsia="Arial"/>
                <w:b/>
                <w:i w:val="0"/>
                <w:color w:val="0F172A"/>
                <w:sz w:val="20"/>
              </w:rPr>
              <w:t>^4</w:t>
            </w:r>
            <w:r>
              <w:rPr>
                <w:rFonts w:ascii="Arial" w:hAnsi="Arial" w:cs="Arial" w:eastAsia="Arial"/>
                <w:b/>
                <w:i w:val="0"/>
                <w:color w:val="0F172A"/>
                <w:sz w:val="20"/>
              </w:rPr>
              <w:t>) ]</w:t>
            </w:r>
          </w:p>
        </w:tc>
      </w:tr>
    </w:tbl>
    <w:p>
      <w:pPr>
        <w:spacing w:after="0" w:line="60" w:lineRule="exact"/>
      </w:pPr>
      <w:r>
        <w:rPr>
          <w:rFonts w:ascii="Arial" w:hAnsi="Arial" w:cs="Arial" w:eastAsia="Arial"/>
          <w:b w:val="0"/>
          <w:i w:val="0"/>
          <w:sz w:val="20"/>
        </w:rPr>
      </w:r>
    </w:p>
    <w:p>
      <w:r>
        <w:rPr>
          <w:rFonts w:ascii="Arial" w:hAnsi="Arial" w:cs="Arial" w:eastAsia="Arial"/>
          <w:b w:val="0"/>
          <w:i w:val="0"/>
          <w:sz w:val="20"/>
        </w:rPr>
        <w:t>S → 0 when d is much smaller than r, S = 0.5·D</w:t>
      </w:r>
      <w:r>
        <w:rPr>
          <w:rFonts w:ascii="Arial" w:hAnsi="Arial" w:cs="Arial" w:eastAsia="Arial"/>
          <w:b w:val="0"/>
          <w:i w:val="0"/>
          <w:sz w:val="20"/>
        </w:rPr>
        <w:t>_AI</w:t>
      </w:r>
      <w:r>
        <w:rPr>
          <w:rFonts w:ascii="Arial" w:hAnsi="Arial" w:cs="Arial" w:eastAsia="Arial"/>
          <w:b w:val="0"/>
          <w:i w:val="0"/>
          <w:sz w:val="20"/>
        </w:rPr>
        <w:t xml:space="preserve"> at d = r, and S → D</w:t>
      </w:r>
      <w:r>
        <w:rPr>
          <w:rFonts w:ascii="Arial" w:hAnsi="Arial" w:cs="Arial" w:eastAsia="Arial"/>
          <w:b w:val="0"/>
          <w:i w:val="0"/>
          <w:sz w:val="20"/>
        </w:rPr>
        <w:t>_AI</w:t>
      </w:r>
      <w:r>
        <w:rPr>
          <w:rFonts w:ascii="Arial" w:hAnsi="Arial" w:cs="Arial" w:eastAsia="Arial"/>
          <w:b w:val="0"/>
          <w:i w:val="0"/>
          <w:sz w:val="20"/>
        </w:rPr>
        <w:t xml:space="preserve"> when d is much larger than r, so a user's radius slider changes rankings gradually.</w:t>
      </w:r>
    </w:p>
    <w:p>
      <w:pPr>
        <w:keepNext/>
        <w:spacing w:before="60" w:after="20"/>
      </w:pPr>
      <w:r>
        <w:rPr>
          <w:rFonts w:ascii="Arial" w:hAnsi="Arial" w:cs="Arial" w:eastAsia="Arial"/>
          <w:b/>
          <w:i w:val="0"/>
          <w:color w:val="0F172A"/>
          <w:sz w:val="20"/>
        </w:rPr>
        <w:t>4.5 Fleet forecast (Bass diffusion)</w:t>
      </w:r>
    </w:p>
    <w:p>
      <w:r>
        <w:rPr>
          <w:rFonts w:ascii="Arial" w:hAnsi="Arial" w:cs="Arial" w:eastAsia="Arial"/>
          <w:b w:val="0"/>
          <w:i w:val="0"/>
          <w:sz w:val="20"/>
        </w:rPr>
        <w:t>The Bass model is fitted by non-linear least squares to 68 months of VAHAN registrations (2018–2026), R² = 0.992:</w:t>
      </w:r>
    </w:p>
    <w:tbl>
      <w:tblPr>
        <w:tblW w:type="auto" w:w="0"/>
        <w:jc w:val="center"/>
        <w:tblLayout w:type="fixed"/>
        <w:tblLook w:firstColumn="1" w:firstRow="1" w:lastColumn="0" w:lastRow="0" w:noHBand="0" w:noVBand="1" w:val="04A0"/>
      </w:tblPr>
      <w:tblGrid>
        <w:gridCol w:w="10224"/>
      </w:tblGrid>
      <w:tr>
        <w:trPr>
          <w:cantSplit/>
        </w:trPr>
        <w:tc>
          <w:tcPr>
            <w:tcW w:type="dxa" w:w="10224"/>
            <w:tcBorders>
              <w:left w:val="single" w:sz="18" w:space="0" w:color="0F766E"/>
            </w:tcBorders>
            <w:shd w:val="clear" w:color="auto" w:fill="F8FAFC"/>
            <w:tcMar>
              <w:top w:w="40" w:type="dxa"/>
              <w:left w:w="100" w:type="dxa"/>
              <w:bottom w:w="40" w:type="dxa"/>
              <w:right w:w="100" w:type="dxa"/>
            </w:tcMar>
          </w:tcPr>
          <w:p>
            <w:pPr>
              <w:spacing w:after="0"/>
            </w:pPr>
            <w:r>
              <w:rPr>
                <w:rFonts w:ascii="Arial" w:hAnsi="Arial" w:cs="Arial" w:eastAsia="Arial"/>
                <w:b/>
                <w:i w:val="0"/>
                <w:color w:val="0F766E"/>
                <w:sz w:val="20"/>
              </w:rPr>
              <w:t xml:space="preserve">[Eq. 4]  </w:t>
            </w:r>
            <w:r>
              <w:rPr>
                <w:rFonts w:ascii="Arial" w:hAnsi="Arial" w:cs="Arial" w:eastAsia="Arial"/>
                <w:b/>
                <w:i w:val="0"/>
                <w:color w:val="0F172A"/>
                <w:sz w:val="20"/>
              </w:rPr>
              <w:t>dN/dt = [ p + (q / M) · N(t) ] · [ M − N(t) ],   p = 0.0114,  q = 0.4963,  M = 20.0 million</w:t>
            </w:r>
          </w:p>
        </w:tc>
      </w:tr>
    </w:tbl>
    <w:p>
      <w:pPr>
        <w:spacing w:after="0" w:line="60" w:lineRule="exact"/>
      </w:pPr>
      <w:r>
        <w:rPr>
          <w:rFonts w:ascii="Arial" w:hAnsi="Arial" w:cs="Arial" w:eastAsia="Arial"/>
          <w:b w:val="0"/>
          <w:i w:val="0"/>
          <w:sz w:val="20"/>
        </w:rPr>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Look w:firstColumn="1" w:firstRow="1" w:lastColumn="0" w:lastRow="0" w:noHBand="0" w:noVBand="1" w:val="04A0"/>
      </w:tblPr>
      <w:tblGrid>
        <w:gridCol w:w="3408"/>
        <w:gridCol w:w="3408"/>
        <w:gridCol w:w="3408"/>
      </w:tblGrid>
      <w:tr>
        <w:trPr>
          <w:cantSplit/>
        </w:trPr>
        <w:tc>
          <w:tcPr>
            <w:tcW w:type="dxa" w:w="1440"/>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Year</w:t>
            </w:r>
          </w:p>
        </w:tc>
        <w:tc>
          <w:tcPr>
            <w:tcW w:type="dxa" w:w="4896"/>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National EVs (P10–P90)</w:t>
            </w:r>
          </w:p>
        </w:tc>
        <w:tc>
          <w:tcPr>
            <w:tcW w:type="dxa" w:w="3888"/>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Delhi fleet</w:t>
            </w:r>
          </w:p>
        </w:tc>
      </w:tr>
      <w:tr>
        <w:trPr>
          <w:cantSplit/>
        </w:trPr>
        <w:tc>
          <w:tcPr>
            <w:tcW w:type="dxa" w:w="1440"/>
            <w:shd w:val="clear" w:color="auto" w:fill="FFFFFF"/>
            <w:tcMar>
              <w:top w:w="30" w:type="dxa"/>
              <w:left w:w="70" w:type="dxa"/>
              <w:bottom w:w="30" w:type="dxa"/>
              <w:right w:w="70" w:type="dxa"/>
            </w:tcMar>
          </w:tcPr>
          <w:p>
            <w:pPr>
              <w:spacing w:after="0"/>
            </w:pPr>
            <w:r>
              <w:rPr>
                <w:rFonts w:ascii="Arial" w:hAnsi="Arial" w:cs="Arial" w:eastAsia="Arial"/>
                <w:b w:val="0"/>
                <w:i w:val="0"/>
                <w:sz w:val="20"/>
              </w:rPr>
              <w:t>2026</w:t>
            </w:r>
          </w:p>
        </w:tc>
        <w:tc>
          <w:tcPr>
            <w:tcW w:type="dxa" w:w="4896"/>
            <w:shd w:val="clear" w:color="auto" w:fill="FFFFFF"/>
            <w:tcMar>
              <w:top w:w="30" w:type="dxa"/>
              <w:left w:w="70" w:type="dxa"/>
              <w:bottom w:w="30" w:type="dxa"/>
              <w:right w:w="70" w:type="dxa"/>
            </w:tcMar>
          </w:tcPr>
          <w:p>
            <w:pPr>
              <w:spacing w:after="0"/>
            </w:pPr>
            <w:r>
              <w:rPr>
                <w:rFonts w:ascii="Arial" w:hAnsi="Arial" w:cs="Arial" w:eastAsia="Arial"/>
                <w:b w:val="0"/>
                <w:i w:val="0"/>
                <w:sz w:val="20"/>
              </w:rPr>
              <w:t>11.23 M (8.16–14.54 M)</w:t>
            </w:r>
          </w:p>
        </w:tc>
        <w:tc>
          <w:tcPr>
            <w:tcW w:type="dxa" w:w="3888"/>
            <w:shd w:val="clear" w:color="auto" w:fill="FFFFFF"/>
            <w:tcMar>
              <w:top w:w="30" w:type="dxa"/>
              <w:left w:w="70" w:type="dxa"/>
              <w:bottom w:w="30" w:type="dxa"/>
              <w:right w:w="70" w:type="dxa"/>
            </w:tcMar>
          </w:tcPr>
          <w:p>
            <w:pPr>
              <w:spacing w:after="0"/>
            </w:pPr>
            <w:r>
              <w:rPr>
                <w:rFonts w:ascii="Arial" w:hAnsi="Arial" w:cs="Arial" w:eastAsia="Arial"/>
                <w:b w:val="0"/>
                <w:i w:val="0"/>
                <w:sz w:val="20"/>
              </w:rPr>
              <w:t>577,295</w:t>
            </w:r>
          </w:p>
        </w:tc>
      </w:tr>
      <w:tr>
        <w:trPr>
          <w:cantSplit/>
        </w:trPr>
        <w:tc>
          <w:tcPr>
            <w:tcW w:type="dxa" w:w="1440"/>
            <w:shd w:val="clear" w:color="auto" w:fill="F8FAFC"/>
            <w:tcMar>
              <w:top w:w="30" w:type="dxa"/>
              <w:left w:w="70" w:type="dxa"/>
              <w:bottom w:w="30" w:type="dxa"/>
              <w:right w:w="70" w:type="dxa"/>
            </w:tcMar>
          </w:tcPr>
          <w:p>
            <w:pPr>
              <w:spacing w:after="0"/>
            </w:pPr>
            <w:r>
              <w:rPr>
                <w:rFonts w:ascii="Arial" w:hAnsi="Arial" w:cs="Arial" w:eastAsia="Arial"/>
                <w:b w:val="0"/>
                <w:i w:val="0"/>
                <w:sz w:val="20"/>
              </w:rPr>
              <w:t>2028</w:t>
            </w:r>
          </w:p>
        </w:tc>
        <w:tc>
          <w:tcPr>
            <w:tcW w:type="dxa" w:w="4896"/>
            <w:shd w:val="clear" w:color="auto" w:fill="F8FAFC"/>
            <w:tcMar>
              <w:top w:w="30" w:type="dxa"/>
              <w:left w:w="70" w:type="dxa"/>
              <w:bottom w:w="30" w:type="dxa"/>
              <w:right w:w="70" w:type="dxa"/>
            </w:tcMar>
          </w:tcPr>
          <w:p>
            <w:pPr>
              <w:spacing w:after="0"/>
            </w:pPr>
            <w:r>
              <w:rPr>
                <w:rFonts w:ascii="Arial" w:hAnsi="Arial" w:cs="Arial" w:eastAsia="Arial"/>
                <w:b w:val="0"/>
                <w:i w:val="0"/>
                <w:sz w:val="20"/>
              </w:rPr>
              <w:t>15.63 M (12.23–18.71 M)</w:t>
            </w:r>
          </w:p>
        </w:tc>
        <w:tc>
          <w:tcPr>
            <w:tcW w:type="dxa" w:w="3888"/>
            <w:shd w:val="clear" w:color="auto" w:fill="F8FAFC"/>
            <w:tcMar>
              <w:top w:w="30" w:type="dxa"/>
              <w:left w:w="70" w:type="dxa"/>
              <w:bottom w:w="30" w:type="dxa"/>
              <w:right w:w="70" w:type="dxa"/>
            </w:tcMar>
          </w:tcPr>
          <w:p>
            <w:pPr>
              <w:spacing w:after="0"/>
            </w:pPr>
            <w:r>
              <w:rPr>
                <w:rFonts w:ascii="Arial" w:hAnsi="Arial" w:cs="Arial" w:eastAsia="Arial"/>
                <w:b w:val="0"/>
                <w:i w:val="0"/>
                <w:sz w:val="20"/>
              </w:rPr>
              <w:t>803,300</w:t>
            </w:r>
          </w:p>
        </w:tc>
      </w:tr>
      <w:tr>
        <w:trPr>
          <w:cantSplit/>
        </w:trPr>
        <w:tc>
          <w:tcPr>
            <w:tcW w:type="dxa" w:w="1440"/>
            <w:shd w:val="clear" w:color="auto" w:fill="FFFFFF"/>
            <w:tcMar>
              <w:top w:w="30" w:type="dxa"/>
              <w:left w:w="70" w:type="dxa"/>
              <w:bottom w:w="30" w:type="dxa"/>
              <w:right w:w="70" w:type="dxa"/>
            </w:tcMar>
          </w:tcPr>
          <w:p>
            <w:pPr>
              <w:spacing w:after="0"/>
            </w:pPr>
            <w:r>
              <w:rPr>
                <w:rFonts w:ascii="Arial" w:hAnsi="Arial" w:cs="Arial" w:eastAsia="Arial"/>
                <w:b w:val="0"/>
                <w:i w:val="0"/>
                <w:sz w:val="20"/>
              </w:rPr>
              <w:t>2030</w:t>
            </w:r>
          </w:p>
        </w:tc>
        <w:tc>
          <w:tcPr>
            <w:tcW w:type="dxa" w:w="4896"/>
            <w:shd w:val="clear" w:color="auto" w:fill="FFFFFF"/>
            <w:tcMar>
              <w:top w:w="30" w:type="dxa"/>
              <w:left w:w="70" w:type="dxa"/>
              <w:bottom w:w="30" w:type="dxa"/>
              <w:right w:w="70" w:type="dxa"/>
            </w:tcMar>
          </w:tcPr>
          <w:p>
            <w:pPr>
              <w:spacing w:after="0"/>
            </w:pPr>
            <w:r>
              <w:rPr>
                <w:rFonts w:ascii="Arial" w:hAnsi="Arial" w:cs="Arial" w:eastAsia="Arial"/>
                <w:b w:val="0"/>
                <w:i w:val="0"/>
                <w:sz w:val="20"/>
              </w:rPr>
              <w:t>18.17 M (15.27–20.58 M)</w:t>
            </w:r>
          </w:p>
        </w:tc>
        <w:tc>
          <w:tcPr>
            <w:tcW w:type="dxa" w:w="3888"/>
            <w:shd w:val="clear" w:color="auto" w:fill="FFFFFF"/>
            <w:tcMar>
              <w:top w:w="30" w:type="dxa"/>
              <w:left w:w="70" w:type="dxa"/>
              <w:bottom w:w="30" w:type="dxa"/>
              <w:right w:w="70" w:type="dxa"/>
            </w:tcMar>
          </w:tcPr>
          <w:p>
            <w:pPr>
              <w:spacing w:after="0"/>
            </w:pPr>
            <w:r>
              <w:rPr>
                <w:rFonts w:ascii="Arial" w:hAnsi="Arial" w:cs="Arial" w:eastAsia="Arial"/>
                <w:b w:val="0"/>
                <w:i w:val="0"/>
                <w:sz w:val="20"/>
              </w:rPr>
              <w:t>933,751</w:t>
            </w:r>
          </w:p>
        </w:tc>
      </w:tr>
    </w:tbl>
    <w:p>
      <w:pPr>
        <w:spacing w:after="0" w:line="80" w:lineRule="exact"/>
      </w:pPr>
      <w:r>
        <w:rPr>
          <w:rFonts w:ascii="Arial" w:hAnsi="Arial" w:cs="Arial" w:eastAsia="Arial"/>
          <w:b w:val="0"/>
          <w:i w:val="0"/>
          <w:sz w:val="20"/>
        </w:rPr>
      </w:r>
    </w:p>
    <w:p>
      <w:r>
        <w:rPr>
          <w:rFonts w:ascii="Arial" w:hAnsi="Arial" w:cs="Arial" w:eastAsia="Arial"/>
          <w:b w:val="0"/>
          <w:i w:val="0"/>
          <w:sz w:val="20"/>
        </w:rPr>
        <w:t>M is an assumed market ceiling, so bands are scenario ranges rather than statistical guarantees.</w:t>
      </w:r>
    </w:p>
    <w:p>
      <w:pPr>
        <w:keepNext/>
        <w:spacing w:before="60" w:after="20"/>
      </w:pPr>
      <w:r>
        <w:rPr>
          <w:rFonts w:ascii="Arial" w:hAnsi="Arial" w:cs="Arial" w:eastAsia="Arial"/>
          <w:b/>
          <w:i w:val="0"/>
          <w:color w:val="0F172A"/>
          <w:sz w:val="20"/>
        </w:rPr>
        <w:t>4.6 Energy balance and hardware sizing</w:t>
      </w:r>
    </w:p>
    <w:tbl>
      <w:tblPr>
        <w:tblW w:type="auto" w:w="0"/>
        <w:jc w:val="center"/>
        <w:tblLayout w:type="fixed"/>
        <w:tblLook w:firstColumn="1" w:firstRow="1" w:lastColumn="0" w:lastRow="0" w:noHBand="0" w:noVBand="1" w:val="04A0"/>
      </w:tblPr>
      <w:tblGrid>
        <w:gridCol w:w="10224"/>
      </w:tblGrid>
      <w:tr>
        <w:trPr>
          <w:cantSplit/>
        </w:trPr>
        <w:tc>
          <w:tcPr>
            <w:tcW w:type="dxa" w:w="10224"/>
            <w:tcBorders>
              <w:left w:val="single" w:sz="18" w:space="0" w:color="0F766E"/>
            </w:tcBorders>
            <w:shd w:val="clear" w:color="auto" w:fill="F8FAFC"/>
            <w:tcMar>
              <w:top w:w="40" w:type="dxa"/>
              <w:left w:w="100" w:type="dxa"/>
              <w:bottom w:w="40" w:type="dxa"/>
              <w:right w:w="100" w:type="dxa"/>
            </w:tcMar>
          </w:tcPr>
          <w:p>
            <w:pPr>
              <w:spacing w:after="0"/>
            </w:pPr>
            <w:r>
              <w:rPr>
                <w:rFonts w:ascii="Arial" w:hAnsi="Arial" w:cs="Arial" w:eastAsia="Arial"/>
                <w:b/>
                <w:i w:val="0"/>
                <w:color w:val="0F766E"/>
                <w:sz w:val="20"/>
              </w:rPr>
              <w:t xml:space="preserve">[Eq. 5]  </w:t>
            </w:r>
            <w:r>
              <w:rPr>
                <w:rFonts w:ascii="Arial" w:hAnsi="Arial" w:cs="Arial" w:eastAsia="Arial"/>
                <w:b/>
                <w:i w:val="0"/>
                <w:color w:val="0F172A"/>
                <w:sz w:val="20"/>
              </w:rPr>
              <w:t>E</w:t>
            </w:r>
            <w:r>
              <w:rPr>
                <w:rFonts w:ascii="Arial" w:hAnsi="Arial" w:cs="Arial" w:eastAsia="Arial"/>
                <w:b/>
                <w:i w:val="0"/>
                <w:color w:val="0F172A"/>
                <w:sz w:val="20"/>
              </w:rPr>
              <w:t>_k</w:t>
            </w:r>
            <w:r>
              <w:rPr>
                <w:rFonts w:ascii="Arial" w:hAnsi="Arial" w:cs="Arial" w:eastAsia="Arial"/>
                <w:b/>
                <w:i w:val="0"/>
                <w:color w:val="0F172A"/>
                <w:sz w:val="20"/>
              </w:rPr>
              <w:t xml:space="preserve"> = V</w:t>
            </w:r>
            <w:r>
              <w:rPr>
                <w:rFonts w:ascii="Arial" w:hAnsi="Arial" w:cs="Arial" w:eastAsia="Arial"/>
                <w:b/>
                <w:i w:val="0"/>
                <w:color w:val="0F172A"/>
                <w:sz w:val="20"/>
              </w:rPr>
              <w:t>_k,2030</w:t>
            </w:r>
            <w:r>
              <w:rPr>
                <w:rFonts w:ascii="Arial" w:hAnsi="Arial" w:cs="Arial" w:eastAsia="Arial"/>
                <w:b/>
                <w:i w:val="0"/>
                <w:color w:val="0F172A"/>
                <w:sz w:val="20"/>
              </w:rPr>
              <w:t xml:space="preserve"> · e</w:t>
            </w:r>
            <w:r>
              <w:rPr>
                <w:rFonts w:ascii="Arial" w:hAnsi="Arial" w:cs="Arial" w:eastAsia="Arial"/>
                <w:b/>
                <w:i w:val="0"/>
                <w:color w:val="0F172A"/>
                <w:sz w:val="20"/>
              </w:rPr>
              <w:t>_k</w:t>
            </w:r>
            <w:r>
              <w:rPr>
                <w:rFonts w:ascii="Arial" w:hAnsi="Arial" w:cs="Arial" w:eastAsia="Arial"/>
                <w:b/>
                <w:i w:val="0"/>
                <w:color w:val="0F172A"/>
                <w:sz w:val="20"/>
              </w:rPr>
              <w:t xml:space="preserve"> · φ</w:t>
            </w:r>
            <w:r>
              <w:rPr>
                <w:rFonts w:ascii="Arial" w:hAnsi="Arial" w:cs="Arial" w:eastAsia="Arial"/>
                <w:b/>
                <w:i w:val="0"/>
                <w:color w:val="0F172A"/>
                <w:sz w:val="20"/>
              </w:rPr>
              <w:t>_k</w:t>
            </w:r>
            <w:r>
              <w:rPr>
                <w:rFonts w:ascii="Arial" w:hAnsi="Arial" w:cs="Arial" w:eastAsia="Arial"/>
                <w:b/>
                <w:i w:val="0"/>
                <w:color w:val="0F172A"/>
                <w:sz w:val="20"/>
              </w:rPr>
              <w:t xml:space="preserve">   (kWh/day),   k in {2W, 3W, 4W, Bus, Goods}</w:t>
            </w:r>
          </w:p>
        </w:tc>
      </w:tr>
    </w:tbl>
    <w:p>
      <w:pPr>
        <w:spacing w:after="0" w:line="60" w:lineRule="exact"/>
      </w:pPr>
      <w:r>
        <w:rPr>
          <w:rFonts w:ascii="Arial" w:hAnsi="Arial" w:cs="Arial" w:eastAsia="Arial"/>
          <w:b w:val="0"/>
          <w:i w:val="0"/>
          <w:sz w:val="20"/>
        </w:rPr>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Look w:firstColumn="1" w:firstRow="1" w:lastColumn="0" w:lastRow="0" w:noHBand="0" w:noVBand="1" w:val="04A0"/>
      </w:tblPr>
      <w:tblGrid>
        <w:gridCol w:w="2556"/>
        <w:gridCol w:w="2556"/>
        <w:gridCol w:w="2556"/>
        <w:gridCol w:w="2556"/>
      </w:tblGrid>
      <w:tr>
        <w:trPr>
          <w:cantSplit/>
        </w:trPr>
        <w:tc>
          <w:tcPr>
            <w:tcW w:type="dxa" w:w="1152"/>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Class</w:t>
            </w:r>
          </w:p>
        </w:tc>
        <w:tc>
          <w:tcPr>
            <w:tcW w:type="dxa" w:w="3456"/>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Daily energy e_k</w:t>
            </w:r>
          </w:p>
        </w:tc>
        <w:tc>
          <w:tcPr>
            <w:tcW w:type="dxa" w:w="2016"/>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Public share φ</w:t>
            </w:r>
          </w:p>
        </w:tc>
        <w:tc>
          <w:tcPr>
            <w:tcW w:type="dxa" w:w="3600"/>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Plug-in split (AC/DC)</w:t>
            </w:r>
          </w:p>
        </w:tc>
      </w:tr>
      <w:tr>
        <w:trPr>
          <w:cantSplit/>
        </w:trPr>
        <w:tc>
          <w:tcPr>
            <w:tcW w:type="dxa" w:w="1152"/>
            <w:shd w:val="clear" w:color="auto" w:fill="FFFFFF"/>
            <w:tcMar>
              <w:top w:w="30" w:type="dxa"/>
              <w:left w:w="70" w:type="dxa"/>
              <w:bottom w:w="30" w:type="dxa"/>
              <w:right w:w="70" w:type="dxa"/>
            </w:tcMar>
          </w:tcPr>
          <w:p>
            <w:pPr>
              <w:spacing w:after="0"/>
            </w:pPr>
            <w:r>
              <w:rPr>
                <w:rFonts w:ascii="Arial" w:hAnsi="Arial" w:cs="Arial" w:eastAsia="Arial"/>
                <w:b w:val="0"/>
                <w:i w:val="0"/>
                <w:sz w:val="20"/>
              </w:rPr>
              <w:t>2W</w:t>
            </w:r>
          </w:p>
        </w:tc>
        <w:tc>
          <w:tcPr>
            <w:tcW w:type="dxa" w:w="3456"/>
            <w:shd w:val="clear" w:color="auto" w:fill="FFFFFF"/>
            <w:tcMar>
              <w:top w:w="30" w:type="dxa"/>
              <w:left w:w="70" w:type="dxa"/>
              <w:bottom w:w="30" w:type="dxa"/>
              <w:right w:w="70" w:type="dxa"/>
            </w:tcMar>
          </w:tcPr>
          <w:p>
            <w:pPr>
              <w:spacing w:after="0"/>
            </w:pPr>
            <w:r>
              <w:rPr>
                <w:rFonts w:ascii="Arial" w:hAnsi="Arial" w:cs="Arial" w:eastAsia="Arial"/>
                <w:b w:val="0"/>
                <w:i w:val="0"/>
                <w:sz w:val="20"/>
              </w:rPr>
              <w:t>32 km × 0.032 = 1.02 kWh</w:t>
            </w:r>
          </w:p>
        </w:tc>
        <w:tc>
          <w:tcPr>
            <w:tcW w:type="dxa" w:w="2016"/>
            <w:shd w:val="clear" w:color="auto" w:fill="FFFFFF"/>
            <w:tcMar>
              <w:top w:w="30" w:type="dxa"/>
              <w:left w:w="70" w:type="dxa"/>
              <w:bottom w:w="30" w:type="dxa"/>
              <w:right w:w="70" w:type="dxa"/>
            </w:tcMar>
          </w:tcPr>
          <w:p>
            <w:pPr>
              <w:spacing w:after="0"/>
            </w:pPr>
            <w:r>
              <w:rPr>
                <w:rFonts w:ascii="Arial" w:hAnsi="Arial" w:cs="Arial" w:eastAsia="Arial"/>
                <w:b w:val="0"/>
                <w:i w:val="0"/>
                <w:sz w:val="20"/>
              </w:rPr>
              <w:t>20%</w:t>
            </w:r>
          </w:p>
        </w:tc>
        <w:tc>
          <w:tcPr>
            <w:tcW w:type="dxa" w:w="3600"/>
            <w:shd w:val="clear" w:color="auto" w:fill="FFFFFF"/>
            <w:tcMar>
              <w:top w:w="30" w:type="dxa"/>
              <w:left w:w="70" w:type="dxa"/>
              <w:bottom w:w="30" w:type="dxa"/>
              <w:right w:w="70" w:type="dxa"/>
            </w:tcMar>
          </w:tcPr>
          <w:p>
            <w:pPr>
              <w:spacing w:after="0"/>
            </w:pPr>
            <w:r>
              <w:rPr>
                <w:rFonts w:ascii="Arial" w:hAnsi="Arial" w:cs="Arial" w:eastAsia="Arial"/>
                <w:b w:val="0"/>
                <w:i w:val="0"/>
                <w:sz w:val="20"/>
              </w:rPr>
              <w:t>85/15 (35% of energy swapped*)</w:t>
            </w:r>
          </w:p>
        </w:tc>
      </w:tr>
      <w:tr>
        <w:trPr>
          <w:cantSplit/>
        </w:trPr>
        <w:tc>
          <w:tcPr>
            <w:tcW w:type="dxa" w:w="1152"/>
            <w:shd w:val="clear" w:color="auto" w:fill="F8FAFC"/>
            <w:tcMar>
              <w:top w:w="30" w:type="dxa"/>
              <w:left w:w="70" w:type="dxa"/>
              <w:bottom w:w="30" w:type="dxa"/>
              <w:right w:w="70" w:type="dxa"/>
            </w:tcMar>
          </w:tcPr>
          <w:p>
            <w:pPr>
              <w:spacing w:after="0"/>
            </w:pPr>
            <w:r>
              <w:rPr>
                <w:rFonts w:ascii="Arial" w:hAnsi="Arial" w:cs="Arial" w:eastAsia="Arial"/>
                <w:b w:val="0"/>
                <w:i w:val="0"/>
                <w:sz w:val="20"/>
              </w:rPr>
              <w:t>3W</w:t>
            </w:r>
          </w:p>
        </w:tc>
        <w:tc>
          <w:tcPr>
            <w:tcW w:type="dxa" w:w="3456"/>
            <w:shd w:val="clear" w:color="auto" w:fill="F8FAFC"/>
            <w:tcMar>
              <w:top w:w="30" w:type="dxa"/>
              <w:left w:w="70" w:type="dxa"/>
              <w:bottom w:w="30" w:type="dxa"/>
              <w:right w:w="70" w:type="dxa"/>
            </w:tcMar>
          </w:tcPr>
          <w:p>
            <w:pPr>
              <w:spacing w:after="0"/>
            </w:pPr>
            <w:r>
              <w:rPr>
                <w:rFonts w:ascii="Arial" w:hAnsi="Arial" w:cs="Arial" w:eastAsia="Arial"/>
                <w:b w:val="0"/>
                <w:i w:val="0"/>
                <w:sz w:val="20"/>
              </w:rPr>
              <w:t>85 km × 0.075 = 6.38 kWh</w:t>
            </w:r>
          </w:p>
        </w:tc>
        <w:tc>
          <w:tcPr>
            <w:tcW w:type="dxa" w:w="2016"/>
            <w:shd w:val="clear" w:color="auto" w:fill="F8FAFC"/>
            <w:tcMar>
              <w:top w:w="30" w:type="dxa"/>
              <w:left w:w="70" w:type="dxa"/>
              <w:bottom w:w="30" w:type="dxa"/>
              <w:right w:w="70" w:type="dxa"/>
            </w:tcMar>
          </w:tcPr>
          <w:p>
            <w:pPr>
              <w:spacing w:after="0"/>
            </w:pPr>
            <w:r>
              <w:rPr>
                <w:rFonts w:ascii="Arial" w:hAnsi="Arial" w:cs="Arial" w:eastAsia="Arial"/>
                <w:b w:val="0"/>
                <w:i w:val="0"/>
                <w:sz w:val="20"/>
              </w:rPr>
              <w:t>55%</w:t>
            </w:r>
          </w:p>
        </w:tc>
        <w:tc>
          <w:tcPr>
            <w:tcW w:type="dxa" w:w="3600"/>
            <w:shd w:val="clear" w:color="auto" w:fill="F8FAFC"/>
            <w:tcMar>
              <w:top w:w="30" w:type="dxa"/>
              <w:left w:w="70" w:type="dxa"/>
              <w:bottom w:w="30" w:type="dxa"/>
              <w:right w:w="70" w:type="dxa"/>
            </w:tcMar>
          </w:tcPr>
          <w:p>
            <w:pPr>
              <w:spacing w:after="0"/>
            </w:pPr>
            <w:r>
              <w:rPr>
                <w:rFonts w:ascii="Arial" w:hAnsi="Arial" w:cs="Arial" w:eastAsia="Arial"/>
                <w:b w:val="0"/>
                <w:i w:val="0"/>
                <w:sz w:val="20"/>
              </w:rPr>
              <w:t>85/15 (35% swapped*)</w:t>
            </w:r>
          </w:p>
        </w:tc>
      </w:tr>
      <w:tr>
        <w:trPr>
          <w:cantSplit/>
        </w:trPr>
        <w:tc>
          <w:tcPr>
            <w:tcW w:type="dxa" w:w="1152"/>
            <w:shd w:val="clear" w:color="auto" w:fill="FFFFFF"/>
            <w:tcMar>
              <w:top w:w="30" w:type="dxa"/>
              <w:left w:w="70" w:type="dxa"/>
              <w:bottom w:w="30" w:type="dxa"/>
              <w:right w:w="70" w:type="dxa"/>
            </w:tcMar>
          </w:tcPr>
          <w:p>
            <w:pPr>
              <w:spacing w:after="0"/>
            </w:pPr>
            <w:r>
              <w:rPr>
                <w:rFonts w:ascii="Arial" w:hAnsi="Arial" w:cs="Arial" w:eastAsia="Arial"/>
                <w:b w:val="0"/>
                <w:i w:val="0"/>
                <w:sz w:val="20"/>
              </w:rPr>
              <w:t>4W</w:t>
            </w:r>
          </w:p>
        </w:tc>
        <w:tc>
          <w:tcPr>
            <w:tcW w:type="dxa" w:w="3456"/>
            <w:shd w:val="clear" w:color="auto" w:fill="FFFFFF"/>
            <w:tcMar>
              <w:top w:w="30" w:type="dxa"/>
              <w:left w:w="70" w:type="dxa"/>
              <w:bottom w:w="30" w:type="dxa"/>
              <w:right w:w="70" w:type="dxa"/>
            </w:tcMar>
          </w:tcPr>
          <w:p>
            <w:pPr>
              <w:spacing w:after="0"/>
            </w:pPr>
            <w:r>
              <w:rPr>
                <w:rFonts w:ascii="Arial" w:hAnsi="Arial" w:cs="Arial" w:eastAsia="Arial"/>
                <w:b w:val="0"/>
                <w:i w:val="0"/>
                <w:sz w:val="20"/>
              </w:rPr>
              <w:t>48 km × 0.145 = 6.96 kWh</w:t>
            </w:r>
          </w:p>
        </w:tc>
        <w:tc>
          <w:tcPr>
            <w:tcW w:type="dxa" w:w="2016"/>
            <w:shd w:val="clear" w:color="auto" w:fill="FFFFFF"/>
            <w:tcMar>
              <w:top w:w="30" w:type="dxa"/>
              <w:left w:w="70" w:type="dxa"/>
              <w:bottom w:w="30" w:type="dxa"/>
              <w:right w:w="70" w:type="dxa"/>
            </w:tcMar>
          </w:tcPr>
          <w:p>
            <w:pPr>
              <w:spacing w:after="0"/>
            </w:pPr>
            <w:r>
              <w:rPr>
                <w:rFonts w:ascii="Arial" w:hAnsi="Arial" w:cs="Arial" w:eastAsia="Arial"/>
                <w:b w:val="0"/>
                <w:i w:val="0"/>
                <w:sz w:val="20"/>
              </w:rPr>
              <w:t>32%</w:t>
            </w:r>
          </w:p>
        </w:tc>
        <w:tc>
          <w:tcPr>
            <w:tcW w:type="dxa" w:w="3600"/>
            <w:shd w:val="clear" w:color="auto" w:fill="FFFFFF"/>
            <w:tcMar>
              <w:top w:w="30" w:type="dxa"/>
              <w:left w:w="70" w:type="dxa"/>
              <w:bottom w:w="30" w:type="dxa"/>
              <w:right w:w="70" w:type="dxa"/>
            </w:tcMar>
          </w:tcPr>
          <w:p>
            <w:pPr>
              <w:spacing w:after="0"/>
            </w:pPr>
            <w:r>
              <w:rPr>
                <w:rFonts w:ascii="Arial" w:hAnsi="Arial" w:cs="Arial" w:eastAsia="Arial"/>
                <w:b w:val="0"/>
                <w:i w:val="0"/>
                <w:sz w:val="20"/>
              </w:rPr>
              <w:t>35/65</w:t>
            </w:r>
          </w:p>
        </w:tc>
      </w:tr>
      <w:tr>
        <w:trPr>
          <w:cantSplit/>
        </w:trPr>
        <w:tc>
          <w:tcPr>
            <w:tcW w:type="dxa" w:w="1152"/>
            <w:shd w:val="clear" w:color="auto" w:fill="F8FAFC"/>
            <w:tcMar>
              <w:top w:w="30" w:type="dxa"/>
              <w:left w:w="70" w:type="dxa"/>
              <w:bottom w:w="30" w:type="dxa"/>
              <w:right w:w="70" w:type="dxa"/>
            </w:tcMar>
          </w:tcPr>
          <w:p>
            <w:pPr>
              <w:spacing w:after="0"/>
            </w:pPr>
            <w:r>
              <w:rPr>
                <w:rFonts w:ascii="Arial" w:hAnsi="Arial" w:cs="Arial" w:eastAsia="Arial"/>
                <w:b w:val="0"/>
                <w:i w:val="0"/>
                <w:sz w:val="20"/>
              </w:rPr>
              <w:t>Bus</w:t>
            </w:r>
          </w:p>
        </w:tc>
        <w:tc>
          <w:tcPr>
            <w:tcW w:type="dxa" w:w="3456"/>
            <w:shd w:val="clear" w:color="auto" w:fill="F8FAFC"/>
            <w:tcMar>
              <w:top w:w="30" w:type="dxa"/>
              <w:left w:w="70" w:type="dxa"/>
              <w:bottom w:w="30" w:type="dxa"/>
              <w:right w:w="70" w:type="dxa"/>
            </w:tcMar>
          </w:tcPr>
          <w:p>
            <w:pPr>
              <w:spacing w:after="0"/>
            </w:pPr>
            <w:r>
              <w:rPr>
                <w:rFonts w:ascii="Arial" w:hAnsi="Arial" w:cs="Arial" w:eastAsia="Arial"/>
                <w:b w:val="0"/>
                <w:i w:val="0"/>
                <w:sz w:val="20"/>
              </w:rPr>
              <w:t>180 km × 1.15 = 207 kWh</w:t>
            </w:r>
          </w:p>
        </w:tc>
        <w:tc>
          <w:tcPr>
            <w:tcW w:type="dxa" w:w="2016"/>
            <w:shd w:val="clear" w:color="auto" w:fill="F8FAFC"/>
            <w:tcMar>
              <w:top w:w="30" w:type="dxa"/>
              <w:left w:w="70" w:type="dxa"/>
              <w:bottom w:w="30" w:type="dxa"/>
              <w:right w:w="70" w:type="dxa"/>
            </w:tcMar>
          </w:tcPr>
          <w:p>
            <w:pPr>
              <w:spacing w:after="0"/>
            </w:pPr>
            <w:r>
              <w:rPr>
                <w:rFonts w:ascii="Arial" w:hAnsi="Arial" w:cs="Arial" w:eastAsia="Arial"/>
                <w:b w:val="0"/>
                <w:i w:val="0"/>
                <w:sz w:val="20"/>
              </w:rPr>
              <w:t>20%</w:t>
            </w:r>
          </w:p>
        </w:tc>
        <w:tc>
          <w:tcPr>
            <w:tcW w:type="dxa" w:w="3600"/>
            <w:shd w:val="clear" w:color="auto" w:fill="F8FAFC"/>
            <w:tcMar>
              <w:top w:w="30" w:type="dxa"/>
              <w:left w:w="70" w:type="dxa"/>
              <w:bottom w:w="30" w:type="dxa"/>
              <w:right w:w="70" w:type="dxa"/>
            </w:tcMar>
          </w:tcPr>
          <w:p>
            <w:pPr>
              <w:spacing w:after="0"/>
            </w:pPr>
            <w:r>
              <w:rPr>
                <w:rFonts w:ascii="Arial" w:hAnsi="Arial" w:cs="Arial" w:eastAsia="Arial"/>
                <w:b w:val="0"/>
                <w:i w:val="0"/>
                <w:sz w:val="20"/>
              </w:rPr>
              <w:t>0/100</w:t>
            </w:r>
          </w:p>
        </w:tc>
      </w:tr>
      <w:tr>
        <w:trPr>
          <w:cantSplit/>
        </w:trPr>
        <w:tc>
          <w:tcPr>
            <w:tcW w:type="dxa" w:w="1152"/>
            <w:shd w:val="clear" w:color="auto" w:fill="FFFFFF"/>
            <w:tcMar>
              <w:top w:w="30" w:type="dxa"/>
              <w:left w:w="70" w:type="dxa"/>
              <w:bottom w:w="30" w:type="dxa"/>
              <w:right w:w="70" w:type="dxa"/>
            </w:tcMar>
          </w:tcPr>
          <w:p>
            <w:pPr>
              <w:spacing w:after="0"/>
            </w:pPr>
            <w:r>
              <w:rPr>
                <w:rFonts w:ascii="Arial" w:hAnsi="Arial" w:cs="Arial" w:eastAsia="Arial"/>
                <w:b w:val="0"/>
                <w:i w:val="0"/>
                <w:sz w:val="20"/>
              </w:rPr>
              <w:t>Goods</w:t>
            </w:r>
          </w:p>
        </w:tc>
        <w:tc>
          <w:tcPr>
            <w:tcW w:type="dxa" w:w="3456"/>
            <w:shd w:val="clear" w:color="auto" w:fill="FFFFFF"/>
            <w:tcMar>
              <w:top w:w="30" w:type="dxa"/>
              <w:left w:w="70" w:type="dxa"/>
              <w:bottom w:w="30" w:type="dxa"/>
              <w:right w:w="70" w:type="dxa"/>
            </w:tcMar>
          </w:tcPr>
          <w:p>
            <w:pPr>
              <w:spacing w:after="0"/>
            </w:pPr>
            <w:r>
              <w:rPr>
                <w:rFonts w:ascii="Arial" w:hAnsi="Arial" w:cs="Arial" w:eastAsia="Arial"/>
                <w:b w:val="0"/>
                <w:i w:val="0"/>
                <w:sz w:val="20"/>
              </w:rPr>
              <w:t>90 km × 0.15 = 13.5 kWh</w:t>
            </w:r>
          </w:p>
        </w:tc>
        <w:tc>
          <w:tcPr>
            <w:tcW w:type="dxa" w:w="2016"/>
            <w:shd w:val="clear" w:color="auto" w:fill="FFFFFF"/>
            <w:tcMar>
              <w:top w:w="30" w:type="dxa"/>
              <w:left w:w="70" w:type="dxa"/>
              <w:bottom w:w="30" w:type="dxa"/>
              <w:right w:w="70" w:type="dxa"/>
            </w:tcMar>
          </w:tcPr>
          <w:p>
            <w:pPr>
              <w:spacing w:after="0"/>
            </w:pPr>
            <w:r>
              <w:rPr>
                <w:rFonts w:ascii="Arial" w:hAnsi="Arial" w:cs="Arial" w:eastAsia="Arial"/>
                <w:b w:val="0"/>
                <w:i w:val="0"/>
                <w:sz w:val="20"/>
              </w:rPr>
              <w:t>50%</w:t>
            </w:r>
          </w:p>
        </w:tc>
        <w:tc>
          <w:tcPr>
            <w:tcW w:type="dxa" w:w="3600"/>
            <w:shd w:val="clear" w:color="auto" w:fill="FFFFFF"/>
            <w:tcMar>
              <w:top w:w="30" w:type="dxa"/>
              <w:left w:w="70" w:type="dxa"/>
              <w:bottom w:w="30" w:type="dxa"/>
              <w:right w:w="70" w:type="dxa"/>
            </w:tcMar>
          </w:tcPr>
          <w:p>
            <w:pPr>
              <w:spacing w:after="0"/>
            </w:pPr>
            <w:r>
              <w:rPr>
                <w:rFonts w:ascii="Arial" w:hAnsi="Arial" w:cs="Arial" w:eastAsia="Arial"/>
                <w:b w:val="0"/>
                <w:i w:val="0"/>
                <w:sz w:val="20"/>
              </w:rPr>
              <w:t>25/75</w:t>
            </w:r>
          </w:p>
        </w:tc>
      </w:tr>
    </w:tbl>
    <w:p>
      <w:pPr>
        <w:spacing w:after="0" w:line="80" w:lineRule="exact"/>
      </w:pPr>
      <w:r>
        <w:rPr>
          <w:rFonts w:ascii="Arial" w:hAnsi="Arial" w:cs="Arial" w:eastAsia="Arial"/>
          <w:b w:val="0"/>
          <w:i w:val="0"/>
          <w:sz w:val="20"/>
        </w:rPr>
      </w:r>
    </w:p>
    <w:p>
      <w:r>
        <w:rPr>
          <w:rFonts w:ascii="Arial" w:hAnsi="Arial" w:cs="Arial" w:eastAsia="Arial"/>
          <w:b w:val="0"/>
          <w:i w:val="0"/>
          <w:sz w:val="20"/>
        </w:rPr>
        <w:t>*Battery swapping absorbs 28% / 35% / 40% (low / baseline / high) of 2W and 3W public energy; the rest is plugged in. Daily throughput: AC connector 4.2 kW × 5.5 h = 23.1 kWh; DC nozzle 30 kW × 6 h = 180 kWh; swap dock 12.5 swaps × 2.1 kWh = 26.25 kWh.</w:t>
      </w:r>
    </w:p>
    <w:tbl>
      <w:tblPr>
        <w:tblW w:type="auto" w:w="0"/>
        <w:jc w:val="center"/>
        <w:tblLayout w:type="fixed"/>
        <w:tblLook w:firstColumn="1" w:firstRow="1" w:lastColumn="0" w:lastRow="0" w:noHBand="0" w:noVBand="1" w:val="04A0"/>
      </w:tblPr>
      <w:tblGrid>
        <w:gridCol w:w="10224"/>
      </w:tblGrid>
      <w:tr>
        <w:trPr>
          <w:cantSplit/>
        </w:trPr>
        <w:tc>
          <w:tcPr>
            <w:tcW w:type="dxa" w:w="10224"/>
            <w:tcBorders>
              <w:left w:val="single" w:sz="18" w:space="0" w:color="0F766E"/>
            </w:tcBorders>
            <w:shd w:val="clear" w:color="auto" w:fill="F8FAFC"/>
            <w:tcMar>
              <w:top w:w="40" w:type="dxa"/>
              <w:left w:w="100" w:type="dxa"/>
              <w:bottom w:w="40" w:type="dxa"/>
              <w:right w:w="100" w:type="dxa"/>
            </w:tcMar>
          </w:tcPr>
          <w:p>
            <w:pPr>
              <w:spacing w:after="0"/>
            </w:pPr>
            <w:r>
              <w:rPr>
                <w:rFonts w:ascii="Arial" w:hAnsi="Arial" w:cs="Arial" w:eastAsia="Arial"/>
                <w:b/>
                <w:i w:val="0"/>
                <w:color w:val="0F766E"/>
                <w:sz w:val="20"/>
              </w:rPr>
              <w:t xml:space="preserve">[Eq. 6]  </w:t>
            </w:r>
            <w:r>
              <w:rPr>
                <w:rFonts w:ascii="Arial" w:hAnsi="Arial" w:cs="Arial" w:eastAsia="Arial"/>
                <w:b/>
                <w:i w:val="0"/>
                <w:color w:val="0F172A"/>
                <w:sz w:val="20"/>
              </w:rPr>
              <w:t>Points = AC + ceil(DC / 1.35);  Stations = ceil(Points / 4.5);  Net new = max(0, Required − Σ Installed · η</w:t>
            </w:r>
            <w:r>
              <w:rPr>
                <w:rFonts w:ascii="Arial" w:hAnsi="Arial" w:cs="Arial" w:eastAsia="Arial"/>
                <w:b/>
                <w:i w:val="0"/>
                <w:color w:val="0F172A"/>
                <w:sz w:val="20"/>
              </w:rPr>
              <w:t>_power</w:t>
            </w:r>
            <w:r>
              <w:rPr>
                <w:rFonts w:ascii="Arial" w:hAnsi="Arial" w:cs="Arial" w:eastAsia="Arial"/>
                <w:b/>
                <w:i w:val="0"/>
                <w:color w:val="0F172A"/>
                <w:sz w:val="20"/>
              </w:rPr>
              <w:t>)</w:t>
            </w:r>
          </w:p>
        </w:tc>
      </w:tr>
    </w:tbl>
    <w:p>
      <w:pPr>
        <w:spacing w:after="0" w:line="60" w:lineRule="exact"/>
      </w:pPr>
      <w:r>
        <w:rPr>
          <w:rFonts w:ascii="Arial" w:hAnsi="Arial" w:cs="Arial" w:eastAsia="Arial"/>
          <w:b w:val="0"/>
          <w:i w:val="0"/>
          <w:sz w:val="20"/>
        </w:rPr>
      </w:r>
    </w:p>
    <w:p>
      <w:r>
        <w:rPr>
          <w:rFonts w:ascii="Arial" w:hAnsi="Arial" w:cs="Arial" w:eastAsia="Arial"/>
          <w:b w:val="0"/>
          <w:i w:val="0"/>
          <w:sz w:val="20"/>
        </w:rPr>
        <w:t>The substitution factor η</w:t>
      </w:r>
      <w:r>
        <w:rPr>
          <w:rFonts w:ascii="Arial" w:hAnsi="Arial" w:cs="Arial" w:eastAsia="Arial"/>
          <w:b w:val="0"/>
          <w:i w:val="0"/>
          <w:sz w:val="20"/>
        </w:rPr>
        <w:t>_power</w:t>
      </w:r>
      <w:r>
        <w:rPr>
          <w:rFonts w:ascii="Arial" w:hAnsi="Arial" w:cs="Arial" w:eastAsia="Arial"/>
          <w:b w:val="0"/>
          <w:i w:val="0"/>
          <w:sz w:val="20"/>
        </w:rPr>
        <w:t xml:space="preserve"> is 1.0 when installed power meets the required tier, 0.15 for slow sockets against slow-AC need, and 0 for slow sockets against DC need, so legacy 3.3 kW points cannot hide a fast-charging gap. At cell level, district public energy is split in proportion to AI demand (E</w:t>
      </w:r>
      <w:r>
        <w:rPr>
          <w:rFonts w:ascii="Arial" w:hAnsi="Arial" w:cs="Arial" w:eastAsia="Arial"/>
          <w:b w:val="0"/>
          <w:i w:val="0"/>
          <w:sz w:val="20"/>
        </w:rPr>
        <w:t>_cell</w:t>
      </w:r>
      <w:r>
        <w:rPr>
          <w:rFonts w:ascii="Arial" w:hAnsi="Arial" w:cs="Arial" w:eastAsia="Arial"/>
          <w:b w:val="0"/>
          <w:i w:val="0"/>
          <w:sz w:val="20"/>
        </w:rPr>
        <w:t xml:space="preserve"> = E</w:t>
      </w:r>
      <w:r>
        <w:rPr>
          <w:rFonts w:ascii="Arial" w:hAnsi="Arial" w:cs="Arial" w:eastAsia="Arial"/>
          <w:b w:val="0"/>
          <w:i w:val="0"/>
          <w:sz w:val="20"/>
        </w:rPr>
        <w:t>_district</w:t>
      </w:r>
      <w:r>
        <w:rPr>
          <w:rFonts w:ascii="Arial" w:hAnsi="Arial" w:cs="Arial" w:eastAsia="Arial"/>
          <w:b w:val="0"/>
          <w:i w:val="0"/>
          <w:sz w:val="20"/>
        </w:rPr>
        <w:t xml:space="preserve"> · D</w:t>
      </w:r>
      <w:r>
        <w:rPr>
          <w:rFonts w:ascii="Arial" w:hAnsi="Arial" w:cs="Arial" w:eastAsia="Arial"/>
          <w:b w:val="0"/>
          <w:i w:val="0"/>
          <w:sz w:val="20"/>
        </w:rPr>
        <w:t>_AI,cell</w:t>
      </w:r>
      <w:r>
        <w:rPr>
          <w:rFonts w:ascii="Arial" w:hAnsi="Arial" w:cs="Arial" w:eastAsia="Arial"/>
          <w:b w:val="0"/>
          <w:i w:val="0"/>
          <w:sz w:val="20"/>
        </w:rPr>
        <w:t xml:space="preserve"> / ΣD</w:t>
      </w:r>
      <w:r>
        <w:rPr>
          <w:rFonts w:ascii="Arial" w:hAnsi="Arial" w:cs="Arial" w:eastAsia="Arial"/>
          <w:b w:val="0"/>
          <w:i w:val="0"/>
          <w:sz w:val="20"/>
        </w:rPr>
        <w:t>_AI</w:t>
      </w:r>
      <w:r>
        <w:rPr>
          <w:rFonts w:ascii="Arial" w:hAnsi="Arial" w:cs="Arial" w:eastAsia="Arial"/>
          <w:b w:val="0"/>
          <w:i w:val="0"/>
          <w:sz w:val="20"/>
        </w:rPr>
        <w:t>) and sized as AC = max(2, ceil(E</w:t>
      </w:r>
      <w:r>
        <w:rPr>
          <w:rFonts w:ascii="Arial" w:hAnsi="Arial" w:cs="Arial" w:eastAsia="Arial"/>
          <w:b w:val="0"/>
          <w:i w:val="0"/>
          <w:sz w:val="20"/>
        </w:rPr>
        <w:t>_AC</w:t>
      </w:r>
      <w:r>
        <w:rPr>
          <w:rFonts w:ascii="Arial" w:hAnsi="Arial" w:cs="Arial" w:eastAsia="Arial"/>
          <w:b w:val="0"/>
          <w:i w:val="0"/>
          <w:sz w:val="20"/>
        </w:rPr>
        <w:t xml:space="preserve"> / 23.1)), DC = max(1, ceil(E</w:t>
      </w:r>
      <w:r>
        <w:rPr>
          <w:rFonts w:ascii="Arial" w:hAnsi="Arial" w:cs="Arial" w:eastAsia="Arial"/>
          <w:b w:val="0"/>
          <w:i w:val="0"/>
          <w:sz w:val="20"/>
        </w:rPr>
        <w:t>_DC</w:t>
      </w:r>
      <w:r>
        <w:rPr>
          <w:rFonts w:ascii="Arial" w:hAnsi="Arial" w:cs="Arial" w:eastAsia="Arial"/>
          <w:b w:val="0"/>
          <w:i w:val="0"/>
          <w:sz w:val="20"/>
        </w:rPr>
        <w:t xml:space="preserve"> / 180)), stations = ceil((AC + DC) / 6), which guarantees redundancy.</w:t>
      </w:r>
    </w:p>
    <w:p>
      <w:pPr>
        <w:keepNext/>
        <w:spacing w:before="60" w:after="20"/>
      </w:pPr>
      <w:r>
        <w:rPr>
          <w:rFonts w:ascii="Arial" w:hAnsi="Arial" w:cs="Arial" w:eastAsia="Arial"/>
          <w:b/>
          <w:i w:val="0"/>
          <w:color w:val="0F172A"/>
          <w:sz w:val="20"/>
        </w:rPr>
        <w:t>4.7 Constrained siting optimiser</w:t>
      </w:r>
    </w:p>
    <w:p>
      <w:r>
        <w:rPr>
          <w:rFonts w:ascii="Arial" w:hAnsi="Arial" w:cs="Arial" w:eastAsia="Arial"/>
          <w:b w:val="0"/>
          <w:i w:val="0"/>
          <w:sz w:val="20"/>
        </w:rPr>
        <w:t>A greedy submodular algorithm selects K = 25 cells to maximise ΣS</w:t>
      </w:r>
      <w:r>
        <w:rPr>
          <w:rFonts w:ascii="Arial" w:hAnsi="Arial" w:cs="Arial" w:eastAsia="Arial"/>
          <w:b w:val="0"/>
          <w:i w:val="0"/>
          <w:sz w:val="20"/>
        </w:rPr>
        <w:t>_i</w:t>
      </w:r>
      <w:r>
        <w:rPr>
          <w:rFonts w:ascii="Arial" w:hAnsi="Arial" w:cs="Arial" w:eastAsia="Arial"/>
          <w:b w:val="0"/>
          <w:i w:val="0"/>
          <w:sz w:val="20"/>
        </w:rPr>
        <w:t xml:space="preserve">, subject to: </w:t>
      </w:r>
      <w:r>
        <w:rPr>
          <w:rFonts w:ascii="Arial" w:hAnsi="Arial" w:cs="Arial" w:eastAsia="Arial"/>
          <w:b/>
          <w:i w:val="0"/>
          <w:sz w:val="20"/>
        </w:rPr>
        <w:t>(a)</w:t>
      </w:r>
      <w:r>
        <w:rPr>
          <w:rFonts w:ascii="Arial" w:hAnsi="Arial" w:cs="Arial" w:eastAsia="Arial"/>
          <w:b w:val="0"/>
          <w:i w:val="0"/>
          <w:sz w:val="20"/>
        </w:rPr>
        <w:t xml:space="preserve"> feeder-distance penalty beyond 1.5 km, with Tier 1 (&lt; 1 km, ≥ 500 kVA proxy), Tier 2 (1–2.5 km, 150–250 kVA proxy) and Tier 3 (&gt; 2.5 km); </w:t>
      </w:r>
      <w:r>
        <w:rPr>
          <w:rFonts w:ascii="Arial" w:hAnsi="Arial" w:cs="Arial" w:eastAsia="Arial"/>
          <w:b/>
          <w:i w:val="0"/>
          <w:sz w:val="20"/>
        </w:rPr>
        <w:t>(b)</w:t>
      </w:r>
      <w:r>
        <w:rPr>
          <w:rFonts w:ascii="Arial" w:hAnsi="Arial" w:cs="Arial" w:eastAsia="Arial"/>
          <w:b w:val="0"/>
          <w:i w:val="0"/>
          <w:sz w:val="20"/>
        </w:rPr>
        <w:t xml:space="preserve"> minimum 1.2 km spacing between chosen sites to avoid cannibalisation; </w:t>
      </w:r>
      <w:r>
        <w:rPr>
          <w:rFonts w:ascii="Arial" w:hAnsi="Arial" w:cs="Arial" w:eastAsia="Arial"/>
          <w:b/>
          <w:i w:val="0"/>
          <w:sz w:val="20"/>
        </w:rPr>
        <w:t>(c)</w:t>
      </w:r>
      <w:r>
        <w:rPr>
          <w:rFonts w:ascii="Arial" w:hAnsi="Arial" w:cs="Arial" w:eastAsia="Arial"/>
          <w:b w:val="0"/>
          <w:i w:val="0"/>
          <w:sz w:val="20"/>
        </w:rPr>
        <w:t xml:space="preserve"> the minimum-redundancy hardware rule above. Greedy selection carries the standard (1 − 1/e) guarantee for the unconstrained monotone submodular case; with the spacing and feeder constraints it is a heuristic, so we report it as such.</w:t>
      </w:r>
    </w:p>
    <w:p>
      <w:pPr>
        <w:keepNext/>
        <w:spacing w:before="140" w:after="40"/>
      </w:pPr>
      <w:r>
        <w:rPr>
          <w:rFonts w:ascii="Arial" w:hAnsi="Arial" w:cs="Arial" w:eastAsia="Arial"/>
          <w:b/>
          <w:i w:val="0"/>
          <w:color w:val="0F766E"/>
          <w:sz w:val="24"/>
        </w:rPr>
        <w:t>5. Innovation and Differentiation (20%)</w:t>
      </w:r>
    </w:p>
    <w:p>
      <w:pPr>
        <w:pStyle w:val="ListBullet"/>
        <w:spacing w:after="30"/>
      </w:pPr>
      <w:r>
        <w:rPr>
          <w:rFonts w:ascii="Arial" w:hAnsi="Arial" w:cs="Arial" w:eastAsia="Arial"/>
          <w:b/>
          <w:i w:val="0"/>
          <w:sz w:val="20"/>
        </w:rPr>
        <w:t>Non-additive multi-registry design.</w:t>
      </w:r>
      <w:r>
        <w:rPr>
          <w:rFonts w:ascii="Arial" w:hAnsi="Arial" w:cs="Arial" w:eastAsia="Arial"/>
          <w:b w:val="0"/>
          <w:i w:val="0"/>
          <w:sz w:val="20"/>
        </w:rPr>
        <w:t xml:space="preserve"> Overlapping registries are never summed; the audit matrix exposes the discrepancies. Most dashboards add them.</w:t>
      </w:r>
    </w:p>
    <w:p>
      <w:pPr>
        <w:pStyle w:val="ListBullet"/>
        <w:spacing w:after="30"/>
      </w:pPr>
      <w:r>
        <w:rPr>
          <w:rFonts w:ascii="Arial" w:hAnsi="Arial" w:cs="Arial" w:eastAsia="Arial"/>
          <w:b/>
          <w:i w:val="0"/>
          <w:sz w:val="20"/>
        </w:rPr>
        <w:t>Proximity separated from adequacy.</w:t>
      </w:r>
      <w:r>
        <w:rPr>
          <w:rFonts w:ascii="Arial" w:hAnsi="Arial" w:cs="Arial" w:eastAsia="Arial"/>
          <w:b w:val="0"/>
          <w:i w:val="0"/>
          <w:sz w:val="20"/>
        </w:rPr>
        <w:t xml:space="preserve"> Every cell carries both a distance state and an energy-capacity state.</w:t>
      </w:r>
    </w:p>
    <w:p>
      <w:pPr>
        <w:pStyle w:val="ListBullet"/>
        <w:spacing w:after="30"/>
      </w:pPr>
      <w:r>
        <w:rPr>
          <w:rFonts w:ascii="Arial" w:hAnsi="Arial" w:cs="Arial" w:eastAsia="Arial"/>
          <w:b/>
          <w:i w:val="0"/>
          <w:sz w:val="20"/>
        </w:rPr>
        <w:t>Explainable AI instead of a black box.</w:t>
      </w:r>
      <w:r>
        <w:rPr>
          <w:rFonts w:ascii="Arial" w:hAnsi="Arial" w:cs="Arial" w:eastAsia="Arial"/>
          <w:b w:val="0"/>
          <w:i w:val="0"/>
          <w:sz w:val="20"/>
        </w:rPr>
        <w:t xml:space="preserve"> Random Forest importances, a closed-form Bass curve and an auditable optimiser can be defended in a public tender; honest CV disclosure builds that trust.</w:t>
      </w:r>
    </w:p>
    <w:p>
      <w:pPr>
        <w:pStyle w:val="ListBullet"/>
        <w:spacing w:after="30"/>
      </w:pPr>
      <w:r>
        <w:rPr>
          <w:rFonts w:ascii="Arial" w:hAnsi="Arial" w:cs="Arial" w:eastAsia="Arial"/>
          <w:b/>
          <w:i w:val="0"/>
          <w:sz w:val="20"/>
        </w:rPr>
        <w:t>Continuous decay kernel</w:t>
      </w:r>
      <w:r>
        <w:rPr>
          <w:rFonts w:ascii="Arial" w:hAnsi="Arial" w:cs="Arial" w:eastAsia="Arial"/>
          <w:b w:val="0"/>
          <w:i w:val="0"/>
          <w:sz w:val="20"/>
        </w:rPr>
        <w:t xml:space="preserve"> removes the artificial cliff of coverage circles.</w:t>
      </w:r>
    </w:p>
    <w:p>
      <w:pPr>
        <w:pStyle w:val="ListBullet"/>
        <w:spacing w:after="30"/>
      </w:pPr>
      <w:r>
        <w:rPr>
          <w:rFonts w:ascii="Arial" w:hAnsi="Arial" w:cs="Arial" w:eastAsia="Arial"/>
          <w:b/>
          <w:i w:val="0"/>
          <w:sz w:val="20"/>
        </w:rPr>
        <w:t>Power-tier substitution</w:t>
      </w:r>
      <w:r>
        <w:rPr>
          <w:rFonts w:ascii="Arial" w:hAnsi="Arial" w:cs="Arial" w:eastAsia="Arial"/>
          <w:b w:val="0"/>
          <w:i w:val="0"/>
          <w:sz w:val="20"/>
        </w:rPr>
        <w:t xml:space="preserve"> stops legacy slow sockets offsetting fast-charging need; battery swapping is modelled as its own hardware class.</w:t>
      </w:r>
    </w:p>
    <w:p>
      <w:pPr>
        <w:pStyle w:val="ListBullet"/>
        <w:spacing w:after="30"/>
      </w:pPr>
      <w:r>
        <w:rPr>
          <w:rFonts w:ascii="Arial" w:hAnsi="Arial" w:cs="Arial" w:eastAsia="Arial"/>
          <w:b/>
          <w:i w:val="0"/>
          <w:sz w:val="20"/>
        </w:rPr>
        <w:t>Data-engineering findings:</w:t>
      </w:r>
      <w:r>
        <w:rPr>
          <w:rFonts w:ascii="Arial" w:hAnsi="Arial" w:cs="Arial" w:eastAsia="Arial"/>
          <w:b w:val="0"/>
          <w:i w:val="0"/>
          <w:sz w:val="20"/>
        </w:rPr>
        <w:t xml:space="preserve"> the second VAHAN fuel tag (+4.34 M vehicles), Burari redistribution, and 119 corrupted BEE coordinates isolated rather than silently dropped.</w:t>
      </w:r>
    </w:p>
    <w:p>
      <w:pPr>
        <w:keepNext/>
        <w:spacing w:before="140" w:after="40"/>
      </w:pPr>
      <w:r>
        <w:rPr>
          <w:rFonts w:ascii="Arial" w:hAnsi="Arial" w:cs="Arial" w:eastAsia="Arial"/>
          <w:b/>
          <w:i w:val="0"/>
          <w:color w:val="0F766E"/>
          <w:sz w:val="24"/>
        </w:rPr>
        <w:t>6. Results and Validation</w:t>
      </w:r>
    </w:p>
    <w:p>
      <w:r>
        <w:rPr>
          <w:rFonts w:ascii="Arial" w:hAnsi="Arial" w:cs="Arial" w:eastAsia="Arial"/>
          <w:b w:val="0"/>
          <w:i w:val="0"/>
          <w:sz w:val="20"/>
        </w:rPr>
        <w:t>The optimiser returned 25 sites (14 Tier 1, 11 Tier 2). The five highest-ranked, by the optimiser's utility score, are below; hardware is the recommended installed count.</w:t>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Look w:firstColumn="1" w:firstRow="1" w:lastColumn="0" w:lastRow="0" w:noHBand="0" w:noVBand="1" w:val="04A0"/>
      </w:tblPr>
      <w:tblGrid>
        <w:gridCol w:w="1461"/>
        <w:gridCol w:w="1461"/>
        <w:gridCol w:w="1461"/>
        <w:gridCol w:w="1461"/>
        <w:gridCol w:w="1461"/>
        <w:gridCol w:w="1461"/>
        <w:gridCol w:w="1461"/>
      </w:tblGrid>
      <w:tr>
        <w:trPr>
          <w:cantSplit/>
        </w:trPr>
        <w:tc>
          <w:tcPr>
            <w:tcW w:type="dxa" w:w="2880"/>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Rank / cell (district)</w:t>
            </w:r>
          </w:p>
        </w:tc>
        <w:tc>
          <w:tcPr>
            <w:tcW w:type="dxa" w:w="1656"/>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Lat, Lon</w:t>
            </w:r>
          </w:p>
        </w:tc>
        <w:tc>
          <w:tcPr>
            <w:tcW w:type="dxa" w:w="720"/>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D_AI</w:t>
            </w:r>
          </w:p>
        </w:tc>
        <w:tc>
          <w:tcPr>
            <w:tcW w:type="dxa" w:w="1296"/>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Nearest charger</w:t>
            </w:r>
          </w:p>
        </w:tc>
        <w:tc>
          <w:tcPr>
            <w:tcW w:type="dxa" w:w="1224"/>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Substation</w:t>
            </w:r>
          </w:p>
        </w:tc>
        <w:tc>
          <w:tcPr>
            <w:tcW w:type="dxa" w:w="576"/>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Tier</w:t>
            </w:r>
          </w:p>
        </w:tc>
        <w:tc>
          <w:tcPr>
            <w:tcW w:type="dxa" w:w="1872"/>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AC / DC / swap</w:t>
            </w:r>
          </w:p>
        </w:tc>
      </w:tr>
      <w:tr>
        <w:trPr>
          <w:cantSplit/>
        </w:trPr>
        <w:tc>
          <w:tcPr>
            <w:tcW w:type="dxa" w:w="2880"/>
            <w:shd w:val="clear" w:color="auto" w:fill="FFFFFF"/>
            <w:tcMar>
              <w:top w:w="30" w:type="dxa"/>
              <w:left w:w="70" w:type="dxa"/>
              <w:bottom w:w="30" w:type="dxa"/>
              <w:right w:w="70" w:type="dxa"/>
            </w:tcMar>
          </w:tcPr>
          <w:p>
            <w:pPr>
              <w:spacing w:after="0"/>
            </w:pPr>
            <w:r>
              <w:rPr>
                <w:rFonts w:ascii="Arial" w:hAnsi="Arial" w:cs="Arial" w:eastAsia="Arial"/>
                <w:b w:val="0"/>
                <w:i w:val="0"/>
                <w:sz w:val="20"/>
              </w:rPr>
              <w:t>1  DL-GRID-13-14 (West)</w:t>
            </w:r>
          </w:p>
        </w:tc>
        <w:tc>
          <w:tcPr>
            <w:tcW w:type="dxa" w:w="1656"/>
            <w:shd w:val="clear" w:color="auto" w:fill="FFFFFF"/>
            <w:tcMar>
              <w:top w:w="30" w:type="dxa"/>
              <w:left w:w="70" w:type="dxa"/>
              <w:bottom w:w="30" w:type="dxa"/>
              <w:right w:w="70" w:type="dxa"/>
            </w:tcMar>
          </w:tcPr>
          <w:p>
            <w:pPr>
              <w:spacing w:after="0"/>
            </w:pPr>
            <w:r>
              <w:rPr>
                <w:rFonts w:ascii="Arial" w:hAnsi="Arial" w:cs="Arial" w:eastAsia="Arial"/>
                <w:b w:val="0"/>
                <w:i w:val="0"/>
                <w:sz w:val="20"/>
              </w:rPr>
              <w:t>28.643, 77.127</w:t>
            </w:r>
          </w:p>
        </w:tc>
        <w:tc>
          <w:tcPr>
            <w:tcW w:type="dxa" w:w="720"/>
            <w:shd w:val="clear" w:color="auto" w:fill="FFFFFF"/>
            <w:tcMar>
              <w:top w:w="30" w:type="dxa"/>
              <w:left w:w="70" w:type="dxa"/>
              <w:bottom w:w="30" w:type="dxa"/>
              <w:right w:w="70" w:type="dxa"/>
            </w:tcMar>
          </w:tcPr>
          <w:p>
            <w:pPr>
              <w:spacing w:after="0"/>
            </w:pPr>
            <w:r>
              <w:rPr>
                <w:rFonts w:ascii="Arial" w:hAnsi="Arial" w:cs="Arial" w:eastAsia="Arial"/>
                <w:b w:val="0"/>
                <w:i w:val="0"/>
                <w:sz w:val="20"/>
              </w:rPr>
              <w:t>65.6</w:t>
            </w:r>
          </w:p>
        </w:tc>
        <w:tc>
          <w:tcPr>
            <w:tcW w:type="dxa" w:w="1296"/>
            <w:shd w:val="clear" w:color="auto" w:fill="FFFFFF"/>
            <w:tcMar>
              <w:top w:w="30" w:type="dxa"/>
              <w:left w:w="70" w:type="dxa"/>
              <w:bottom w:w="30" w:type="dxa"/>
              <w:right w:w="70" w:type="dxa"/>
            </w:tcMar>
          </w:tcPr>
          <w:p>
            <w:pPr>
              <w:spacing w:after="0"/>
            </w:pPr>
            <w:r>
              <w:rPr>
                <w:rFonts w:ascii="Arial" w:hAnsi="Arial" w:cs="Arial" w:eastAsia="Arial"/>
                <w:b w:val="0"/>
                <w:i w:val="0"/>
                <w:sz w:val="20"/>
              </w:rPr>
              <w:t>1.88 km</w:t>
            </w:r>
          </w:p>
        </w:tc>
        <w:tc>
          <w:tcPr>
            <w:tcW w:type="dxa" w:w="1224"/>
            <w:shd w:val="clear" w:color="auto" w:fill="FFFFFF"/>
            <w:tcMar>
              <w:top w:w="30" w:type="dxa"/>
              <w:left w:w="70" w:type="dxa"/>
              <w:bottom w:w="30" w:type="dxa"/>
              <w:right w:w="70" w:type="dxa"/>
            </w:tcMar>
          </w:tcPr>
          <w:p>
            <w:pPr>
              <w:spacing w:after="0"/>
            </w:pPr>
            <w:r>
              <w:rPr>
                <w:rFonts w:ascii="Arial" w:hAnsi="Arial" w:cs="Arial" w:eastAsia="Arial"/>
                <w:b w:val="0"/>
                <w:i w:val="0"/>
                <w:sz w:val="20"/>
              </w:rPr>
              <w:t>1,116 m</w:t>
            </w:r>
          </w:p>
        </w:tc>
        <w:tc>
          <w:tcPr>
            <w:tcW w:type="dxa" w:w="576"/>
            <w:shd w:val="clear" w:color="auto" w:fill="FFFFFF"/>
            <w:tcMar>
              <w:top w:w="30" w:type="dxa"/>
              <w:left w:w="70" w:type="dxa"/>
              <w:bottom w:w="30" w:type="dxa"/>
              <w:right w:w="70" w:type="dxa"/>
            </w:tcMar>
          </w:tcPr>
          <w:p>
            <w:pPr>
              <w:spacing w:after="0"/>
            </w:pPr>
            <w:r>
              <w:rPr>
                <w:rFonts w:ascii="Arial" w:hAnsi="Arial" w:cs="Arial" w:eastAsia="Arial"/>
                <w:b w:val="0"/>
                <w:i w:val="0"/>
                <w:sz w:val="20"/>
              </w:rPr>
              <w:t>2</w:t>
            </w:r>
          </w:p>
        </w:tc>
        <w:tc>
          <w:tcPr>
            <w:tcW w:type="dxa" w:w="1872"/>
            <w:shd w:val="clear" w:color="auto" w:fill="FFFFFF"/>
            <w:tcMar>
              <w:top w:w="30" w:type="dxa"/>
              <w:left w:w="70" w:type="dxa"/>
              <w:bottom w:w="30" w:type="dxa"/>
              <w:right w:w="70" w:type="dxa"/>
            </w:tcMar>
          </w:tcPr>
          <w:p>
            <w:pPr>
              <w:spacing w:after="0"/>
            </w:pPr>
            <w:r>
              <w:rPr>
                <w:rFonts w:ascii="Arial" w:hAnsi="Arial" w:cs="Arial" w:eastAsia="Arial"/>
                <w:b w:val="0"/>
                <w:i w:val="0"/>
                <w:sz w:val="20"/>
              </w:rPr>
              <w:t>58 / 10 / 40</w:t>
            </w:r>
          </w:p>
        </w:tc>
      </w:tr>
      <w:tr>
        <w:trPr>
          <w:cantSplit/>
        </w:trPr>
        <w:tc>
          <w:tcPr>
            <w:tcW w:type="dxa" w:w="2880"/>
            <w:shd w:val="clear" w:color="auto" w:fill="F8FAFC"/>
            <w:tcMar>
              <w:top w:w="30" w:type="dxa"/>
              <w:left w:w="70" w:type="dxa"/>
              <w:bottom w:w="30" w:type="dxa"/>
              <w:right w:w="70" w:type="dxa"/>
            </w:tcMar>
          </w:tcPr>
          <w:p>
            <w:pPr>
              <w:spacing w:after="0"/>
            </w:pPr>
            <w:r>
              <w:rPr>
                <w:rFonts w:ascii="Arial" w:hAnsi="Arial" w:cs="Arial" w:eastAsia="Arial"/>
                <w:b w:val="0"/>
                <w:i w:val="0"/>
                <w:sz w:val="20"/>
              </w:rPr>
              <w:t>2  DL-GRID-10-14 (South West)</w:t>
            </w:r>
          </w:p>
        </w:tc>
        <w:tc>
          <w:tcPr>
            <w:tcW w:type="dxa" w:w="1656"/>
            <w:shd w:val="clear" w:color="auto" w:fill="F8FAFC"/>
            <w:tcMar>
              <w:top w:w="30" w:type="dxa"/>
              <w:left w:w="70" w:type="dxa"/>
              <w:bottom w:w="30" w:type="dxa"/>
              <w:right w:w="70" w:type="dxa"/>
            </w:tcMar>
          </w:tcPr>
          <w:p>
            <w:pPr>
              <w:spacing w:after="0"/>
            </w:pPr>
            <w:r>
              <w:rPr>
                <w:rFonts w:ascii="Arial" w:hAnsi="Arial" w:cs="Arial" w:eastAsia="Arial"/>
                <w:b w:val="0"/>
                <w:i w:val="0"/>
                <w:sz w:val="20"/>
              </w:rPr>
              <w:t>28.589, 77.127</w:t>
            </w:r>
          </w:p>
        </w:tc>
        <w:tc>
          <w:tcPr>
            <w:tcW w:type="dxa" w:w="720"/>
            <w:shd w:val="clear" w:color="auto" w:fill="F8FAFC"/>
            <w:tcMar>
              <w:top w:w="30" w:type="dxa"/>
              <w:left w:w="70" w:type="dxa"/>
              <w:bottom w:w="30" w:type="dxa"/>
              <w:right w:w="70" w:type="dxa"/>
            </w:tcMar>
          </w:tcPr>
          <w:p>
            <w:pPr>
              <w:spacing w:after="0"/>
            </w:pPr>
            <w:r>
              <w:rPr>
                <w:rFonts w:ascii="Arial" w:hAnsi="Arial" w:cs="Arial" w:eastAsia="Arial"/>
                <w:b w:val="0"/>
                <w:i w:val="0"/>
                <w:sz w:val="20"/>
              </w:rPr>
              <w:t>33.4</w:t>
            </w:r>
          </w:p>
        </w:tc>
        <w:tc>
          <w:tcPr>
            <w:tcW w:type="dxa" w:w="1296"/>
            <w:shd w:val="clear" w:color="auto" w:fill="F8FAFC"/>
            <w:tcMar>
              <w:top w:w="30" w:type="dxa"/>
              <w:left w:w="70" w:type="dxa"/>
              <w:bottom w:w="30" w:type="dxa"/>
              <w:right w:w="70" w:type="dxa"/>
            </w:tcMar>
          </w:tcPr>
          <w:p>
            <w:pPr>
              <w:spacing w:after="0"/>
            </w:pPr>
            <w:r>
              <w:rPr>
                <w:rFonts w:ascii="Arial" w:hAnsi="Arial" w:cs="Arial" w:eastAsia="Arial"/>
                <w:b w:val="0"/>
                <w:i w:val="0"/>
                <w:sz w:val="20"/>
              </w:rPr>
              <w:t>2.69 km</w:t>
            </w:r>
          </w:p>
        </w:tc>
        <w:tc>
          <w:tcPr>
            <w:tcW w:type="dxa" w:w="1224"/>
            <w:shd w:val="clear" w:color="auto" w:fill="F8FAFC"/>
            <w:tcMar>
              <w:top w:w="30" w:type="dxa"/>
              <w:left w:w="70" w:type="dxa"/>
              <w:bottom w:w="30" w:type="dxa"/>
              <w:right w:w="70" w:type="dxa"/>
            </w:tcMar>
          </w:tcPr>
          <w:p>
            <w:pPr>
              <w:spacing w:after="0"/>
            </w:pPr>
            <w:r>
              <w:rPr>
                <w:rFonts w:ascii="Arial" w:hAnsi="Arial" w:cs="Arial" w:eastAsia="Arial"/>
                <w:b w:val="0"/>
                <w:i w:val="0"/>
                <w:sz w:val="20"/>
              </w:rPr>
              <w:t>724 m</w:t>
            </w:r>
          </w:p>
        </w:tc>
        <w:tc>
          <w:tcPr>
            <w:tcW w:type="dxa" w:w="576"/>
            <w:shd w:val="clear" w:color="auto" w:fill="F8FAFC"/>
            <w:tcMar>
              <w:top w:w="30" w:type="dxa"/>
              <w:left w:w="70" w:type="dxa"/>
              <w:bottom w:w="30" w:type="dxa"/>
              <w:right w:w="70" w:type="dxa"/>
            </w:tcMar>
          </w:tcPr>
          <w:p>
            <w:pPr>
              <w:spacing w:after="0"/>
            </w:pPr>
            <w:r>
              <w:rPr>
                <w:rFonts w:ascii="Arial" w:hAnsi="Arial" w:cs="Arial" w:eastAsia="Arial"/>
                <w:b w:val="0"/>
                <w:i w:val="0"/>
                <w:sz w:val="20"/>
              </w:rPr>
              <w:t>1</w:t>
            </w:r>
          </w:p>
        </w:tc>
        <w:tc>
          <w:tcPr>
            <w:tcW w:type="dxa" w:w="1872"/>
            <w:shd w:val="clear" w:color="auto" w:fill="F8FAFC"/>
            <w:tcMar>
              <w:top w:w="30" w:type="dxa"/>
              <w:left w:w="70" w:type="dxa"/>
              <w:bottom w:w="30" w:type="dxa"/>
              <w:right w:w="70" w:type="dxa"/>
            </w:tcMar>
          </w:tcPr>
          <w:p>
            <w:pPr>
              <w:spacing w:after="0"/>
            </w:pPr>
            <w:r>
              <w:rPr>
                <w:rFonts w:ascii="Arial" w:hAnsi="Arial" w:cs="Arial" w:eastAsia="Arial"/>
                <w:b w:val="0"/>
                <w:i w:val="0"/>
                <w:sz w:val="20"/>
              </w:rPr>
              <w:t>30 / 5 / 21</w:t>
            </w:r>
          </w:p>
        </w:tc>
      </w:tr>
      <w:tr>
        <w:trPr>
          <w:cantSplit/>
        </w:trPr>
        <w:tc>
          <w:tcPr>
            <w:tcW w:type="dxa" w:w="2880"/>
            <w:shd w:val="clear" w:color="auto" w:fill="FFFFFF"/>
            <w:tcMar>
              <w:top w:w="30" w:type="dxa"/>
              <w:left w:w="70" w:type="dxa"/>
              <w:bottom w:w="30" w:type="dxa"/>
              <w:right w:w="70" w:type="dxa"/>
            </w:tcMar>
          </w:tcPr>
          <w:p>
            <w:pPr>
              <w:spacing w:after="0"/>
            </w:pPr>
            <w:r>
              <w:rPr>
                <w:rFonts w:ascii="Arial" w:hAnsi="Arial" w:cs="Arial" w:eastAsia="Arial"/>
                <w:b w:val="0"/>
                <w:i w:val="0"/>
                <w:sz w:val="20"/>
              </w:rPr>
              <w:t>3  DL-GRID-09-11 (South West)</w:t>
            </w:r>
          </w:p>
        </w:tc>
        <w:tc>
          <w:tcPr>
            <w:tcW w:type="dxa" w:w="1656"/>
            <w:shd w:val="clear" w:color="auto" w:fill="FFFFFF"/>
            <w:tcMar>
              <w:top w:w="30" w:type="dxa"/>
              <w:left w:w="70" w:type="dxa"/>
              <w:bottom w:w="30" w:type="dxa"/>
              <w:right w:w="70" w:type="dxa"/>
            </w:tcMar>
          </w:tcPr>
          <w:p>
            <w:pPr>
              <w:spacing w:after="0"/>
            </w:pPr>
            <w:r>
              <w:rPr>
                <w:rFonts w:ascii="Arial" w:hAnsi="Arial" w:cs="Arial" w:eastAsia="Arial"/>
                <w:b w:val="0"/>
                <w:i w:val="0"/>
                <w:sz w:val="20"/>
              </w:rPr>
              <w:t>28.571, 77.066</w:t>
            </w:r>
          </w:p>
        </w:tc>
        <w:tc>
          <w:tcPr>
            <w:tcW w:type="dxa" w:w="720"/>
            <w:shd w:val="clear" w:color="auto" w:fill="FFFFFF"/>
            <w:tcMar>
              <w:top w:w="30" w:type="dxa"/>
              <w:left w:w="70" w:type="dxa"/>
              <w:bottom w:w="30" w:type="dxa"/>
              <w:right w:w="70" w:type="dxa"/>
            </w:tcMar>
          </w:tcPr>
          <w:p>
            <w:pPr>
              <w:spacing w:after="0"/>
            </w:pPr>
            <w:r>
              <w:rPr>
                <w:rFonts w:ascii="Arial" w:hAnsi="Arial" w:cs="Arial" w:eastAsia="Arial"/>
                <w:b w:val="0"/>
                <w:i w:val="0"/>
                <w:sz w:val="20"/>
              </w:rPr>
              <w:t>51.7</w:t>
            </w:r>
          </w:p>
        </w:tc>
        <w:tc>
          <w:tcPr>
            <w:tcW w:type="dxa" w:w="1296"/>
            <w:shd w:val="clear" w:color="auto" w:fill="FFFFFF"/>
            <w:tcMar>
              <w:top w:w="30" w:type="dxa"/>
              <w:left w:w="70" w:type="dxa"/>
              <w:bottom w:w="30" w:type="dxa"/>
              <w:right w:w="70" w:type="dxa"/>
            </w:tcMar>
          </w:tcPr>
          <w:p>
            <w:pPr>
              <w:spacing w:after="0"/>
            </w:pPr>
            <w:r>
              <w:rPr>
                <w:rFonts w:ascii="Arial" w:hAnsi="Arial" w:cs="Arial" w:eastAsia="Arial"/>
                <w:b w:val="0"/>
                <w:i w:val="0"/>
                <w:sz w:val="20"/>
              </w:rPr>
              <w:t>1.54 km</w:t>
            </w:r>
          </w:p>
        </w:tc>
        <w:tc>
          <w:tcPr>
            <w:tcW w:type="dxa" w:w="1224"/>
            <w:shd w:val="clear" w:color="auto" w:fill="FFFFFF"/>
            <w:tcMar>
              <w:top w:w="30" w:type="dxa"/>
              <w:left w:w="70" w:type="dxa"/>
              <w:bottom w:w="30" w:type="dxa"/>
              <w:right w:w="70" w:type="dxa"/>
            </w:tcMar>
          </w:tcPr>
          <w:p>
            <w:pPr>
              <w:spacing w:after="0"/>
            </w:pPr>
            <w:r>
              <w:rPr>
                <w:rFonts w:ascii="Arial" w:hAnsi="Arial" w:cs="Arial" w:eastAsia="Arial"/>
                <w:b w:val="0"/>
                <w:i w:val="0"/>
                <w:sz w:val="20"/>
              </w:rPr>
              <w:t>979 m</w:t>
            </w:r>
          </w:p>
        </w:tc>
        <w:tc>
          <w:tcPr>
            <w:tcW w:type="dxa" w:w="576"/>
            <w:shd w:val="clear" w:color="auto" w:fill="FFFFFF"/>
            <w:tcMar>
              <w:top w:w="30" w:type="dxa"/>
              <w:left w:w="70" w:type="dxa"/>
              <w:bottom w:w="30" w:type="dxa"/>
              <w:right w:w="70" w:type="dxa"/>
            </w:tcMar>
          </w:tcPr>
          <w:p>
            <w:pPr>
              <w:spacing w:after="0"/>
            </w:pPr>
            <w:r>
              <w:rPr>
                <w:rFonts w:ascii="Arial" w:hAnsi="Arial" w:cs="Arial" w:eastAsia="Arial"/>
                <w:b w:val="0"/>
                <w:i w:val="0"/>
                <w:sz w:val="20"/>
              </w:rPr>
              <w:t>1</w:t>
            </w:r>
          </w:p>
        </w:tc>
        <w:tc>
          <w:tcPr>
            <w:tcW w:type="dxa" w:w="1872"/>
            <w:shd w:val="clear" w:color="auto" w:fill="FFFFFF"/>
            <w:tcMar>
              <w:top w:w="30" w:type="dxa"/>
              <w:left w:w="70" w:type="dxa"/>
              <w:bottom w:w="30" w:type="dxa"/>
              <w:right w:w="70" w:type="dxa"/>
            </w:tcMar>
          </w:tcPr>
          <w:p>
            <w:pPr>
              <w:spacing w:after="0"/>
            </w:pPr>
            <w:r>
              <w:rPr>
                <w:rFonts w:ascii="Arial" w:hAnsi="Arial" w:cs="Arial" w:eastAsia="Arial"/>
                <w:b w:val="0"/>
                <w:i w:val="0"/>
                <w:sz w:val="20"/>
              </w:rPr>
              <w:t>46 / 8 / 32</w:t>
            </w:r>
          </w:p>
        </w:tc>
      </w:tr>
      <w:tr>
        <w:trPr>
          <w:cantSplit/>
        </w:trPr>
        <w:tc>
          <w:tcPr>
            <w:tcW w:type="dxa" w:w="2880"/>
            <w:shd w:val="clear" w:color="auto" w:fill="F8FAFC"/>
            <w:tcMar>
              <w:top w:w="30" w:type="dxa"/>
              <w:left w:w="70" w:type="dxa"/>
              <w:bottom w:w="30" w:type="dxa"/>
              <w:right w:w="70" w:type="dxa"/>
            </w:tcMar>
          </w:tcPr>
          <w:p>
            <w:pPr>
              <w:spacing w:after="0"/>
            </w:pPr>
            <w:r>
              <w:rPr>
                <w:rFonts w:ascii="Arial" w:hAnsi="Arial" w:cs="Arial" w:eastAsia="Arial"/>
                <w:b w:val="0"/>
                <w:i w:val="0"/>
                <w:sz w:val="20"/>
              </w:rPr>
              <w:t>4  DL-GRID-14-19 (North)</w:t>
            </w:r>
          </w:p>
        </w:tc>
        <w:tc>
          <w:tcPr>
            <w:tcW w:type="dxa" w:w="1656"/>
            <w:shd w:val="clear" w:color="auto" w:fill="F8FAFC"/>
            <w:tcMar>
              <w:top w:w="30" w:type="dxa"/>
              <w:left w:w="70" w:type="dxa"/>
              <w:bottom w:w="30" w:type="dxa"/>
              <w:right w:w="70" w:type="dxa"/>
            </w:tcMar>
          </w:tcPr>
          <w:p>
            <w:pPr>
              <w:spacing w:after="0"/>
            </w:pPr>
            <w:r>
              <w:rPr>
                <w:rFonts w:ascii="Arial" w:hAnsi="Arial" w:cs="Arial" w:eastAsia="Arial"/>
                <w:b w:val="0"/>
                <w:i w:val="0"/>
                <w:sz w:val="20"/>
              </w:rPr>
              <w:t>28.661, 77.230</w:t>
            </w:r>
          </w:p>
        </w:tc>
        <w:tc>
          <w:tcPr>
            <w:tcW w:type="dxa" w:w="720"/>
            <w:shd w:val="clear" w:color="auto" w:fill="F8FAFC"/>
            <w:tcMar>
              <w:top w:w="30" w:type="dxa"/>
              <w:left w:w="70" w:type="dxa"/>
              <w:bottom w:w="30" w:type="dxa"/>
              <w:right w:w="70" w:type="dxa"/>
            </w:tcMar>
          </w:tcPr>
          <w:p>
            <w:pPr>
              <w:spacing w:after="0"/>
            </w:pPr>
            <w:r>
              <w:rPr>
                <w:rFonts w:ascii="Arial" w:hAnsi="Arial" w:cs="Arial" w:eastAsia="Arial"/>
                <w:b w:val="0"/>
                <w:i w:val="0"/>
                <w:sz w:val="20"/>
              </w:rPr>
              <w:t>33.5</w:t>
            </w:r>
          </w:p>
        </w:tc>
        <w:tc>
          <w:tcPr>
            <w:tcW w:type="dxa" w:w="1296"/>
            <w:shd w:val="clear" w:color="auto" w:fill="F8FAFC"/>
            <w:tcMar>
              <w:top w:w="30" w:type="dxa"/>
              <w:left w:w="70" w:type="dxa"/>
              <w:bottom w:w="30" w:type="dxa"/>
              <w:right w:w="70" w:type="dxa"/>
            </w:tcMar>
          </w:tcPr>
          <w:p>
            <w:pPr>
              <w:spacing w:after="0"/>
            </w:pPr>
            <w:r>
              <w:rPr>
                <w:rFonts w:ascii="Arial" w:hAnsi="Arial" w:cs="Arial" w:eastAsia="Arial"/>
                <w:b w:val="0"/>
                <w:i w:val="0"/>
                <w:sz w:val="20"/>
              </w:rPr>
              <w:t>2.10 km</w:t>
            </w:r>
          </w:p>
        </w:tc>
        <w:tc>
          <w:tcPr>
            <w:tcW w:type="dxa" w:w="1224"/>
            <w:shd w:val="clear" w:color="auto" w:fill="F8FAFC"/>
            <w:tcMar>
              <w:top w:w="30" w:type="dxa"/>
              <w:left w:w="70" w:type="dxa"/>
              <w:bottom w:w="30" w:type="dxa"/>
              <w:right w:w="70" w:type="dxa"/>
            </w:tcMar>
          </w:tcPr>
          <w:p>
            <w:pPr>
              <w:spacing w:after="0"/>
            </w:pPr>
            <w:r>
              <w:rPr>
                <w:rFonts w:ascii="Arial" w:hAnsi="Arial" w:cs="Arial" w:eastAsia="Arial"/>
                <w:b w:val="0"/>
                <w:i w:val="0"/>
                <w:sz w:val="20"/>
              </w:rPr>
              <w:t>448 m</w:t>
            </w:r>
          </w:p>
        </w:tc>
        <w:tc>
          <w:tcPr>
            <w:tcW w:type="dxa" w:w="576"/>
            <w:shd w:val="clear" w:color="auto" w:fill="F8FAFC"/>
            <w:tcMar>
              <w:top w:w="30" w:type="dxa"/>
              <w:left w:w="70" w:type="dxa"/>
              <w:bottom w:w="30" w:type="dxa"/>
              <w:right w:w="70" w:type="dxa"/>
            </w:tcMar>
          </w:tcPr>
          <w:p>
            <w:pPr>
              <w:spacing w:after="0"/>
            </w:pPr>
            <w:r>
              <w:rPr>
                <w:rFonts w:ascii="Arial" w:hAnsi="Arial" w:cs="Arial" w:eastAsia="Arial"/>
                <w:b w:val="0"/>
                <w:i w:val="0"/>
                <w:sz w:val="20"/>
              </w:rPr>
              <w:t>1</w:t>
            </w:r>
          </w:p>
        </w:tc>
        <w:tc>
          <w:tcPr>
            <w:tcW w:type="dxa" w:w="1872"/>
            <w:shd w:val="clear" w:color="auto" w:fill="F8FAFC"/>
            <w:tcMar>
              <w:top w:w="30" w:type="dxa"/>
              <w:left w:w="70" w:type="dxa"/>
              <w:bottom w:w="30" w:type="dxa"/>
              <w:right w:w="70" w:type="dxa"/>
            </w:tcMar>
          </w:tcPr>
          <w:p>
            <w:pPr>
              <w:spacing w:after="0"/>
            </w:pPr>
            <w:r>
              <w:rPr>
                <w:rFonts w:ascii="Arial" w:hAnsi="Arial" w:cs="Arial" w:eastAsia="Arial"/>
                <w:b w:val="0"/>
                <w:i w:val="0"/>
                <w:sz w:val="20"/>
              </w:rPr>
              <w:t>30 / 5 / 21</w:t>
            </w:r>
          </w:p>
        </w:tc>
      </w:tr>
      <w:tr>
        <w:trPr>
          <w:cantSplit/>
        </w:trPr>
        <w:tc>
          <w:tcPr>
            <w:tcW w:type="dxa" w:w="2880"/>
            <w:shd w:val="clear" w:color="auto" w:fill="FFFFFF"/>
            <w:tcMar>
              <w:top w:w="30" w:type="dxa"/>
              <w:left w:w="70" w:type="dxa"/>
              <w:bottom w:w="30" w:type="dxa"/>
              <w:right w:w="70" w:type="dxa"/>
            </w:tcMar>
          </w:tcPr>
          <w:p>
            <w:pPr>
              <w:spacing w:after="0"/>
            </w:pPr>
            <w:r>
              <w:rPr>
                <w:rFonts w:ascii="Arial" w:hAnsi="Arial" w:cs="Arial" w:eastAsia="Arial"/>
                <w:b w:val="0"/>
                <w:i w:val="0"/>
                <w:sz w:val="20"/>
              </w:rPr>
              <w:t>5  DL-GRID-12-13 (West)</w:t>
            </w:r>
          </w:p>
        </w:tc>
        <w:tc>
          <w:tcPr>
            <w:tcW w:type="dxa" w:w="1656"/>
            <w:shd w:val="clear" w:color="auto" w:fill="FFFFFF"/>
            <w:tcMar>
              <w:top w:w="30" w:type="dxa"/>
              <w:left w:w="70" w:type="dxa"/>
              <w:bottom w:w="30" w:type="dxa"/>
              <w:right w:w="70" w:type="dxa"/>
            </w:tcMar>
          </w:tcPr>
          <w:p>
            <w:pPr>
              <w:spacing w:after="0"/>
            </w:pPr>
            <w:r>
              <w:rPr>
                <w:rFonts w:ascii="Arial" w:hAnsi="Arial" w:cs="Arial" w:eastAsia="Arial"/>
                <w:b w:val="0"/>
                <w:i w:val="0"/>
                <w:sz w:val="20"/>
              </w:rPr>
              <w:t>28.625, 77.107</w:t>
            </w:r>
          </w:p>
        </w:tc>
        <w:tc>
          <w:tcPr>
            <w:tcW w:type="dxa" w:w="720"/>
            <w:shd w:val="clear" w:color="auto" w:fill="FFFFFF"/>
            <w:tcMar>
              <w:top w:w="30" w:type="dxa"/>
              <w:left w:w="70" w:type="dxa"/>
              <w:bottom w:w="30" w:type="dxa"/>
              <w:right w:w="70" w:type="dxa"/>
            </w:tcMar>
          </w:tcPr>
          <w:p>
            <w:pPr>
              <w:spacing w:after="0"/>
            </w:pPr>
            <w:r>
              <w:rPr>
                <w:rFonts w:ascii="Arial" w:hAnsi="Arial" w:cs="Arial" w:eastAsia="Arial"/>
                <w:b w:val="0"/>
                <w:i w:val="0"/>
                <w:sz w:val="20"/>
              </w:rPr>
              <w:t>49.2</w:t>
            </w:r>
          </w:p>
        </w:tc>
        <w:tc>
          <w:tcPr>
            <w:tcW w:type="dxa" w:w="1296"/>
            <w:shd w:val="clear" w:color="auto" w:fill="FFFFFF"/>
            <w:tcMar>
              <w:top w:w="30" w:type="dxa"/>
              <w:left w:w="70" w:type="dxa"/>
              <w:bottom w:w="30" w:type="dxa"/>
              <w:right w:w="70" w:type="dxa"/>
            </w:tcMar>
          </w:tcPr>
          <w:p>
            <w:pPr>
              <w:spacing w:after="0"/>
            </w:pPr>
            <w:r>
              <w:rPr>
                <w:rFonts w:ascii="Arial" w:hAnsi="Arial" w:cs="Arial" w:eastAsia="Arial"/>
                <w:b w:val="0"/>
                <w:i w:val="0"/>
                <w:sz w:val="20"/>
              </w:rPr>
              <w:t>1.51 km</w:t>
            </w:r>
          </w:p>
        </w:tc>
        <w:tc>
          <w:tcPr>
            <w:tcW w:type="dxa" w:w="1224"/>
            <w:shd w:val="clear" w:color="auto" w:fill="FFFFFF"/>
            <w:tcMar>
              <w:top w:w="30" w:type="dxa"/>
              <w:left w:w="70" w:type="dxa"/>
              <w:bottom w:w="30" w:type="dxa"/>
              <w:right w:w="70" w:type="dxa"/>
            </w:tcMar>
          </w:tcPr>
          <w:p>
            <w:pPr>
              <w:spacing w:after="0"/>
            </w:pPr>
            <w:r>
              <w:rPr>
                <w:rFonts w:ascii="Arial" w:hAnsi="Arial" w:cs="Arial" w:eastAsia="Arial"/>
                <w:b w:val="0"/>
                <w:i w:val="0"/>
                <w:sz w:val="20"/>
              </w:rPr>
              <w:t>1,496 m</w:t>
            </w:r>
          </w:p>
        </w:tc>
        <w:tc>
          <w:tcPr>
            <w:tcW w:type="dxa" w:w="576"/>
            <w:shd w:val="clear" w:color="auto" w:fill="FFFFFF"/>
            <w:tcMar>
              <w:top w:w="30" w:type="dxa"/>
              <w:left w:w="70" w:type="dxa"/>
              <w:bottom w:w="30" w:type="dxa"/>
              <w:right w:w="70" w:type="dxa"/>
            </w:tcMar>
          </w:tcPr>
          <w:p>
            <w:pPr>
              <w:spacing w:after="0"/>
            </w:pPr>
            <w:r>
              <w:rPr>
                <w:rFonts w:ascii="Arial" w:hAnsi="Arial" w:cs="Arial" w:eastAsia="Arial"/>
                <w:b w:val="0"/>
                <w:i w:val="0"/>
                <w:sz w:val="20"/>
              </w:rPr>
              <w:t>2</w:t>
            </w:r>
          </w:p>
        </w:tc>
        <w:tc>
          <w:tcPr>
            <w:tcW w:type="dxa" w:w="1872"/>
            <w:shd w:val="clear" w:color="auto" w:fill="FFFFFF"/>
            <w:tcMar>
              <w:top w:w="30" w:type="dxa"/>
              <w:left w:w="70" w:type="dxa"/>
              <w:bottom w:w="30" w:type="dxa"/>
              <w:right w:w="70" w:type="dxa"/>
            </w:tcMar>
          </w:tcPr>
          <w:p>
            <w:pPr>
              <w:spacing w:after="0"/>
            </w:pPr>
            <w:r>
              <w:rPr>
                <w:rFonts w:ascii="Arial" w:hAnsi="Arial" w:cs="Arial" w:eastAsia="Arial"/>
                <w:b w:val="0"/>
                <w:i w:val="0"/>
                <w:sz w:val="20"/>
              </w:rPr>
              <w:t>44 / 7 / 30</w:t>
            </w:r>
          </w:p>
        </w:tc>
      </w:tr>
    </w:tbl>
    <w:p>
      <w:pPr>
        <w:spacing w:after="0" w:line="80" w:lineRule="exact"/>
      </w:pPr>
      <w:r>
        <w:rPr>
          <w:rFonts w:ascii="Arial" w:hAnsi="Arial" w:cs="Arial" w:eastAsia="Arial"/>
          <w:b w:val="0"/>
          <w:i w:val="0"/>
          <w:sz w:val="20"/>
        </w:rPr>
      </w:r>
    </w:p>
    <w:p>
      <w:pPr>
        <w:pStyle w:val="ListBullet"/>
        <w:spacing w:after="30"/>
      </w:pPr>
      <w:r>
        <w:rPr>
          <w:rFonts w:ascii="Arial" w:hAnsi="Arial" w:cs="Arial" w:eastAsia="Arial"/>
          <w:b/>
          <w:i w:val="0"/>
          <w:sz w:val="20"/>
        </w:rPr>
        <w:t>Data tests:</w:t>
      </w:r>
      <w:r>
        <w:rPr>
          <w:rFonts w:ascii="Arial" w:hAnsi="Arial" w:cs="Arial" w:eastAsia="Arial"/>
          <w:b w:val="0"/>
          <w:i w:val="0"/>
          <w:sz w:val="20"/>
        </w:rPr>
        <w:t xml:space="preserve"> </w:t>
      </w:r>
      <w:r>
        <w:rPr>
          <w:rFonts w:ascii="Arial" w:hAnsi="Arial" w:cs="Arial" w:eastAsia="Arial"/>
          <w:b w:val="0"/>
          <w:i w:val="0"/>
          <w:sz w:val="20"/>
        </w:rPr>
        <w:t>python scripts/validate_processed_data.py</w:t>
      </w:r>
      <w:r>
        <w:rPr>
          <w:rFonts w:ascii="Arial" w:hAnsi="Arial" w:cs="Arial" w:eastAsia="Arial"/>
          <w:b w:val="0"/>
          <w:i w:val="0"/>
          <w:sz w:val="20"/>
        </w:rPr>
        <w:t xml:space="preserve"> passes </w:t>
      </w:r>
      <w:r>
        <w:rPr>
          <w:rFonts w:ascii="Arial" w:hAnsi="Arial" w:cs="Arial" w:eastAsia="Arial"/>
          <w:b/>
          <w:i w:val="0"/>
          <w:sz w:val="20"/>
        </w:rPr>
        <w:t>28/28</w:t>
      </w:r>
      <w:r>
        <w:rPr>
          <w:rFonts w:ascii="Arial" w:hAnsi="Arial" w:cs="Arial" w:eastAsia="Arial"/>
          <w:b w:val="0"/>
          <w:i w:val="0"/>
          <w:sz w:val="20"/>
        </w:rPr>
        <w:t xml:space="preserve"> assertions (36 States, 10.69 M EVs, 39,641 BEE rows, 44,066 connectors, OMC 27,737/22,753, FAME-II 8,932, Delhi 9 districts / 23 RTOs / 549,153 EVs, 876 Switch Delhi sites, 375 cells, RF R² &gt; 0.70, Bass R² &gt; 0.95, 25 optimised sites).</w:t>
      </w:r>
    </w:p>
    <w:p>
      <w:pPr>
        <w:pStyle w:val="ListBullet"/>
        <w:spacing w:after="30"/>
      </w:pPr>
      <w:r>
        <w:rPr>
          <w:rFonts w:ascii="Arial" w:hAnsi="Arial" w:cs="Arial" w:eastAsia="Arial"/>
          <w:b/>
          <w:i w:val="0"/>
          <w:sz w:val="20"/>
        </w:rPr>
        <w:t>Software tests:</w:t>
      </w:r>
      <w:r>
        <w:rPr>
          <w:rFonts w:ascii="Arial" w:hAnsi="Arial" w:cs="Arial" w:eastAsia="Arial"/>
          <w:b w:val="0"/>
          <w:i w:val="0"/>
          <w:sz w:val="20"/>
        </w:rPr>
        <w:t xml:space="preserve"> </w:t>
      </w:r>
      <w:r>
        <w:rPr>
          <w:rFonts w:ascii="Arial" w:hAnsi="Arial" w:cs="Arial" w:eastAsia="Arial"/>
          <w:b w:val="0"/>
          <w:i w:val="0"/>
          <w:sz w:val="20"/>
        </w:rPr>
        <w:t>tsc --noEmit</w:t>
      </w:r>
      <w:r>
        <w:rPr>
          <w:rFonts w:ascii="Arial" w:hAnsi="Arial" w:cs="Arial" w:eastAsia="Arial"/>
          <w:b w:val="0"/>
          <w:i w:val="0"/>
          <w:sz w:val="20"/>
        </w:rPr>
        <w:t xml:space="preserve"> reports 0 errors; </w:t>
      </w:r>
      <w:r>
        <w:rPr>
          <w:rFonts w:ascii="Arial" w:hAnsi="Arial" w:cs="Arial" w:eastAsia="Arial"/>
          <w:b w:val="0"/>
          <w:i w:val="0"/>
          <w:sz w:val="20"/>
        </w:rPr>
        <w:t>vite build</w:t>
      </w:r>
      <w:r>
        <w:rPr>
          <w:rFonts w:ascii="Arial" w:hAnsi="Arial" w:cs="Arial" w:eastAsia="Arial"/>
          <w:b w:val="0"/>
          <w:i w:val="0"/>
          <w:sz w:val="20"/>
        </w:rPr>
        <w:t xml:space="preserve"> succeeds (about 8–10 s); a local smoke test of all views returned HTTP 200.</w:t>
      </w:r>
    </w:p>
    <w:p>
      <w:pPr>
        <w:pStyle w:val="ListBullet"/>
        <w:spacing w:after="30"/>
      </w:pPr>
      <w:r>
        <w:rPr>
          <w:rFonts w:ascii="Arial" w:hAnsi="Arial" w:cs="Arial" w:eastAsia="Arial"/>
          <w:b/>
          <w:i w:val="0"/>
          <w:sz w:val="20"/>
        </w:rPr>
        <w:t>Reproducibility:</w:t>
      </w:r>
      <w:r>
        <w:rPr>
          <w:rFonts w:ascii="Arial" w:hAnsi="Arial" w:cs="Arial" w:eastAsia="Arial"/>
          <w:b w:val="0"/>
          <w:i w:val="0"/>
          <w:sz w:val="20"/>
        </w:rPr>
        <w:t xml:space="preserve"> frozen manifest, raw files, scripts and processed bundles are all in the public repository; the app bundles all data locally, so a demo needs no network.</w:t>
      </w:r>
    </w:p>
    <w:p>
      <w:pPr>
        <w:keepNext/>
        <w:spacing w:before="140" w:after="40"/>
      </w:pPr>
      <w:r>
        <w:rPr>
          <w:rFonts w:ascii="Arial" w:hAnsi="Arial" w:cs="Arial" w:eastAsia="Arial"/>
          <w:b/>
          <w:i w:val="0"/>
          <w:color w:val="0F766E"/>
          <w:sz w:val="24"/>
        </w:rPr>
        <w:t>7. Limitations and Risks</w:t>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Look w:firstColumn="1" w:firstRow="1" w:lastColumn="0" w:lastRow="0" w:noHBand="0" w:noVBand="1" w:val="04A0"/>
      </w:tblPr>
      <w:tblGrid>
        <w:gridCol w:w="5112"/>
        <w:gridCol w:w="5112"/>
      </w:tblGrid>
      <w:tr>
        <w:trPr>
          <w:cantSplit/>
        </w:trPr>
        <w:tc>
          <w:tcPr>
            <w:tcW w:type="dxa" w:w="4176"/>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Limitation</w:t>
            </w:r>
          </w:p>
        </w:tc>
        <w:tc>
          <w:tcPr>
            <w:tcW w:type="dxa" w:w="6048"/>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Consequence and mitigation</w:t>
            </w:r>
          </w:p>
        </w:tc>
      </w:tr>
      <w:tr>
        <w:trPr>
          <w:cantSplit/>
        </w:trPr>
        <w:tc>
          <w:tcPr>
            <w:tcW w:type="dxa" w:w="4176"/>
            <w:shd w:val="clear" w:color="auto" w:fill="FFFFFF"/>
            <w:tcMar>
              <w:top w:w="30" w:type="dxa"/>
              <w:left w:w="70" w:type="dxa"/>
              <w:bottom w:w="30" w:type="dxa"/>
              <w:right w:w="70" w:type="dxa"/>
            </w:tcMar>
          </w:tcPr>
          <w:p>
            <w:pPr>
              <w:spacing w:after="0"/>
            </w:pPr>
            <w:r>
              <w:rPr>
                <w:rFonts w:ascii="Arial" w:hAnsi="Arial" w:cs="Arial" w:eastAsia="Arial"/>
                <w:b w:val="0"/>
                <w:i w:val="0"/>
                <w:sz w:val="20"/>
              </w:rPr>
              <w:t>BEE (Oct 2025) is 12 months older than VAHAN (Oct 2026).</w:t>
            </w:r>
          </w:p>
        </w:tc>
        <w:tc>
          <w:tcPr>
            <w:tcW w:type="dxa" w:w="6048"/>
            <w:shd w:val="clear" w:color="auto" w:fill="FFFFFF"/>
            <w:tcMar>
              <w:top w:w="30" w:type="dxa"/>
              <w:left w:w="70" w:type="dxa"/>
              <w:bottom w:w="30" w:type="dxa"/>
              <w:right w:w="70" w:type="dxa"/>
            </w:tcMar>
          </w:tcPr>
          <w:p>
            <w:pPr>
              <w:spacing w:after="0"/>
            </w:pPr>
            <w:r>
              <w:rPr>
                <w:rFonts w:ascii="Arial" w:hAnsi="Arial" w:cs="Arial" w:eastAsia="Arial"/>
                <w:b w:val="0"/>
                <w:i w:val="0"/>
                <w:sz w:val="20"/>
              </w:rPr>
              <w:t>National deficits look larger than reality. Switch Delhi (Oct 2026) is offered as a current baseline and map legends carry the date warning.</w:t>
            </w:r>
          </w:p>
        </w:tc>
      </w:tr>
      <w:tr>
        <w:trPr>
          <w:cantSplit/>
        </w:trPr>
        <w:tc>
          <w:tcPr>
            <w:tcW w:type="dxa" w:w="4176"/>
            <w:shd w:val="clear" w:color="auto" w:fill="F8FAFC"/>
            <w:tcMar>
              <w:top w:w="30" w:type="dxa"/>
              <w:left w:w="70" w:type="dxa"/>
              <w:bottom w:w="30" w:type="dxa"/>
              <w:right w:w="70" w:type="dxa"/>
            </w:tcMar>
          </w:tcPr>
          <w:p>
            <w:pPr>
              <w:spacing w:after="0"/>
            </w:pPr>
            <w:r>
              <w:rPr>
                <w:rFonts w:ascii="Arial" w:hAnsi="Arial" w:cs="Arial" w:eastAsia="Arial"/>
                <w:b w:val="0"/>
                <w:i w:val="0"/>
                <w:sz w:val="20"/>
              </w:rPr>
              <w:t>Substation distance is not hosting capacity; 99.3% of OSM substations carry no MVA rating.</w:t>
            </w:r>
          </w:p>
        </w:tc>
        <w:tc>
          <w:tcPr>
            <w:tcW w:type="dxa" w:w="6048"/>
            <w:shd w:val="clear" w:color="auto" w:fill="F8FAFC"/>
            <w:tcMar>
              <w:top w:w="30" w:type="dxa"/>
              <w:left w:w="70" w:type="dxa"/>
              <w:bottom w:w="30" w:type="dxa"/>
              <w:right w:w="70" w:type="dxa"/>
            </w:tcMar>
          </w:tcPr>
          <w:p>
            <w:pPr>
              <w:spacing w:after="0"/>
            </w:pPr>
            <w:r>
              <w:rPr>
                <w:rFonts w:ascii="Arial" w:hAnsi="Arial" w:cs="Arial" w:eastAsia="Arial"/>
                <w:b w:val="0"/>
                <w:i w:val="0"/>
                <w:sz w:val="20"/>
              </w:rPr>
              <w:t>Distance is a proximity proxy only. kVA tiers are planning proxies, not DISCOM-verified; Phase 2 adds voltage tiers.</w:t>
            </w:r>
          </w:p>
        </w:tc>
      </w:tr>
      <w:tr>
        <w:trPr>
          <w:cantSplit/>
        </w:trPr>
        <w:tc>
          <w:tcPr>
            <w:tcW w:type="dxa" w:w="4176"/>
            <w:shd w:val="clear" w:color="auto" w:fill="FFFFFF"/>
            <w:tcMar>
              <w:top w:w="30" w:type="dxa"/>
              <w:left w:w="70" w:type="dxa"/>
              <w:bottom w:w="30" w:type="dxa"/>
              <w:right w:w="70" w:type="dxa"/>
            </w:tcMar>
          </w:tcPr>
          <w:p>
            <w:pPr>
              <w:spacing w:after="0"/>
            </w:pPr>
            <w:r>
              <w:rPr>
                <w:rFonts w:ascii="Arial" w:hAnsi="Arial" w:cs="Arial" w:eastAsia="Arial"/>
                <w:b w:val="0"/>
                <w:i w:val="0"/>
                <w:sz w:val="20"/>
              </w:rPr>
              <w:t>No public connector occupancy or session data.</w:t>
            </w:r>
          </w:p>
        </w:tc>
        <w:tc>
          <w:tcPr>
            <w:tcW w:type="dxa" w:w="6048"/>
            <w:shd w:val="clear" w:color="auto" w:fill="FFFFFF"/>
            <w:tcMar>
              <w:top w:w="30" w:type="dxa"/>
              <w:left w:w="70" w:type="dxa"/>
              <w:bottom w:w="30" w:type="dxa"/>
              <w:right w:w="70" w:type="dxa"/>
            </w:tcMar>
          </w:tcPr>
          <w:p>
            <w:pPr>
              <w:spacing w:after="0"/>
            </w:pPr>
            <w:r>
              <w:rPr>
                <w:rFonts w:ascii="Arial" w:hAnsi="Arial" w:cs="Arial" w:eastAsia="Arial"/>
                <w:b w:val="0"/>
                <w:i w:val="0"/>
                <w:sz w:val="20"/>
              </w:rPr>
              <w:t>Results describe installed infrastructure, not utilisation. The 82% OMC operational ratio can be applied as a discount.</w:t>
            </w:r>
          </w:p>
        </w:tc>
      </w:tr>
      <w:tr>
        <w:trPr>
          <w:cantSplit/>
        </w:trPr>
        <w:tc>
          <w:tcPr>
            <w:tcW w:type="dxa" w:w="4176"/>
            <w:shd w:val="clear" w:color="auto" w:fill="F8FAFC"/>
            <w:tcMar>
              <w:top w:w="30" w:type="dxa"/>
              <w:left w:w="70" w:type="dxa"/>
              <w:bottom w:w="30" w:type="dxa"/>
              <w:right w:w="70" w:type="dxa"/>
            </w:tcMar>
          </w:tcPr>
          <w:p>
            <w:pPr>
              <w:spacing w:after="0"/>
            </w:pPr>
            <w:r>
              <w:rPr>
                <w:rFonts w:ascii="Arial" w:hAnsi="Arial" w:cs="Arial" w:eastAsia="Arial"/>
                <w:b w:val="0"/>
                <w:i w:val="0"/>
                <w:sz w:val="20"/>
              </w:rPr>
              <w:t>26.4% of active EVs lack current compliance.</w:t>
            </w:r>
          </w:p>
        </w:tc>
        <w:tc>
          <w:tcPr>
            <w:tcW w:type="dxa" w:w="6048"/>
            <w:shd w:val="clear" w:color="auto" w:fill="F8FAFC"/>
            <w:tcMar>
              <w:top w:w="30" w:type="dxa"/>
              <w:left w:w="70" w:type="dxa"/>
              <w:bottom w:w="30" w:type="dxa"/>
              <w:right w:w="70" w:type="dxa"/>
            </w:tcMar>
          </w:tcPr>
          <w:p>
            <w:pPr>
              <w:spacing w:after="0"/>
            </w:pPr>
            <w:r>
              <w:rPr>
                <w:rFonts w:ascii="Arial" w:hAnsi="Arial" w:cs="Arial" w:eastAsia="Arial"/>
                <w:b w:val="0"/>
                <w:i w:val="0"/>
                <w:sz w:val="20"/>
              </w:rPr>
              <w:t>Compliant-only and total-active views give lower and upper demand bounds.</w:t>
            </w:r>
          </w:p>
        </w:tc>
      </w:tr>
      <w:tr>
        <w:trPr>
          <w:cantSplit/>
        </w:trPr>
        <w:tc>
          <w:tcPr>
            <w:tcW w:type="dxa" w:w="4176"/>
            <w:shd w:val="clear" w:color="auto" w:fill="FFFFFF"/>
            <w:tcMar>
              <w:top w:w="30" w:type="dxa"/>
              <w:left w:w="70" w:type="dxa"/>
              <w:bottom w:w="30" w:type="dxa"/>
              <w:right w:w="70" w:type="dxa"/>
            </w:tcMar>
          </w:tcPr>
          <w:p>
            <w:pPr>
              <w:spacing w:after="0"/>
            </w:pPr>
            <w:r>
              <w:rPr>
                <w:rFonts w:ascii="Arial" w:hAnsi="Arial" w:cs="Arial" w:eastAsia="Arial"/>
                <w:b w:val="0"/>
                <w:i w:val="0"/>
                <w:sz w:val="20"/>
              </w:rPr>
              <w:t>RF cross-validated R² is 0.333 (spatial autocorrelation, supply-driven siting).</w:t>
            </w:r>
          </w:p>
        </w:tc>
        <w:tc>
          <w:tcPr>
            <w:tcW w:type="dxa" w:w="6048"/>
            <w:shd w:val="clear" w:color="auto" w:fill="FFFFFF"/>
            <w:tcMar>
              <w:top w:w="30" w:type="dxa"/>
              <w:left w:w="70" w:type="dxa"/>
              <w:bottom w:w="30" w:type="dxa"/>
              <w:right w:w="70" w:type="dxa"/>
            </w:tcMar>
          </w:tcPr>
          <w:p>
            <w:pPr>
              <w:spacing w:after="0"/>
            </w:pPr>
            <w:r>
              <w:rPr>
                <w:rFonts w:ascii="Arial" w:hAnsi="Arial" w:cs="Arial" w:eastAsia="Arial"/>
                <w:b w:val="0"/>
                <w:i w:val="0"/>
                <w:sz w:val="20"/>
              </w:rPr>
              <w:t>Used only to rank cells; sensitivity to the radius and threshold is exposed in the interface.</w:t>
            </w:r>
          </w:p>
        </w:tc>
      </w:tr>
      <w:tr>
        <w:trPr>
          <w:cantSplit/>
        </w:trPr>
        <w:tc>
          <w:tcPr>
            <w:tcW w:type="dxa" w:w="4176"/>
            <w:shd w:val="clear" w:color="auto" w:fill="F8FAFC"/>
            <w:tcMar>
              <w:top w:w="30" w:type="dxa"/>
              <w:left w:w="70" w:type="dxa"/>
              <w:bottom w:w="30" w:type="dxa"/>
              <w:right w:w="70" w:type="dxa"/>
            </w:tcMar>
          </w:tcPr>
          <w:p>
            <w:pPr>
              <w:spacing w:after="0"/>
            </w:pPr>
            <w:r>
              <w:rPr>
                <w:rFonts w:ascii="Arial" w:hAnsi="Arial" w:cs="Arial" w:eastAsia="Arial"/>
                <w:b w:val="0"/>
                <w:i w:val="0"/>
                <w:sz w:val="20"/>
              </w:rPr>
              <w:t>Bass ceiling M and energy parameters (km/day, kWh/km, shares) are assumptions.</w:t>
            </w:r>
          </w:p>
        </w:tc>
        <w:tc>
          <w:tcPr>
            <w:tcW w:type="dxa" w:w="6048"/>
            <w:shd w:val="clear" w:color="auto" w:fill="F8FAFC"/>
            <w:tcMar>
              <w:top w:w="30" w:type="dxa"/>
              <w:left w:w="70" w:type="dxa"/>
              <w:bottom w:w="30" w:type="dxa"/>
              <w:right w:w="70" w:type="dxa"/>
            </w:tcMar>
          </w:tcPr>
          <w:p>
            <w:pPr>
              <w:spacing w:after="0"/>
            </w:pPr>
            <w:r>
              <w:rPr>
                <w:rFonts w:ascii="Arial" w:hAnsi="Arial" w:cs="Arial" w:eastAsia="Arial"/>
                <w:b w:val="0"/>
                <w:i w:val="0"/>
                <w:sz w:val="20"/>
              </w:rPr>
              <w:t>Parameters are visible and editable; bands and swapping low/baseline/high scenarios show sensitivity.</w:t>
            </w:r>
          </w:p>
        </w:tc>
      </w:tr>
      <w:tr>
        <w:trPr>
          <w:cantSplit/>
        </w:trPr>
        <w:tc>
          <w:tcPr>
            <w:tcW w:type="dxa" w:w="4176"/>
            <w:shd w:val="clear" w:color="auto" w:fill="FFFFFF"/>
            <w:tcMar>
              <w:top w:w="30" w:type="dxa"/>
              <w:left w:w="70" w:type="dxa"/>
              <w:bottom w:w="30" w:type="dxa"/>
              <w:right w:w="70" w:type="dxa"/>
            </w:tcMar>
          </w:tcPr>
          <w:p>
            <w:pPr>
              <w:spacing w:after="0"/>
            </w:pPr>
            <w:r>
              <w:rPr>
                <w:rFonts w:ascii="Arial" w:hAnsi="Arial" w:cs="Arial" w:eastAsia="Arial"/>
                <w:b w:val="0"/>
                <w:i w:val="0"/>
                <w:sz w:val="20"/>
              </w:rPr>
              <w:t>OSM completeness is uneven.</w:t>
            </w:r>
          </w:p>
        </w:tc>
        <w:tc>
          <w:tcPr>
            <w:tcW w:type="dxa" w:w="6048"/>
            <w:shd w:val="clear" w:color="auto" w:fill="FFFFFF"/>
            <w:tcMar>
              <w:top w:w="30" w:type="dxa"/>
              <w:left w:w="70" w:type="dxa"/>
              <w:bottom w:w="30" w:type="dxa"/>
              <w:right w:w="70" w:type="dxa"/>
            </w:tcMar>
          </w:tcPr>
          <w:p>
            <w:pPr>
              <w:spacing w:after="0"/>
            </w:pPr>
            <w:r>
              <w:rPr>
                <w:rFonts w:ascii="Arial" w:hAnsi="Arial" w:cs="Arial" w:eastAsia="Arial"/>
                <w:b w:val="0"/>
                <w:i w:val="0"/>
                <w:sz w:val="20"/>
              </w:rPr>
              <w:t>OSM is confined to Delhi and never drives national results.</w:t>
            </w:r>
          </w:p>
        </w:tc>
      </w:tr>
    </w:tbl>
    <w:p>
      <w:pPr>
        <w:spacing w:after="0" w:line="80" w:lineRule="exact"/>
      </w:pPr>
      <w:r>
        <w:rPr>
          <w:rFonts w:ascii="Arial" w:hAnsi="Arial" w:cs="Arial" w:eastAsia="Arial"/>
          <w:b w:val="0"/>
          <w:i w:val="0"/>
          <w:sz w:val="20"/>
        </w:rPr>
      </w:r>
    </w:p>
    <w:p>
      <w:pPr>
        <w:keepNext/>
        <w:spacing w:before="140" w:after="40"/>
      </w:pPr>
      <w:r>
        <w:rPr>
          <w:rFonts w:ascii="Arial" w:hAnsi="Arial" w:cs="Arial" w:eastAsia="Arial"/>
          <w:b/>
          <w:i w:val="0"/>
          <w:color w:val="0F766E"/>
          <w:sz w:val="24"/>
        </w:rPr>
        <w:t>8. Implementation Roadmap (20%)</w:t>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Look w:firstColumn="1" w:firstRow="1" w:lastColumn="0" w:lastRow="0" w:noHBand="0" w:noVBand="1" w:val="04A0"/>
      </w:tblPr>
      <w:tblGrid>
        <w:gridCol w:w="3408"/>
        <w:gridCol w:w="3408"/>
        <w:gridCol w:w="3408"/>
      </w:tblGrid>
      <w:tr>
        <w:trPr>
          <w:cantSplit/>
        </w:trPr>
        <w:tc>
          <w:tcPr>
            <w:tcW w:type="dxa" w:w="2520"/>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Phase</w:t>
            </w:r>
          </w:p>
        </w:tc>
        <w:tc>
          <w:tcPr>
            <w:tcW w:type="dxa" w:w="5112"/>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Work and deliverable</w:t>
            </w:r>
          </w:p>
        </w:tc>
        <w:tc>
          <w:tcPr>
            <w:tcW w:type="dxa" w:w="2592"/>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Exit test</w:t>
            </w:r>
          </w:p>
        </w:tc>
      </w:tr>
      <w:tr>
        <w:trPr>
          <w:cantSplit/>
        </w:trPr>
        <w:tc>
          <w:tcPr>
            <w:tcW w:type="dxa" w:w="2520"/>
            <w:shd w:val="clear" w:color="auto" w:fill="FFFFFF"/>
            <w:tcMar>
              <w:top w:w="30" w:type="dxa"/>
              <w:left w:w="70" w:type="dxa"/>
              <w:bottom w:w="30" w:type="dxa"/>
              <w:right w:w="70" w:type="dxa"/>
            </w:tcMar>
          </w:tcPr>
          <w:p>
            <w:pPr>
              <w:spacing w:after="0"/>
            </w:pPr>
            <w:r>
              <w:rPr>
                <w:rFonts w:ascii="Arial" w:hAnsi="Arial" w:cs="Arial" w:eastAsia="Arial"/>
                <w:b w:val="0"/>
                <w:i w:val="0"/>
                <w:sz w:val="20"/>
              </w:rPr>
              <w:t>0. Baseline (complete)</w:t>
            </w:r>
          </w:p>
        </w:tc>
        <w:tc>
          <w:tcPr>
            <w:tcW w:type="dxa" w:w="5112"/>
            <w:shd w:val="clear" w:color="auto" w:fill="FFFFFF"/>
            <w:tcMar>
              <w:top w:w="30" w:type="dxa"/>
              <w:left w:w="70" w:type="dxa"/>
              <w:bottom w:w="30" w:type="dxa"/>
              <w:right w:w="70" w:type="dxa"/>
            </w:tcMar>
          </w:tcPr>
          <w:p>
            <w:pPr>
              <w:spacing w:after="0"/>
            </w:pPr>
            <w:r>
              <w:rPr>
                <w:rFonts w:ascii="Arial" w:hAnsi="Arial" w:cs="Arial" w:eastAsia="Arial"/>
                <w:b w:val="0"/>
                <w:i w:val="0"/>
                <w:sz w:val="20"/>
              </w:rPr>
              <w:t>Frozen manifest, integration pipeline, grid, RF, Bass, optimiser, simulator, deployed app.</w:t>
            </w:r>
          </w:p>
        </w:tc>
        <w:tc>
          <w:tcPr>
            <w:tcW w:type="dxa" w:w="2592"/>
            <w:shd w:val="clear" w:color="auto" w:fill="FFFFFF"/>
            <w:tcMar>
              <w:top w:w="30" w:type="dxa"/>
              <w:left w:w="70" w:type="dxa"/>
              <w:bottom w:w="30" w:type="dxa"/>
              <w:right w:w="70" w:type="dxa"/>
            </w:tcMar>
          </w:tcPr>
          <w:p>
            <w:pPr>
              <w:spacing w:after="0"/>
            </w:pPr>
            <w:r>
              <w:rPr>
                <w:rFonts w:ascii="Arial" w:hAnsi="Arial" w:cs="Arial" w:eastAsia="Arial"/>
                <w:b w:val="0"/>
                <w:i w:val="0"/>
                <w:sz w:val="20"/>
              </w:rPr>
              <w:t>28/28 assertions; 0 type errors; app live.</w:t>
            </w:r>
          </w:p>
        </w:tc>
      </w:tr>
      <w:tr>
        <w:trPr>
          <w:cantSplit/>
        </w:trPr>
        <w:tc>
          <w:tcPr>
            <w:tcW w:type="dxa" w:w="2520"/>
            <w:shd w:val="clear" w:color="auto" w:fill="F8FAFC"/>
            <w:tcMar>
              <w:top w:w="30" w:type="dxa"/>
              <w:left w:w="70" w:type="dxa"/>
              <w:bottom w:w="30" w:type="dxa"/>
              <w:right w:w="70" w:type="dxa"/>
            </w:tcMar>
          </w:tcPr>
          <w:p>
            <w:pPr>
              <w:spacing w:after="0"/>
            </w:pPr>
            <w:r>
              <w:rPr>
                <w:rFonts w:ascii="Arial" w:hAnsi="Arial" w:cs="Arial" w:eastAsia="Arial"/>
                <w:b w:val="0"/>
                <w:i w:val="0"/>
                <w:sz w:val="20"/>
              </w:rPr>
              <w:t>1. Highway corridors (weeks 1–2)</w:t>
            </w:r>
          </w:p>
        </w:tc>
        <w:tc>
          <w:tcPr>
            <w:tcW w:type="dxa" w:w="5112"/>
            <w:shd w:val="clear" w:color="auto" w:fill="F8FAFC"/>
            <w:tcMar>
              <w:top w:w="30" w:type="dxa"/>
              <w:left w:w="70" w:type="dxa"/>
              <w:bottom w:w="30" w:type="dxa"/>
              <w:right w:w="70" w:type="dxa"/>
            </w:tcMar>
          </w:tcPr>
          <w:p>
            <w:pPr>
              <w:spacing w:after="0"/>
            </w:pPr>
            <w:r>
              <w:rPr>
                <w:rFonts w:ascii="Arial" w:hAnsi="Arial" w:cs="Arial" w:eastAsia="Arial"/>
                <w:b w:val="0"/>
                <w:i w:val="0"/>
                <w:sz w:val="20"/>
              </w:rPr>
              <w:t>5 km buffers along NH-48 (Delhi–Jaipur) and Yamuna Expressway from PM Gati Shakti and NHAI data; DC-fast infill for inter-city freight.</w:t>
            </w:r>
          </w:p>
        </w:tc>
        <w:tc>
          <w:tcPr>
            <w:tcW w:type="dxa" w:w="2592"/>
            <w:shd w:val="clear" w:color="auto" w:fill="F8FAFC"/>
            <w:tcMar>
              <w:top w:w="30" w:type="dxa"/>
              <w:left w:w="70" w:type="dxa"/>
              <w:bottom w:w="30" w:type="dxa"/>
              <w:right w:w="70" w:type="dxa"/>
            </w:tcMar>
          </w:tcPr>
          <w:p>
            <w:pPr>
              <w:spacing w:after="0"/>
            </w:pPr>
            <w:r>
              <w:rPr>
                <w:rFonts w:ascii="Arial" w:hAnsi="Arial" w:cs="Arial" w:eastAsia="Arial"/>
                <w:b w:val="0"/>
                <w:i w:val="0"/>
                <w:sz w:val="20"/>
              </w:rPr>
              <w:t>Corridor tool reproduces known stations and lists gaps.</w:t>
            </w:r>
          </w:p>
        </w:tc>
      </w:tr>
      <w:tr>
        <w:trPr>
          <w:cantSplit/>
        </w:trPr>
        <w:tc>
          <w:tcPr>
            <w:tcW w:type="dxa" w:w="2520"/>
            <w:shd w:val="clear" w:color="auto" w:fill="FFFFFF"/>
            <w:tcMar>
              <w:top w:w="30" w:type="dxa"/>
              <w:left w:w="70" w:type="dxa"/>
              <w:bottom w:w="30" w:type="dxa"/>
              <w:right w:w="70" w:type="dxa"/>
            </w:tcMar>
          </w:tcPr>
          <w:p>
            <w:pPr>
              <w:spacing w:after="0"/>
            </w:pPr>
            <w:r>
              <w:rPr>
                <w:rFonts w:ascii="Arial" w:hAnsi="Arial" w:cs="Arial" w:eastAsia="Arial"/>
                <w:b w:val="0"/>
                <w:i w:val="0"/>
                <w:sz w:val="20"/>
              </w:rPr>
              <w:t>2. Grid proxy (weeks 3–4)</w:t>
            </w:r>
          </w:p>
        </w:tc>
        <w:tc>
          <w:tcPr>
            <w:tcW w:type="dxa" w:w="5112"/>
            <w:shd w:val="clear" w:color="auto" w:fill="FFFFFF"/>
            <w:tcMar>
              <w:top w:w="30" w:type="dxa"/>
              <w:left w:w="70" w:type="dxa"/>
              <w:bottom w:w="30" w:type="dxa"/>
              <w:right w:w="70" w:type="dxa"/>
            </w:tcMar>
          </w:tcPr>
          <w:p>
            <w:pPr>
              <w:spacing w:after="0"/>
            </w:pPr>
            <w:r>
              <w:rPr>
                <w:rFonts w:ascii="Arial" w:hAnsi="Arial" w:cs="Arial" w:eastAsia="Arial"/>
                <w:b w:val="0"/>
                <w:i w:val="0"/>
                <w:sz w:val="20"/>
              </w:rPr>
              <w:t>Combine CEA connectivity standards with DISCOM 11/33/66 kV tiers into a feasibility index per cell.</w:t>
            </w:r>
          </w:p>
        </w:tc>
        <w:tc>
          <w:tcPr>
            <w:tcW w:type="dxa" w:w="2592"/>
            <w:shd w:val="clear" w:color="auto" w:fill="FFFFFF"/>
            <w:tcMar>
              <w:top w:w="30" w:type="dxa"/>
              <w:left w:w="70" w:type="dxa"/>
              <w:bottom w:w="30" w:type="dxa"/>
              <w:right w:w="70" w:type="dxa"/>
            </w:tcMar>
          </w:tcPr>
          <w:p>
            <w:pPr>
              <w:spacing w:after="0"/>
            </w:pPr>
            <w:r>
              <w:rPr>
                <w:rFonts w:ascii="Arial" w:hAnsi="Arial" w:cs="Arial" w:eastAsia="Arial"/>
                <w:b w:val="0"/>
                <w:i w:val="0"/>
                <w:sz w:val="20"/>
              </w:rPr>
              <w:t>Index replaces the distance-only proxy in the optimiser.</w:t>
            </w:r>
          </w:p>
        </w:tc>
      </w:tr>
      <w:tr>
        <w:trPr>
          <w:cantSplit/>
        </w:trPr>
        <w:tc>
          <w:tcPr>
            <w:tcW w:type="dxa" w:w="2520"/>
            <w:shd w:val="clear" w:color="auto" w:fill="F8FAFC"/>
            <w:tcMar>
              <w:top w:w="30" w:type="dxa"/>
              <w:left w:w="70" w:type="dxa"/>
              <w:bottom w:w="30" w:type="dxa"/>
              <w:right w:w="70" w:type="dxa"/>
            </w:tcMar>
          </w:tcPr>
          <w:p>
            <w:pPr>
              <w:spacing w:after="0"/>
            </w:pPr>
            <w:r>
              <w:rPr>
                <w:rFonts w:ascii="Arial" w:hAnsi="Arial" w:cs="Arial" w:eastAsia="Arial"/>
                <w:b w:val="0"/>
                <w:i w:val="0"/>
                <w:sz w:val="20"/>
              </w:rPr>
              <w:t>3. Hardening (weeks 5–6)</w:t>
            </w:r>
          </w:p>
        </w:tc>
        <w:tc>
          <w:tcPr>
            <w:tcW w:type="dxa" w:w="5112"/>
            <w:shd w:val="clear" w:color="auto" w:fill="F8FAFC"/>
            <w:tcMar>
              <w:top w:w="30" w:type="dxa"/>
              <w:left w:w="70" w:type="dxa"/>
              <w:bottom w:w="30" w:type="dxa"/>
              <w:right w:w="70" w:type="dxa"/>
            </w:tcMar>
          </w:tcPr>
          <w:p>
            <w:pPr>
              <w:spacing w:after="0"/>
            </w:pPr>
            <w:r>
              <w:rPr>
                <w:rFonts w:ascii="Arial" w:hAnsi="Arial" w:cs="Arial" w:eastAsia="Arial"/>
                <w:b w:val="0"/>
                <w:i w:val="0"/>
                <w:sz w:val="20"/>
              </w:rPr>
              <w:t>Docker image, cloud hosting, offline cache, rehearsed demo.</w:t>
            </w:r>
          </w:p>
        </w:tc>
        <w:tc>
          <w:tcPr>
            <w:tcW w:type="dxa" w:w="2592"/>
            <w:shd w:val="clear" w:color="auto" w:fill="F8FAFC"/>
            <w:tcMar>
              <w:top w:w="30" w:type="dxa"/>
              <w:left w:w="70" w:type="dxa"/>
              <w:bottom w:w="30" w:type="dxa"/>
              <w:right w:w="70" w:type="dxa"/>
            </w:tcMar>
          </w:tcPr>
          <w:p>
            <w:pPr>
              <w:spacing w:after="0"/>
            </w:pPr>
            <w:r>
              <w:rPr>
                <w:rFonts w:ascii="Arial" w:hAnsi="Arial" w:cs="Arial" w:eastAsia="Arial"/>
                <w:b w:val="0"/>
                <w:i w:val="0"/>
                <w:sz w:val="20"/>
              </w:rPr>
              <w:t>Full demo with no network dependency.</w:t>
            </w:r>
          </w:p>
        </w:tc>
      </w:tr>
    </w:tbl>
    <w:p>
      <w:pPr>
        <w:spacing w:after="0" w:line="80" w:lineRule="exact"/>
      </w:pPr>
      <w:r>
        <w:rPr>
          <w:rFonts w:ascii="Arial" w:hAnsi="Arial" w:cs="Arial" w:eastAsia="Arial"/>
          <w:b w:val="0"/>
          <w:i w:val="0"/>
          <w:sz w:val="20"/>
        </w:rPr>
      </w:r>
    </w:p>
    <w:p>
      <w:r>
        <w:rPr>
          <w:rFonts w:ascii="Arial" w:hAnsi="Arial" w:cs="Arial" w:eastAsia="Arial"/>
          <w:b/>
          <w:i w:val="0"/>
          <w:sz w:val="20"/>
        </w:rPr>
        <w:t>Feasibility:</w:t>
      </w:r>
      <w:r>
        <w:rPr>
          <w:rFonts w:ascii="Arial" w:hAnsi="Arial" w:cs="Arial" w:eastAsia="Arial"/>
          <w:b w:val="0"/>
          <w:i w:val="0"/>
          <w:sz w:val="20"/>
        </w:rPr>
        <w:t xml:space="preserve"> every Phase 1–2 input is public or derivable, and each phase extends the existing Python and TypeScript modules rather than replacing them. </w:t>
      </w:r>
      <w:r>
        <w:rPr>
          <w:rFonts w:ascii="Arial" w:hAnsi="Arial" w:cs="Arial" w:eastAsia="Arial"/>
          <w:b/>
          <w:i w:val="0"/>
          <w:sz w:val="20"/>
        </w:rPr>
        <w:t>Scaling:</w:t>
      </w:r>
      <w:r>
        <w:rPr>
          <w:rFonts w:ascii="Arial" w:hAnsi="Arial" w:cs="Arial" w:eastAsia="Arial"/>
          <w:b w:val="0"/>
          <w:i w:val="0"/>
          <w:sz w:val="20"/>
        </w:rPr>
        <w:t xml:space="preserve"> the same pipeline applies to any Indian city, since it needs only VAHAN RTO data, a registry, WorldPop and OSM.</w:t>
      </w:r>
    </w:p>
    <w:p>
      <w:pPr>
        <w:keepNext/>
        <w:spacing w:before="140" w:after="40"/>
      </w:pPr>
      <w:r>
        <w:rPr>
          <w:rFonts w:ascii="Arial" w:hAnsi="Arial" w:cs="Arial" w:eastAsia="Arial"/>
          <w:b/>
          <w:i w:val="0"/>
          <w:color w:val="0F766E"/>
          <w:sz w:val="24"/>
        </w:rPr>
        <w:t>9. Evaluation Criteria Map and References</w:t>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Look w:firstColumn="1" w:firstRow="1" w:lastColumn="0" w:lastRow="0" w:noHBand="0" w:noVBand="1" w:val="04A0"/>
      </w:tblPr>
      <w:tblGrid>
        <w:gridCol w:w="5112"/>
        <w:gridCol w:w="5112"/>
      </w:tblGrid>
      <w:tr>
        <w:trPr>
          <w:cantSplit/>
        </w:trPr>
        <w:tc>
          <w:tcPr>
            <w:tcW w:type="dxa" w:w="4176"/>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Criterion (weight)</w:t>
            </w:r>
          </w:p>
        </w:tc>
        <w:tc>
          <w:tcPr>
            <w:tcW w:type="dxa" w:w="6048"/>
            <w:shd w:val="clear" w:color="auto" w:fill="0F766E"/>
            <w:tcMar>
              <w:top w:w="30" w:type="dxa"/>
              <w:left w:w="70" w:type="dxa"/>
              <w:bottom w:w="30" w:type="dxa"/>
              <w:right w:w="70" w:type="dxa"/>
            </w:tcMar>
          </w:tcPr>
          <w:p>
            <w:pPr>
              <w:spacing w:after="0"/>
            </w:pPr>
            <w:r>
              <w:rPr>
                <w:rFonts w:ascii="Arial" w:hAnsi="Arial" w:cs="Arial" w:eastAsia="Arial"/>
                <w:b/>
                <w:i w:val="0"/>
                <w:color w:val="FFFFFF"/>
                <w:sz w:val="20"/>
              </w:rPr>
              <w:t>Where evidenced</w:t>
            </w:r>
          </w:p>
        </w:tc>
      </w:tr>
      <w:tr>
        <w:trPr>
          <w:cantSplit/>
        </w:trPr>
        <w:tc>
          <w:tcPr>
            <w:tcW w:type="dxa" w:w="4176"/>
            <w:shd w:val="clear" w:color="auto" w:fill="FFFFFF"/>
            <w:tcMar>
              <w:top w:w="30" w:type="dxa"/>
              <w:left w:w="70" w:type="dxa"/>
              <w:bottom w:w="30" w:type="dxa"/>
              <w:right w:w="70" w:type="dxa"/>
            </w:tcMar>
          </w:tcPr>
          <w:p>
            <w:pPr>
              <w:spacing w:after="0"/>
            </w:pPr>
            <w:r>
              <w:rPr>
                <w:rFonts w:ascii="Arial" w:hAnsi="Arial" w:cs="Arial" w:eastAsia="Arial"/>
                <w:b w:val="0"/>
                <w:i w:val="0"/>
                <w:sz w:val="20"/>
              </w:rPr>
              <w:t>Problem Understanding and Relevance (25%)</w:t>
            </w:r>
          </w:p>
        </w:tc>
        <w:tc>
          <w:tcPr>
            <w:tcW w:type="dxa" w:w="6048"/>
            <w:shd w:val="clear" w:color="auto" w:fill="FFFFFF"/>
            <w:tcMar>
              <w:top w:w="30" w:type="dxa"/>
              <w:left w:w="70" w:type="dxa"/>
              <w:bottom w:w="30" w:type="dxa"/>
              <w:right w:w="70" w:type="dxa"/>
            </w:tcMar>
          </w:tcPr>
          <w:p>
            <w:pPr>
              <w:spacing w:after="0"/>
            </w:pPr>
            <w:r>
              <w:rPr>
                <w:rFonts w:ascii="Arial" w:hAnsi="Arial" w:cs="Arial" w:eastAsia="Arial"/>
                <w:b w:val="0"/>
                <w:i w:val="0"/>
                <w:sz w:val="20"/>
              </w:rPr>
              <w:t xml:space="preserve">Sections 1, 3; </w:t>
            </w:r>
            <w:r>
              <w:rPr>
                <w:rFonts w:ascii="Arial" w:hAnsi="Arial" w:cs="Arial" w:eastAsia="Arial"/>
                <w:b w:val="0"/>
                <w:i w:val="0"/>
                <w:sz w:val="20"/>
              </w:rPr>
              <w:t>DATA_AVAILABILITY_AUDIT.md</w:t>
            </w:r>
            <w:r>
              <w:rPr>
                <w:rFonts w:ascii="Arial" w:hAnsi="Arial" w:cs="Arial" w:eastAsia="Arial"/>
                <w:b w:val="0"/>
                <w:i w:val="0"/>
                <w:sz w:val="20"/>
              </w:rPr>
              <w:t xml:space="preserve">, </w:t>
            </w:r>
            <w:r>
              <w:rPr>
                <w:rFonts w:ascii="Arial" w:hAnsi="Arial" w:cs="Arial" w:eastAsia="Arial"/>
                <w:b w:val="0"/>
                <w:i w:val="0"/>
                <w:sz w:val="20"/>
              </w:rPr>
              <w:t>DATA_GAPS.md</w:t>
            </w:r>
          </w:p>
        </w:tc>
      </w:tr>
      <w:tr>
        <w:trPr>
          <w:cantSplit/>
        </w:trPr>
        <w:tc>
          <w:tcPr>
            <w:tcW w:type="dxa" w:w="4176"/>
            <w:shd w:val="clear" w:color="auto" w:fill="F8FAFC"/>
            <w:tcMar>
              <w:top w:w="30" w:type="dxa"/>
              <w:left w:w="70" w:type="dxa"/>
              <w:bottom w:w="30" w:type="dxa"/>
              <w:right w:w="70" w:type="dxa"/>
            </w:tcMar>
          </w:tcPr>
          <w:p>
            <w:pPr>
              <w:spacing w:after="0"/>
            </w:pPr>
            <w:r>
              <w:rPr>
                <w:rFonts w:ascii="Arial" w:hAnsi="Arial" w:cs="Arial" w:eastAsia="Arial"/>
                <w:b w:val="0"/>
                <w:i w:val="0"/>
                <w:sz w:val="20"/>
              </w:rPr>
              <w:t>Technical Approach and Feasibility (25%)</w:t>
            </w:r>
          </w:p>
        </w:tc>
        <w:tc>
          <w:tcPr>
            <w:tcW w:type="dxa" w:w="6048"/>
            <w:shd w:val="clear" w:color="auto" w:fill="F8FAFC"/>
            <w:tcMar>
              <w:top w:w="30" w:type="dxa"/>
              <w:left w:w="70" w:type="dxa"/>
              <w:bottom w:w="30" w:type="dxa"/>
              <w:right w:w="70" w:type="dxa"/>
            </w:tcMar>
          </w:tcPr>
          <w:p>
            <w:pPr>
              <w:spacing w:after="0"/>
            </w:pPr>
            <w:r>
              <w:rPr>
                <w:rFonts w:ascii="Arial" w:hAnsi="Arial" w:cs="Arial" w:eastAsia="Arial"/>
                <w:b w:val="0"/>
                <w:i w:val="0"/>
                <w:sz w:val="20"/>
              </w:rPr>
              <w:t xml:space="preserve">Sections 4, 6, 7; </w:t>
            </w:r>
            <w:r>
              <w:rPr>
                <w:rFonts w:ascii="Arial" w:hAnsi="Arial" w:cs="Arial" w:eastAsia="Arial"/>
                <w:b w:val="0"/>
                <w:i w:val="0"/>
                <w:sz w:val="20"/>
              </w:rPr>
              <w:t>train_ai_models.py</w:t>
            </w:r>
            <w:r>
              <w:rPr>
                <w:rFonts w:ascii="Arial" w:hAnsi="Arial" w:cs="Arial" w:eastAsia="Arial"/>
                <w:b w:val="0"/>
                <w:i w:val="0"/>
                <w:sz w:val="20"/>
              </w:rPr>
              <w:t xml:space="preserve">, </w:t>
            </w:r>
            <w:r>
              <w:rPr>
                <w:rFonts w:ascii="Arial" w:hAnsi="Arial" w:cs="Arial" w:eastAsia="Arial"/>
                <w:b w:val="0"/>
                <w:i w:val="0"/>
                <w:sz w:val="20"/>
              </w:rPr>
              <w:t>planningEngine.ts</w:t>
            </w:r>
          </w:p>
        </w:tc>
      </w:tr>
      <w:tr>
        <w:trPr>
          <w:cantSplit/>
        </w:trPr>
        <w:tc>
          <w:tcPr>
            <w:tcW w:type="dxa" w:w="4176"/>
            <w:shd w:val="clear" w:color="auto" w:fill="FFFFFF"/>
            <w:tcMar>
              <w:top w:w="30" w:type="dxa"/>
              <w:left w:w="70" w:type="dxa"/>
              <w:bottom w:w="30" w:type="dxa"/>
              <w:right w:w="70" w:type="dxa"/>
            </w:tcMar>
          </w:tcPr>
          <w:p>
            <w:pPr>
              <w:spacing w:after="0"/>
            </w:pPr>
            <w:r>
              <w:rPr>
                <w:rFonts w:ascii="Arial" w:hAnsi="Arial" w:cs="Arial" w:eastAsia="Arial"/>
                <w:b w:val="0"/>
                <w:i w:val="0"/>
                <w:sz w:val="20"/>
              </w:rPr>
              <w:t>Innovation and Differentiation (20%)</w:t>
            </w:r>
          </w:p>
        </w:tc>
        <w:tc>
          <w:tcPr>
            <w:tcW w:type="dxa" w:w="6048"/>
            <w:shd w:val="clear" w:color="auto" w:fill="FFFFFF"/>
            <w:tcMar>
              <w:top w:w="30" w:type="dxa"/>
              <w:left w:w="70" w:type="dxa"/>
              <w:bottom w:w="30" w:type="dxa"/>
              <w:right w:w="70" w:type="dxa"/>
            </w:tcMar>
          </w:tcPr>
          <w:p>
            <w:pPr>
              <w:spacing w:after="0"/>
            </w:pPr>
            <w:r>
              <w:rPr>
                <w:rFonts w:ascii="Arial" w:hAnsi="Arial" w:cs="Arial" w:eastAsia="Arial"/>
                <w:b w:val="0"/>
                <w:i w:val="0"/>
                <w:sz w:val="20"/>
              </w:rPr>
              <w:t xml:space="preserve">Section 5; </w:t>
            </w:r>
            <w:r>
              <w:rPr>
                <w:rFonts w:ascii="Arial" w:hAnsi="Arial" w:cs="Arial" w:eastAsia="Arial"/>
                <w:b w:val="0"/>
                <w:i w:val="0"/>
                <w:sz w:val="20"/>
              </w:rPr>
              <w:t>AiStudioView.tsx</w:t>
            </w:r>
            <w:r>
              <w:rPr>
                <w:rFonts w:ascii="Arial" w:hAnsi="Arial" w:cs="Arial" w:eastAsia="Arial"/>
                <w:b w:val="0"/>
                <w:i w:val="0"/>
                <w:sz w:val="20"/>
              </w:rPr>
              <w:t xml:space="preserve">, </w:t>
            </w:r>
            <w:r>
              <w:rPr>
                <w:rFonts w:ascii="Arial" w:hAnsi="Arial" w:cs="Arial" w:eastAsia="Arial"/>
                <w:b w:val="0"/>
                <w:i w:val="0"/>
                <w:sz w:val="20"/>
              </w:rPr>
              <w:t>ai_optimization_results.json</w:t>
            </w:r>
          </w:p>
        </w:tc>
      </w:tr>
      <w:tr>
        <w:trPr>
          <w:cantSplit/>
        </w:trPr>
        <w:tc>
          <w:tcPr>
            <w:tcW w:type="dxa" w:w="4176"/>
            <w:shd w:val="clear" w:color="auto" w:fill="F8FAFC"/>
            <w:tcMar>
              <w:top w:w="30" w:type="dxa"/>
              <w:left w:w="70" w:type="dxa"/>
              <w:bottom w:w="30" w:type="dxa"/>
              <w:right w:w="70" w:type="dxa"/>
            </w:tcMar>
          </w:tcPr>
          <w:p>
            <w:pPr>
              <w:spacing w:after="0"/>
            </w:pPr>
            <w:r>
              <w:rPr>
                <w:rFonts w:ascii="Arial" w:hAnsi="Arial" w:cs="Arial" w:eastAsia="Arial"/>
                <w:b w:val="0"/>
                <w:i w:val="0"/>
                <w:sz w:val="20"/>
              </w:rPr>
              <w:t>Implementation Roadmap (20%)</w:t>
            </w:r>
          </w:p>
        </w:tc>
        <w:tc>
          <w:tcPr>
            <w:tcW w:type="dxa" w:w="6048"/>
            <w:shd w:val="clear" w:color="auto" w:fill="F8FAFC"/>
            <w:tcMar>
              <w:top w:w="30" w:type="dxa"/>
              <w:left w:w="70" w:type="dxa"/>
              <w:bottom w:w="30" w:type="dxa"/>
              <w:right w:w="70" w:type="dxa"/>
            </w:tcMar>
          </w:tcPr>
          <w:p>
            <w:pPr>
              <w:spacing w:after="0"/>
            </w:pPr>
            <w:r>
              <w:rPr>
                <w:rFonts w:ascii="Arial" w:hAnsi="Arial" w:cs="Arial" w:eastAsia="Arial"/>
                <w:b w:val="0"/>
                <w:i w:val="0"/>
                <w:sz w:val="20"/>
              </w:rPr>
              <w:t xml:space="preserve">Sections 2, 8; </w:t>
            </w:r>
            <w:r>
              <w:rPr>
                <w:rFonts w:ascii="Arial" w:hAnsi="Arial" w:cs="Arial" w:eastAsia="Arial"/>
                <w:b w:val="0"/>
                <w:i w:val="0"/>
                <w:sz w:val="20"/>
              </w:rPr>
              <w:t>DELIVERABLE_AUDIT.md</w:t>
            </w:r>
          </w:p>
        </w:tc>
      </w:tr>
      <w:tr>
        <w:trPr>
          <w:cantSplit/>
        </w:trPr>
        <w:tc>
          <w:tcPr>
            <w:tcW w:type="dxa" w:w="4176"/>
            <w:shd w:val="clear" w:color="auto" w:fill="FFFFFF"/>
            <w:tcMar>
              <w:top w:w="30" w:type="dxa"/>
              <w:left w:w="70" w:type="dxa"/>
              <w:bottom w:w="30" w:type="dxa"/>
              <w:right w:w="70" w:type="dxa"/>
            </w:tcMar>
          </w:tcPr>
          <w:p>
            <w:pPr>
              <w:spacing w:after="0"/>
            </w:pPr>
            <w:r>
              <w:rPr>
                <w:rFonts w:ascii="Arial" w:hAnsi="Arial" w:cs="Arial" w:eastAsia="Arial"/>
                <w:b w:val="0"/>
                <w:i w:val="0"/>
                <w:sz w:val="20"/>
              </w:rPr>
              <w:t>Data Strategy and Provenance (10%)</w:t>
            </w:r>
          </w:p>
        </w:tc>
        <w:tc>
          <w:tcPr>
            <w:tcW w:type="dxa" w:w="6048"/>
            <w:shd w:val="clear" w:color="auto" w:fill="FFFFFF"/>
            <w:tcMar>
              <w:top w:w="30" w:type="dxa"/>
              <w:left w:w="70" w:type="dxa"/>
              <w:bottom w:w="30" w:type="dxa"/>
              <w:right w:w="70" w:type="dxa"/>
            </w:tcMar>
          </w:tcPr>
          <w:p>
            <w:pPr>
              <w:spacing w:after="0"/>
            </w:pPr>
            <w:r>
              <w:rPr>
                <w:rFonts w:ascii="Arial" w:hAnsi="Arial" w:cs="Arial" w:eastAsia="Arial"/>
                <w:b w:val="0"/>
                <w:i w:val="0"/>
                <w:sz w:val="20"/>
              </w:rPr>
              <w:t xml:space="preserve">Sections 3, 7; </w:t>
            </w:r>
            <w:r>
              <w:rPr>
                <w:rFonts w:ascii="Arial" w:hAnsi="Arial" w:cs="Arial" w:eastAsia="Arial"/>
                <w:b w:val="0"/>
                <w:i w:val="0"/>
                <w:sz w:val="20"/>
              </w:rPr>
              <w:t>source_manifest.csv</w:t>
            </w:r>
            <w:r>
              <w:rPr>
                <w:rFonts w:ascii="Arial" w:hAnsi="Arial" w:cs="Arial" w:eastAsia="Arial"/>
                <w:b w:val="0"/>
                <w:i w:val="0"/>
                <w:sz w:val="20"/>
              </w:rPr>
              <w:t xml:space="preserve">, </w:t>
            </w:r>
            <w:r>
              <w:rPr>
                <w:rFonts w:ascii="Arial" w:hAnsi="Arial" w:cs="Arial" w:eastAsia="Arial"/>
                <w:b w:val="0"/>
                <w:i w:val="0"/>
                <w:sz w:val="20"/>
              </w:rPr>
              <w:t>DATA_QUALITY_REPORT.md</w:t>
            </w:r>
          </w:p>
        </w:tc>
      </w:tr>
    </w:tbl>
    <w:p>
      <w:pPr>
        <w:spacing w:after="0" w:line="80" w:lineRule="exact"/>
      </w:pPr>
      <w:r>
        <w:rPr>
          <w:rFonts w:ascii="Arial" w:hAnsi="Arial" w:cs="Arial" w:eastAsia="Arial"/>
          <w:b w:val="0"/>
          <w:i w:val="0"/>
          <w:sz w:val="20"/>
        </w:rPr>
      </w:r>
    </w:p>
    <w:p>
      <w:pPr>
        <w:spacing w:before="60"/>
      </w:pPr>
      <w:r>
        <w:rPr>
          <w:rFonts w:ascii="Arial" w:hAnsi="Arial" w:cs="Arial" w:eastAsia="Arial"/>
          <w:b/>
          <w:i w:val="0"/>
          <w:color w:val="0F172A"/>
          <w:sz w:val="20"/>
        </w:rPr>
        <w:t>References</w:t>
      </w:r>
    </w:p>
    <w:p>
      <w:r>
        <w:rPr>
          <w:rFonts w:ascii="Arial" w:hAnsi="Arial" w:cs="Arial" w:eastAsia="Arial"/>
          <w:b w:val="0"/>
          <w:i w:val="0"/>
          <w:sz w:val="20"/>
        </w:rPr>
        <w:t>[1] BEE, Ministry of Power, Public Charging Stations Data till 26 Oct 2025. [2] PIB PRID 2246042, MoPNG/MHI, OMC charging stations, 27 Mar 2026. [3] PIB PRID 2246045, MHI, FAME-II installations, 27 Mar 2026. [4] Transport Dept. and DDC, GNCTD, Switch Delhi registry, ev.delhi.gov.in, snapshot 19 Oct 2026. [5] MoRTH/NIC, VAHAN 4 Public Analytics, snapshot 19 Oct 2026. [6] DataMeet, Census-2011 boundaries (CC BY 4.0). [7] WorldPop, India 1 km population, scaled to NCP 2025. [8] OpenStreetMap contributors, Overpass extracts (ODbL 1.0), 19 Oct 2026. [9] NITI Aayog and WRI India, India Electric Mobility Index 2025. [10] Bass, F. M., A New Product Growth for Model Innovations, Management Science 15(5), 1969. [11] Nemhauser, Wolsey and Fisher, An analysis of approximations for maximizing submodular set functions, Math. Programming 14, 1978.</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64748B"/>
        <w:sz w:val="20"/>
      </w:rPr>
      <w:t xml:space="preserve">Team Mechies, NSUT | Page </w:t>
    </w:r>
    <w:r>
      <w:rPr>
        <w:rFonts w:ascii="Arial" w:hAnsi="Arial" w:cs="Arial" w:eastAsia="Arial"/>
        <w:b w:val="0"/>
        <w:i w:val="0"/>
        <w:color w:val="64748B"/>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eastAsia="Arial"/>
        <w:b w:val="0"/>
        <w:i w:val="0"/>
        <w:color w:val="64748B"/>
        <w:sz w:val="20"/>
      </w:rPr>
      <w:t>GridSight EV | Techfest 2026–27 Round 1 |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