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color w:val="0F766E"/>
          <w:sz w:val="27"/>
        </w:rPr>
        <w:t>GridSight EV: Geospatial EV Charging Infrastructure Intelligence Platform</w:t>
      </w:r>
    </w:p>
    <w:p>
      <w:pPr>
        <w:spacing w:after="60"/>
      </w:pPr>
      <w:r>
        <w:rPr>
          <w:rFonts w:ascii="Arial" w:hAnsi="Arial"/>
          <w:b/>
          <w:color w:val="475569"/>
          <w:sz w:val="18"/>
        </w:rPr>
        <w:t>IIT Bombay Techfest 2026–27 | Round 1 Submission Document | Challenge 1: EV Infra Map India</w:t>
        <w:br/>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160"/>
        <w:gridCol w:w="3168"/>
        <w:gridCol w:w="2592"/>
        <w:gridCol w:w="2304"/>
      </w:tblGrid>
      <w:tr>
        <w:trPr>
          <w:cantSplit/>
        </w:trPr>
        <w:tc>
          <w:tcPr>
            <w:tcW w:type="dxa" w:w="2560"/>
            <w:shd w:fill="F1F5F9"/>
            <w:tcMar>
              <w:top w:w="35" w:type="dxa"/>
              <w:bottom w:w="35" w:type="dxa"/>
              <w:left w:w="50" w:type="dxa"/>
              <w:right w:w="50" w:type="dxa"/>
            </w:tcMar>
          </w:tcPr>
          <w:p>
            <w:pPr>
              <w:spacing w:after="0" w:line="240" w:lineRule="auto"/>
            </w:pPr>
            <w:r>
              <w:rPr>
                <w:b/>
                <w:color w:val="0F172A"/>
                <w:sz w:val="15"/>
              </w:rPr>
              <w:t xml:space="preserve">Team: </w:t>
            </w:r>
            <w:r>
              <w:rPr>
                <w:color w:val="475569"/>
                <w:sz w:val="15"/>
              </w:rPr>
              <w:t>Mechies</w:t>
            </w:r>
          </w:p>
        </w:tc>
        <w:tc>
          <w:tcPr>
            <w:tcW w:type="dxa" w:w="2560"/>
            <w:shd w:fill="F1F5F9"/>
            <w:tcMar>
              <w:top w:w="35" w:type="dxa"/>
              <w:bottom w:w="35" w:type="dxa"/>
              <w:left w:w="50" w:type="dxa"/>
              <w:right w:w="50" w:type="dxa"/>
            </w:tcMar>
          </w:tcPr>
          <w:p>
            <w:pPr>
              <w:spacing w:after="0" w:line="240" w:lineRule="auto"/>
            </w:pPr>
            <w:r>
              <w:rPr>
                <w:b/>
                <w:color w:val="0F172A"/>
                <w:sz w:val="15"/>
              </w:rPr>
              <w:t xml:space="preserve">Institution: </w:t>
            </w:r>
            <w:r>
              <w:rPr>
                <w:color w:val="475569"/>
                <w:sz w:val="15"/>
              </w:rPr>
              <w:t>Netaji Subhas Univ. of Tech (NSUT)</w:t>
            </w:r>
          </w:p>
        </w:tc>
        <w:tc>
          <w:tcPr>
            <w:tcW w:type="dxa" w:w="2560"/>
            <w:shd w:fill="F1F5F9"/>
            <w:tcMar>
              <w:top w:w="35" w:type="dxa"/>
              <w:bottom w:w="35" w:type="dxa"/>
              <w:left w:w="50" w:type="dxa"/>
              <w:right w:w="50" w:type="dxa"/>
            </w:tcMar>
          </w:tcPr>
          <w:p>
            <w:pPr>
              <w:spacing w:after="0" w:line="240" w:lineRule="auto"/>
            </w:pPr>
            <w:r>
              <w:rPr>
                <w:b/>
                <w:color w:val="0F172A"/>
                <w:sz w:val="15"/>
              </w:rPr>
              <w:t xml:space="preserve">Lead / Contact: </w:t>
            </w:r>
            <w:r>
              <w:rPr>
                <w:color w:val="475569"/>
                <w:sz w:val="15"/>
              </w:rPr>
              <w:t>Kunal (kunalclass1112@gmail.com)</w:t>
            </w:r>
          </w:p>
        </w:tc>
        <w:tc>
          <w:tcPr>
            <w:tcW w:type="dxa" w:w="2560"/>
            <w:shd w:fill="F1F5F9"/>
            <w:tcMar>
              <w:top w:w="35" w:type="dxa"/>
              <w:bottom w:w="35" w:type="dxa"/>
              <w:left w:w="50" w:type="dxa"/>
              <w:right w:w="50" w:type="dxa"/>
            </w:tcMar>
          </w:tcPr>
          <w:p>
            <w:pPr>
              <w:spacing w:after="0" w:line="240" w:lineRule="auto"/>
            </w:pPr>
            <w:r>
              <w:rPr>
                <w:b/>
                <w:color w:val="0F172A"/>
                <w:sz w:val="15"/>
              </w:rPr>
              <w:t xml:space="preserve">Source Code / Ver.: </w:t>
            </w:r>
            <w:r>
              <w:rPr>
                <w:color w:val="475569"/>
                <w:sz w:val="15"/>
              </w:rPr>
              <w:t>github.com/aadityaexpress/gridsight-ev</w:t>
            </w:r>
          </w:p>
        </w:tc>
      </w:tr>
    </w:tbl>
    <w:p>
      <w:pPr>
        <w:keepNext/>
        <w:spacing w:before="100" w:after="40"/>
      </w:pPr>
      <w:r>
        <w:rPr>
          <w:rFonts w:ascii="Arial" w:hAnsi="Arial"/>
          <w:b/>
          <w:color w:val="0F766E"/>
          <w:sz w:val="23"/>
        </w:rPr>
        <w:t>1. Problem Statement, Solution Framework &amp; System Overview</w:t>
      </w:r>
    </w:p>
    <w:p>
      <w:pPr>
        <w:spacing w:after="50" w:line="254" w:lineRule="auto"/>
      </w:pPr>
      <w:r>
        <w:rPr>
          <w:rFonts w:ascii="Arial" w:hAnsi="Arial"/>
          <w:color w:val="334155"/>
          <w:sz w:val="18"/>
        </w:rPr>
        <w:t>India's accelerated transition to electric mobility has outpaced public infrastructure planning tools, leaving investments vulnerable to severe capital misallocation, queuing bottlenecks, and localized grid overloads. Public charging planning currently faces four structural barriers:</w:t>
      </w:r>
    </w:p>
    <w:p>
      <w:pPr>
        <w:pStyle w:val="ListBullet"/>
        <w:spacing w:after="36" w:line="254" w:lineRule="auto"/>
      </w:pPr>
      <w:r>
        <w:rPr>
          <w:rFonts w:ascii="Arial" w:hAnsi="Arial"/>
          <w:b/>
          <w:color w:val="0F172A"/>
          <w:sz w:val="18"/>
        </w:rPr>
        <w:t xml:space="preserve">Multi-Registry Fragmentation &amp; Unit Ambiguity: </w:t>
      </w:r>
      <w:r>
        <w:rPr>
          <w:rFonts w:ascii="Arial" w:hAnsi="Arial"/>
          <w:color w:val="334155"/>
          <w:sz w:val="18"/>
        </w:rPr>
        <w:t>Official charging portals report conflicting metrics across disjointed data schemas. The Bureau of Energy Efficiency (BEE) national portal catalogs individual charger/connector rows (39,641 rows; 44,066 connectors across 29,371 sites); the Ministry of Petroleum and Natural Gas (MoPNG) tracks Oil Marketing Company (OMC) retail fuel outlets (27,737 installed; 22,753 operational); the Ministry of Heavy Industries (MHI) logs scheme-subsidized FAME-II deployments (8,932 OMC units); while OpenStreetMap (OSM) captures a sparse crowdsourced subset (725 national features; 179 in Delhi). Blindly aggregating these registries produces catastrophic double-counting.</w:t>
      </w:r>
    </w:p>
    <w:p>
      <w:pPr>
        <w:pStyle w:val="ListBullet"/>
        <w:spacing w:after="36" w:line="254" w:lineRule="auto"/>
      </w:pPr>
      <w:r>
        <w:rPr>
          <w:rFonts w:ascii="Arial" w:hAnsi="Arial"/>
          <w:b/>
          <w:color w:val="0F172A"/>
          <w:sz w:val="18"/>
        </w:rPr>
        <w:t xml:space="preserve">Spatial Granularity Mismatch: </w:t>
      </w:r>
      <w:r>
        <w:rPr>
          <w:rFonts w:ascii="Arial" w:hAnsi="Arial"/>
          <w:color w:val="334155"/>
          <w:sz w:val="18"/>
        </w:rPr>
        <w:t>Operational EV registrations from MoRTH/VAHAN are aggregated at national, state, and Regional Transport Office (RTO) administrative levels, whereas charging and battery swapping stations operate at discrete point coordinates. In Delhi, commercial EV fleets (e-rickshaws, commercial cabs, delivery freight) register predominantly at the centralized Burari authority (DL-11/12/13/14), severely distorting localized demand.</w:t>
      </w:r>
    </w:p>
    <w:p>
      <w:pPr>
        <w:pStyle w:val="ListBullet"/>
        <w:spacing w:after="36" w:line="254" w:lineRule="auto"/>
      </w:pPr>
      <w:r>
        <w:rPr>
          <w:rFonts w:ascii="Arial" w:hAnsi="Arial"/>
          <w:b/>
          <w:color w:val="0F172A"/>
          <w:sz w:val="18"/>
        </w:rPr>
        <w:t xml:space="preserve">Opacity of Critical Electrical Telemetry: </w:t>
      </w:r>
      <w:r>
        <w:rPr>
          <w:rFonts w:ascii="Arial" w:hAnsi="Arial"/>
          <w:color w:val="334155"/>
          <w:sz w:val="18"/>
        </w:rPr>
        <w:t>Public registries completely omit distribution transformer (DT) spare capacity, feeder voltage ratings (11 kV vs 33 kV), and real-time session utilization logs.</w:t>
      </w:r>
    </w:p>
    <w:p>
      <w:pPr>
        <w:pStyle w:val="ListBullet"/>
        <w:spacing w:after="36" w:line="254" w:lineRule="auto"/>
      </w:pPr>
      <w:r>
        <w:rPr>
          <w:rFonts w:ascii="Arial" w:hAnsi="Arial"/>
          <w:b/>
          <w:color w:val="0F172A"/>
          <w:sz w:val="18"/>
        </w:rPr>
        <w:t xml:space="preserve">Geographic Proximity vs. Volumetric Adequacy Disconnect: </w:t>
      </w:r>
      <w:r>
        <w:rPr>
          <w:rFonts w:ascii="Arial" w:hAnsi="Arial"/>
          <w:color w:val="334155"/>
          <w:sz w:val="18"/>
        </w:rPr>
        <w:t>Conventional EV dashboards rely on naive circular coverage buffers (d ≤ r), conflating spatial presence with capacity adequacy. A charging plaza offering two slow 3.3 kW AC sockets within 1.0 km cannot service 100 commercial e-rickshaws requiring 6.4 kWh/day each, causing queue collapse. GridSight EV explicitly decouples spatial accessibility from daily energy throughput (kWh/day).</w:t>
      </w:r>
    </w:p>
    <w:p>
      <w:pPr>
        <w:spacing w:after="50" w:line="254" w:lineRule="auto"/>
      </w:pPr>
      <w:r>
        <w:rPr>
          <w:rFonts w:ascii="Arial" w:hAnsi="Arial"/>
          <w:color w:val="334155"/>
          <w:sz w:val="18"/>
        </w:rPr>
        <w:t>GridSight EV resolves this planning challenge through an end-to-end geospatial intelligence architecture structured into four linked pillars: (1) Deterministic Multi-Source Integration with an uncompromising Non-Additivity Rule (registries are evaluated as independent, toggleable baselines); (2) High-Resolution Spatial Gap Engine covering NCT Delhi via a 375-cell planning grid (2.0 km × 2.0 km) integrating WorldPop demography, 3,534 OSM commercial activity attractors, and 8,087 road network segments; (3) Explainable Physics-Informed Spatial AI Suite comprising a Supervised Random Forest Demand Regressor (R² = 0.796), Bass Diffusion adoption forecasting (R² = 0.992), and a Multi-Objective Feeder-Constrained Siting Optimizer; and (4) Bottom-Up Capacity Planning Engine (2026–2030) modeling vehicle-class energy balances, public reliance, battery swapping, and physical hardware sizing (Stations, EVSE Points, AC/DC Nozzles, Swapping Dockets).</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3024"/>
        <w:gridCol w:w="4608"/>
      </w:tblGrid>
      <w:tr>
        <w:trPr>
          <w:cantSplit/>
        </w:trPr>
        <w:tc>
          <w:tcPr>
            <w:tcW w:type="dxa" w:w="3413"/>
            <w:shd w:fill="0F766E"/>
            <w:tcMar>
              <w:top w:w="30" w:type="dxa"/>
              <w:bottom w:w="30" w:type="dxa"/>
              <w:left w:w="45" w:type="dxa"/>
              <w:right w:w="45" w:type="dxa"/>
            </w:tcMar>
          </w:tcPr>
          <w:p>
            <w:pPr>
              <w:spacing w:after="0" w:line="240" w:lineRule="auto"/>
            </w:pPr>
            <w:r>
              <w:rPr>
                <w:b/>
                <w:color w:val="FFFFFF"/>
                <w:sz w:val="15"/>
              </w:rPr>
              <w:t>Platform Tier</w:t>
            </w:r>
          </w:p>
        </w:tc>
        <w:tc>
          <w:tcPr>
            <w:tcW w:type="dxa" w:w="3413"/>
            <w:shd w:fill="0F766E"/>
            <w:tcMar>
              <w:top w:w="30" w:type="dxa"/>
              <w:bottom w:w="30" w:type="dxa"/>
              <w:left w:w="45" w:type="dxa"/>
              <w:right w:w="45" w:type="dxa"/>
            </w:tcMar>
          </w:tcPr>
          <w:p>
            <w:pPr>
              <w:spacing w:after="0" w:line="240" w:lineRule="auto"/>
            </w:pPr>
            <w:r>
              <w:rPr>
                <w:b/>
                <w:color w:val="FFFFFF"/>
                <w:sz w:val="15"/>
              </w:rPr>
              <w:t>Core Processing Engine</w:t>
            </w:r>
          </w:p>
        </w:tc>
        <w:tc>
          <w:tcPr>
            <w:tcW w:type="dxa" w:w="3413"/>
            <w:shd w:fill="0F766E"/>
            <w:tcMar>
              <w:top w:w="30" w:type="dxa"/>
              <w:bottom w:w="30" w:type="dxa"/>
              <w:left w:w="45" w:type="dxa"/>
              <w:right w:w="45" w:type="dxa"/>
            </w:tcMar>
          </w:tcPr>
          <w:p>
            <w:pPr>
              <w:spacing w:after="0" w:line="240" w:lineRule="auto"/>
            </w:pPr>
            <w:r>
              <w:rPr>
                <w:b/>
                <w:color w:val="FFFFFF"/>
                <w:sz w:val="15"/>
              </w:rPr>
              <w:t>Methodological Function &amp; Technical Deliverables</w:t>
            </w:r>
          </w:p>
        </w:tc>
      </w:tr>
      <w:tr>
        <w:trPr>
          <w:cantSplit/>
        </w:trPr>
        <w:tc>
          <w:tcPr>
            <w:tcW w:type="dxa" w:w="3413"/>
            <w:shd w:fill="FFFFFF"/>
            <w:tcMar>
              <w:top w:w="25" w:type="dxa"/>
              <w:bottom w:w="25" w:type="dxa"/>
              <w:left w:w="45" w:type="dxa"/>
              <w:right w:w="45" w:type="dxa"/>
            </w:tcMar>
          </w:tcPr>
          <w:p>
            <w:pPr>
              <w:spacing w:after="0" w:line="240" w:lineRule="auto"/>
            </w:pPr>
            <w:r>
              <w:rPr>
                <w:color w:val="1E293B"/>
                <w:sz w:val="14"/>
              </w:rPr>
              <w:t>Tier 1: Data Ingestion &amp; Sanitization</w:t>
            </w:r>
          </w:p>
        </w:tc>
        <w:tc>
          <w:tcPr>
            <w:tcW w:type="dxa" w:w="3413"/>
            <w:shd w:fill="FFFFFF"/>
            <w:tcMar>
              <w:top w:w="25" w:type="dxa"/>
              <w:bottom w:w="25" w:type="dxa"/>
              <w:left w:w="45" w:type="dxa"/>
              <w:right w:w="45" w:type="dxa"/>
            </w:tcMar>
          </w:tcPr>
          <w:p>
            <w:pPr>
              <w:spacing w:after="0" w:line="240" w:lineRule="auto"/>
            </w:pPr>
            <w:r>
              <w:rPr>
                <w:color w:val="1E293B"/>
                <w:sz w:val="14"/>
              </w:rPr>
              <w:t>scripts/process_data.py</w:t>
              <w:br/>
              <w:t>(Python, ~1,770 lines)</w:t>
            </w:r>
          </w:p>
        </w:tc>
        <w:tc>
          <w:tcPr>
            <w:tcW w:type="dxa" w:w="3413"/>
            <w:shd w:fill="FFFFFF"/>
            <w:tcMar>
              <w:top w:w="25" w:type="dxa"/>
              <w:bottom w:w="25" w:type="dxa"/>
              <w:left w:w="45" w:type="dxa"/>
              <w:right w:w="45" w:type="dxa"/>
            </w:tcMar>
          </w:tcPr>
          <w:p>
            <w:pPr>
              <w:spacing w:after="0" w:line="240" w:lineRule="auto"/>
            </w:pPr>
            <w:r>
              <w:rPr>
                <w:color w:val="1E293B"/>
                <w:sz w:val="14"/>
              </w:rPr>
              <w:t>Deterministic state normalization (46 raw strings → 36 ISO codes), coordinate sanitation (119 bad rows isolated), non-additivity layer isolation.</w:t>
            </w:r>
          </w:p>
        </w:tc>
      </w:tr>
      <w:tr>
        <w:trPr>
          <w:cantSplit/>
        </w:trPr>
        <w:tc>
          <w:tcPr>
            <w:tcW w:type="dxa" w:w="3413"/>
            <w:shd w:fill="F8FAFC"/>
            <w:tcMar>
              <w:top w:w="25" w:type="dxa"/>
              <w:bottom w:w="25" w:type="dxa"/>
              <w:left w:w="45" w:type="dxa"/>
              <w:right w:w="45" w:type="dxa"/>
            </w:tcMar>
          </w:tcPr>
          <w:p>
            <w:pPr>
              <w:spacing w:after="0" w:line="240" w:lineRule="auto"/>
            </w:pPr>
            <w:r>
              <w:rPr>
                <w:color w:val="1E293B"/>
                <w:sz w:val="14"/>
              </w:rPr>
              <w:t>Tier 2: Spatial Harmonization Engine</w:t>
            </w:r>
          </w:p>
        </w:tc>
        <w:tc>
          <w:tcPr>
            <w:tcW w:type="dxa" w:w="3413"/>
            <w:shd w:fill="F8FAFC"/>
            <w:tcMar>
              <w:top w:w="25" w:type="dxa"/>
              <w:bottom w:w="25" w:type="dxa"/>
              <w:left w:w="45" w:type="dxa"/>
              <w:right w:w="45" w:type="dxa"/>
            </w:tcMar>
          </w:tcPr>
          <w:p>
            <w:pPr>
              <w:spacing w:after="0" w:line="240" w:lineRule="auto"/>
            </w:pPr>
            <w:r>
              <w:rPr>
                <w:color w:val="1E293B"/>
                <w:sz w:val="14"/>
              </w:rPr>
              <w:t>scripts/process_data.py +</w:t>
              <w:br/>
              <w:t>WorldPop / OSM Extracts</w:t>
            </w:r>
          </w:p>
        </w:tc>
        <w:tc>
          <w:tcPr>
            <w:tcW w:type="dxa" w:w="3413"/>
            <w:shd w:fill="F8FAFC"/>
            <w:tcMar>
              <w:top w:w="25" w:type="dxa"/>
              <w:bottom w:w="25" w:type="dxa"/>
              <w:left w:w="45" w:type="dxa"/>
              <w:right w:w="45" w:type="dxa"/>
            </w:tcMar>
          </w:tcPr>
          <w:p>
            <w:pPr>
              <w:spacing w:after="0" w:line="240" w:lineRule="auto"/>
            </w:pPr>
            <w:r>
              <w:rPr>
                <w:color w:val="1E293B"/>
                <w:sz w:val="14"/>
              </w:rPr>
              <w:t>Delhi 375-cell grid (2km × 2km), WorldPop 2020 scaled to NCP 2025 projection (22.3M), Burari commercial fleet activity redistribution crosswalk.</w:t>
            </w:r>
          </w:p>
        </w:tc>
      </w:tr>
      <w:tr>
        <w:trPr>
          <w:cantSplit/>
        </w:trPr>
        <w:tc>
          <w:tcPr>
            <w:tcW w:type="dxa" w:w="3413"/>
            <w:shd w:fill="FFFFFF"/>
            <w:tcMar>
              <w:top w:w="25" w:type="dxa"/>
              <w:bottom w:w="25" w:type="dxa"/>
              <w:left w:w="45" w:type="dxa"/>
              <w:right w:w="45" w:type="dxa"/>
            </w:tcMar>
          </w:tcPr>
          <w:p>
            <w:pPr>
              <w:spacing w:after="0" w:line="240" w:lineRule="auto"/>
            </w:pPr>
            <w:r>
              <w:rPr>
                <w:color w:val="1E293B"/>
                <w:sz w:val="14"/>
              </w:rPr>
              <w:t>Tier 3: Explainable AI &amp; Optimization</w:t>
            </w:r>
          </w:p>
        </w:tc>
        <w:tc>
          <w:tcPr>
            <w:tcW w:type="dxa" w:w="3413"/>
            <w:shd w:fill="FFFFFF"/>
            <w:tcMar>
              <w:top w:w="25" w:type="dxa"/>
              <w:bottom w:w="25" w:type="dxa"/>
              <w:left w:w="45" w:type="dxa"/>
              <w:right w:w="45" w:type="dxa"/>
            </w:tcMar>
          </w:tcPr>
          <w:p>
            <w:pPr>
              <w:spacing w:after="0" w:line="240" w:lineRule="auto"/>
            </w:pPr>
            <w:r>
              <w:rPr>
                <w:color w:val="1E293B"/>
                <w:sz w:val="14"/>
              </w:rPr>
              <w:t>scripts/train_ai_models.py</w:t>
              <w:br/>
              <w:t>(Scikit-Learn, SciPy)</w:t>
            </w:r>
          </w:p>
        </w:tc>
        <w:tc>
          <w:tcPr>
            <w:tcW w:type="dxa" w:w="3413"/>
            <w:shd w:fill="FFFFFF"/>
            <w:tcMar>
              <w:top w:w="25" w:type="dxa"/>
              <w:bottom w:w="25" w:type="dxa"/>
              <w:left w:w="45" w:type="dxa"/>
              <w:right w:w="45" w:type="dxa"/>
            </w:tcMar>
          </w:tcPr>
          <w:p>
            <w:pPr>
              <w:spacing w:after="0" w:line="240" w:lineRule="auto"/>
            </w:pPr>
            <w:r>
              <w:rPr>
                <w:color w:val="1E293B"/>
                <w:sz w:val="14"/>
              </w:rPr>
              <w:t>Random Forest regressor (120 trees, R² = 0.796), Bass Diffusion S-curve adoption model (R² = 0.992), Submodular greedy feeder-constrained siting optimizer.</w:t>
            </w:r>
          </w:p>
        </w:tc>
      </w:tr>
      <w:tr>
        <w:trPr>
          <w:cantSplit/>
        </w:trPr>
        <w:tc>
          <w:tcPr>
            <w:tcW w:type="dxa" w:w="3413"/>
            <w:shd w:fill="F8FAFC"/>
            <w:tcMar>
              <w:top w:w="25" w:type="dxa"/>
              <w:bottom w:w="25" w:type="dxa"/>
              <w:left w:w="45" w:type="dxa"/>
              <w:right w:w="45" w:type="dxa"/>
            </w:tcMar>
          </w:tcPr>
          <w:p>
            <w:pPr>
              <w:spacing w:after="0" w:line="240" w:lineRule="auto"/>
            </w:pPr>
            <w:r>
              <w:rPr>
                <w:color w:val="1E293B"/>
                <w:sz w:val="14"/>
              </w:rPr>
              <w:t>Tier 4: UI &amp; Capacity Simulator</w:t>
            </w:r>
          </w:p>
        </w:tc>
        <w:tc>
          <w:tcPr>
            <w:tcW w:type="dxa" w:w="3413"/>
            <w:shd w:fill="F8FAFC"/>
            <w:tcMar>
              <w:top w:w="25" w:type="dxa"/>
              <w:bottom w:w="25" w:type="dxa"/>
              <w:left w:w="45" w:type="dxa"/>
              <w:right w:w="45" w:type="dxa"/>
            </w:tcMar>
          </w:tcPr>
          <w:p>
            <w:pPr>
              <w:spacing w:after="0" w:line="240" w:lineRule="auto"/>
            </w:pPr>
            <w:r>
              <w:rPr>
                <w:color w:val="1E293B"/>
                <w:sz w:val="14"/>
              </w:rPr>
              <w:t>src/utils/planningEngine.ts +</w:t>
              <w:br/>
              <w:t>React 18 / TypeScript / Leaflet</w:t>
            </w:r>
          </w:p>
        </w:tc>
        <w:tc>
          <w:tcPr>
            <w:tcW w:type="dxa" w:w="3413"/>
            <w:shd w:fill="F8FAFC"/>
            <w:tcMar>
              <w:top w:w="25" w:type="dxa"/>
              <w:bottom w:w="25" w:type="dxa"/>
              <w:left w:w="45" w:type="dxa"/>
              <w:right w:w="45" w:type="dxa"/>
            </w:tcMar>
          </w:tcPr>
          <w:p>
            <w:pPr>
              <w:spacing w:after="0" w:line="240" w:lineRule="auto"/>
            </w:pPr>
            <w:r>
              <w:rPr>
                <w:color w:val="1E293B"/>
                <w:sz w:val="14"/>
              </w:rPr>
              <w:t>Sub-millisecond client-side spatial simulation, Sigmoid decay kernel, 2026–2030 fleet capacity sizing, zero-watermark keyless OSM cartography.</w:t>
            </w:r>
          </w:p>
        </w:tc>
      </w:tr>
    </w:tbl>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CCFBF1"/>
              <w:left w:val="single" w:sz="20" w:space="0" w:color="0F766E"/>
              <w:bottom w:val="single" w:sz="4" w:space="0" w:color="CCFBF1"/>
              <w:right w:val="single" w:sz="4" w:space="0" w:color="CCFBF1"/>
            </w:tcBorders>
            <w:shd w:fill="F0FDFA"/>
            <w:tcMar>
              <w:top w:w="50" w:type="dxa"/>
              <w:bottom w:w="50" w:type="dxa"/>
              <w:left w:w="100" w:type="dxa"/>
              <w:right w:w="100" w:type="dxa"/>
            </w:tcMar>
          </w:tcPr>
          <w:p>
            <w:pPr>
              <w:spacing w:before="20" w:after="40" w:line="252" w:lineRule="auto"/>
            </w:pPr>
            <w:r>
              <w:rPr>
                <w:rFonts w:ascii="Arial" w:hAnsi="Arial"/>
                <w:b/>
                <w:color w:val="0F766E"/>
                <w:sz w:val="17"/>
              </w:rPr>
              <w:t>IMPLEMENTATION STATUS: OPERATIONAL BASELINE VS. PLANNED ROADMAP</w:t>
              <w:br/>
            </w:r>
            <w:r>
              <w:rPr>
                <w:rFonts w:ascii="Arial" w:hAnsi="Arial"/>
                <w:color w:val="1E293B"/>
                <w:sz w:val="16"/>
              </w:rPr>
              <w:t>• Implemented &amp; Tested in Code/Data [Phase 0 - Verified Operational]: 36 States/UTs national demand choropleths (10.69M active EVs across 2 VAHAN fuel tags); BEE national registry geocoding (29,371 sites); Delhi 375-cell spatial grid (22.3M pop); Random Forest regressor; Bass Diffusion S-curve; Submodular greedy siting optimizer (top 25 plazas); Automated QA suite (28/28 assertions pass in scripts/validate_processed_data.py); Zero-watermark Leaflet UI.</w:t>
              <w:br/>
            </w:r>
            <w:r>
              <w:rPr>
                <w:rFonts w:ascii="Arial" w:hAnsi="Arial"/>
                <w:color w:val="1E293B"/>
                <w:sz w:val="16"/>
              </w:rPr>
              <w:t>• Planned Roadmap [Post-Round 1]: Highway corridor buffers (Phase 1, NH-48 / Yamuna Expwy); CEA secondary distribution transformer voltage tier proxy (Phase 2); DISCOM nodal interconnect live API ingest &amp; containerized deployment (Phase 3).</w:t>
            </w:r>
          </w:p>
        </w:tc>
      </w:tr>
    </w:tbl>
    <w:p>
      <w:r>
        <w:br w:type="page"/>
      </w:r>
    </w:p>
    <w:p>
      <w:pPr>
        <w:keepNext/>
        <w:spacing w:before="40" w:after="40"/>
      </w:pPr>
      <w:r>
        <w:rPr>
          <w:rFonts w:ascii="Arial" w:hAnsi="Arial"/>
          <w:b/>
          <w:color w:val="0F766E"/>
          <w:sz w:val="23"/>
        </w:rPr>
        <w:t>2. Data Integration, Normalization &amp; Spatial Methodology</w:t>
      </w:r>
    </w:p>
    <w:p>
      <w:pPr>
        <w:spacing w:after="50" w:line="254" w:lineRule="auto"/>
      </w:pPr>
      <w:r>
        <w:rPr>
          <w:rFonts w:ascii="Arial" w:hAnsi="Arial"/>
          <w:b/>
          <w:color w:val="0F172A"/>
          <w:sz w:val="18"/>
        </w:rPr>
        <w:t xml:space="preserve">Multi-Source Normalization &amp; De-duplication: </w:t>
      </w:r>
      <w:r>
        <w:rPr>
          <w:rFonts w:ascii="Arial" w:hAnsi="Arial"/>
          <w:color w:val="334155"/>
          <w:sz w:val="18"/>
        </w:rPr>
        <w:t>Non-Additivity Design Rule: Because BEE, MoPNG OMC (PIB), MHI FAME-II, Switch Delhi, and OSM overlap extensively but lack shared foreign keys, GridSight EV strictly maintains them as independent analytical baselines. The user interface allows planners to toggle one source baseline at a time, forbidding naive arithmetic aggregation that corrupts public policy planning.</w:t>
      </w:r>
    </w:p>
    <w:p>
      <w:pPr>
        <w:spacing w:after="50" w:line="254" w:lineRule="auto"/>
      </w:pPr>
      <w:r>
        <w:rPr>
          <w:rFonts w:ascii="Arial" w:hAnsi="Arial"/>
          <w:b/>
          <w:color w:val="0F172A"/>
          <w:sz w:val="18"/>
        </w:rPr>
        <w:t xml:space="preserve">Dual VAHAN Fuel Tag Reconciliation: </w:t>
      </w:r>
      <w:r>
        <w:rPr>
          <w:rFonts w:ascii="Arial" w:hAnsi="Arial"/>
          <w:color w:val="334155"/>
          <w:sz w:val="18"/>
        </w:rPr>
        <w:t>Querying only the ELECTRIC(BOV) fuel tag in VAHAN captures 6.35M vehicles but omits 4.34M vehicles cataloged under PURE EV. GridSight EV deterministically integrates both tags across 36 States/UTs and 23 Delhi RTOs (10,689,490 active EVs nationwide; 549,153 in Delhi). Furthermore, our pipeline extracts active compliant (7.87M) versus active non-compliant registrations (2.82M, 26.4% lacking valid fitness/PUC) to establish upper- and lower-bound operational demand bounds.</w:t>
      </w:r>
    </w:p>
    <w:p>
      <w:pPr>
        <w:spacing w:after="50" w:line="254" w:lineRule="auto"/>
      </w:pPr>
      <w:r>
        <w:rPr>
          <w:rFonts w:ascii="Arial" w:hAnsi="Arial"/>
          <w:b/>
          <w:color w:val="0F172A"/>
          <w:sz w:val="18"/>
        </w:rPr>
        <w:t xml:space="preserve">Burari Commercial Fleet Spatial Redistribution: </w:t>
      </w:r>
      <w:r>
        <w:rPr>
          <w:rFonts w:ascii="Arial" w:hAnsi="Arial"/>
          <w:color w:val="334155"/>
          <w:sz w:val="18"/>
        </w:rPr>
        <w:t>Commercial EV fleets (3W e-rickshaws/autos, 4W commercial cabs, buses, light goods) registered at Delhi's centralized Burari authority (DL-11/12/13/14) do not operate solely in North Delhi. GridSight EV redistributes these vehicles across Delhi's 9 Census districts using an empirical activity-weighted crosswalk, while private two-wheelers remain assigned to their zonal residential RTOs:</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E2E8F0"/>
              <w:left w:val="single" w:sz="18" w:space="0" w:color="0F766E"/>
              <w:bottom w:val="single" w:sz="4" w:space="0" w:color="E2E8F0"/>
              <w:right w:val="single" w:sz="4" w:space="0" w:color="E2E8F0"/>
            </w:tcBorders>
            <w:shd w:fill="F8FAFC"/>
            <w:tcMar>
              <w:top w:w="40" w:type="dxa"/>
              <w:bottom w:w="40" w:type="dxa"/>
              <w:left w:w="80" w:type="dxa"/>
              <w:right w:w="80" w:type="dxa"/>
            </w:tcMar>
          </w:tcPr>
          <w:p>
            <w:pPr>
              <w:spacing w:before="0" w:after="0" w:line="250" w:lineRule="auto"/>
            </w:pPr>
            <w:r>
              <w:rPr>
                <w:rFonts w:ascii="Arial" w:hAnsi="Arial"/>
                <w:b/>
                <w:color w:val="0F766E"/>
                <w:sz w:val="17"/>
              </w:rPr>
              <w:t xml:space="preserve">[Eq. 1]  </w:t>
            </w:r>
            <w:r>
              <w:rPr>
                <w:rFonts w:ascii="Arial" w:hAnsi="Arial"/>
                <w:b/>
                <w:color w:val="0F172A"/>
                <w:sz w:val="18"/>
              </w:rPr>
              <w:t>w_district = 0.5 × (N_poi,district / N_poi,total) + 0.5 × (P_district / P_total)</w:t>
            </w:r>
            <w:r>
              <w:rPr>
                <w:rFonts w:ascii="Arial" w:hAnsi="Arial"/>
                <w:color w:val="64748B"/>
                <w:sz w:val="16"/>
              </w:rPr>
              <w:t xml:space="preserve">   — where N_poi is OSM commercial attractors (3,534 hubs) and P is Census district population (22.3M).</w:t>
            </w:r>
          </w:p>
        </w:tc>
      </w:tr>
    </w:tbl>
    <w:p>
      <w:pPr>
        <w:spacing w:after="50" w:line="254" w:lineRule="auto"/>
      </w:pPr>
      <w:r>
        <w:rPr>
          <w:rFonts w:ascii="Arial" w:hAnsi="Arial"/>
          <w:b/>
          <w:color w:val="0F172A"/>
          <w:sz w:val="18"/>
        </w:rPr>
        <w:t xml:space="preserve">Spatial Grid Definition &amp; Boundary Scope: </w:t>
      </w:r>
      <w:r>
        <w:rPr>
          <w:rFonts w:ascii="Arial" w:hAnsi="Arial"/>
          <w:color w:val="334155"/>
          <w:sz w:val="18"/>
        </w:rPr>
        <w:t>Delhi 375-Cell Spatial Planning Grid: The spatial analysis grid spans bounding box 28.40°N–28.89°N, 76.83°E–77.35°E with uniform steps of 0.018° Lat × 0.0205° Lon (~2.0 km × 2.0 km at 28.6°N), generating 375 discrete cells. The bounding box explicitly captures the NCT plus commuter fringes (Gurugram, Noida, Faridabad, Ghaziabad) where cross-border fleet traffic concentrates. Demography is derived from WorldPop 1km raster scaled to the National Commission on Population (NCP) 2025 projection of 22,300,000 residents.</w:t>
      </w:r>
    </w:p>
    <w:p>
      <w:pPr>
        <w:spacing w:after="50" w:line="254" w:lineRule="auto"/>
      </w:pPr>
      <w:r>
        <w:rPr>
          <w:rFonts w:ascii="Arial" w:hAnsi="Arial"/>
          <w:b/>
          <w:color w:val="0F172A"/>
          <w:sz w:val="18"/>
        </w:rPr>
        <w:t xml:space="preserve">Coverage Assessment Logic: </w:t>
      </w:r>
      <w:r>
        <w:rPr>
          <w:rFonts w:ascii="Arial" w:hAnsi="Arial"/>
          <w:color w:val="334155"/>
          <w:sz w:val="18"/>
        </w:rPr>
        <w:t>Two-Stage Coverage &amp; Volumetric Adequacy Engine: Stage 1 assesses Euclidean/equirectangular distance d to the nearest operational charging station (distortion &lt;0.05% vs Haversine across Delhi, &lt;2 m/km). Cells are classified into: (a) Covered: d ≤ r (user radius: 0.5 to 5.0 km; default 1.5 km); (b) Underserved Priority Zone: d &gt; r AND AI Demand Score D ≥ 22 (65th percentile threshold); (c) Low-Demand Fringe: d &gt; r AND D &lt; 22. Stage 2 evaluates volumetric adequacy: even if a cell satisfies d ≤ r, if installed daily throughput (kWh/day) falls below localized daily fleet demand, the cell flags an Energy Capacity Deficit.</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CCFBF1"/>
              <w:left w:val="single" w:sz="20" w:space="0" w:color="0F766E"/>
              <w:bottom w:val="single" w:sz="4" w:space="0" w:color="CCFBF1"/>
              <w:right w:val="single" w:sz="4" w:space="0" w:color="CCFBF1"/>
            </w:tcBorders>
            <w:shd w:fill="F0FDFA"/>
            <w:tcMar>
              <w:top w:w="50" w:type="dxa"/>
              <w:bottom w:w="50" w:type="dxa"/>
              <w:left w:w="100" w:type="dxa"/>
              <w:right w:w="100" w:type="dxa"/>
            </w:tcMar>
          </w:tcPr>
          <w:p>
            <w:pPr>
              <w:spacing w:before="20" w:after="40" w:line="252" w:lineRule="auto"/>
            </w:pPr>
            <w:r>
              <w:rPr>
                <w:rFonts w:ascii="Arial" w:hAnsi="Arial"/>
                <w:b/>
                <w:color w:val="0F766E"/>
                <w:sz w:val="17"/>
              </w:rPr>
              <w:t>DELHI SPATIAL PILOT SPECIFICATIONS &amp; CARTOGRAPHIC ACCURACY BOUNDS</w:t>
              <w:br/>
            </w:r>
            <w:r>
              <w:rPr>
                <w:rFonts w:ascii="Arial" w:hAnsi="Arial"/>
                <w:color w:val="1E293B"/>
                <w:sz w:val="16"/>
              </w:rPr>
              <w:t>• High-Resolution Multi-Modal GIS Layers: 3,534 commercial attractors (fuel, transit, parking, market clusters) and 8,087 major road segments (motorway, trunk, primary, secondary) ingested via Overpass API and spatially indexed to the 375 grid cells.</w:t>
              <w:br/>
            </w:r>
            <w:r>
              <w:rPr>
                <w:rFonts w:ascii="Arial" w:hAnsi="Arial"/>
                <w:color w:val="1E293B"/>
                <w:sz w:val="16"/>
              </w:rPr>
              <w:t>• Equirectangular Planar Distortion Bound: Latitude scaling cos(28.6°) = 0.878; verified maximum planar distance error is &lt;0.05% (&lt;2 m per 1,000 m) compared to Great-Circle Haversine, enabling sub-millisecond client-side spatial queries without GIS engine lag.</w:t>
              <w:br/>
            </w:r>
            <w:r>
              <w:rPr>
                <w:rFonts w:ascii="Arial" w:hAnsi="Arial"/>
                <w:color w:val="1E293B"/>
                <w:sz w:val="16"/>
              </w:rPr>
              <w:t>• NCT Boundary + Gateway Buffer: Incorporates high-density logistics and commuter transfer nodes across border toll plazas (Kapashera, Badarpur, Kundli) where cross-border commercial fleets enter the capital network.</w:t>
            </w:r>
          </w:p>
        </w:tc>
      </w:tr>
    </w:tbl>
    <w:p>
      <w:r>
        <w:br w:type="page"/>
      </w:r>
    </w:p>
    <w:p>
      <w:pPr>
        <w:keepNext/>
        <w:spacing w:before="40" w:after="40"/>
      </w:pPr>
      <w:r>
        <w:rPr>
          <w:rFonts w:ascii="Arial" w:hAnsi="Arial"/>
          <w:b/>
          <w:color w:val="0F766E"/>
          <w:sz w:val="23"/>
        </w:rPr>
        <w:t>3. Explainable Spatial AI, Forecasting &amp; Capacity Sizing Engine</w:t>
      </w:r>
    </w:p>
    <w:p>
      <w:pPr>
        <w:spacing w:after="50" w:line="254" w:lineRule="auto"/>
      </w:pPr>
      <w:r>
        <w:rPr>
          <w:rFonts w:ascii="Arial" w:hAnsi="Arial"/>
          <w:b/>
          <w:color w:val="0F172A"/>
          <w:sz w:val="18"/>
        </w:rPr>
        <w:t xml:space="preserve">1. Supervised Machine Learning Regressor: </w:t>
      </w:r>
      <w:r>
        <w:rPr>
          <w:rFonts w:ascii="Arial" w:hAnsi="Arial"/>
          <w:color w:val="334155"/>
          <w:sz w:val="18"/>
        </w:rPr>
        <w:t>Supervised Spatial Demand ML Regressor: Rather than adopting arbitrary heuristic scoring weights, GridSight EV deploys a Random Forest Regressor (120 estimators, maximum tree depth 6) trained on the 375 planning cells against observed charging station density from 876 verified Switch Delhi stations. The model achieves R² = 0.796 (5-fold cross-validation R² = 0.333 ± 0.096, MAE = 5.85). The lower cross-validation R² transparently reflects real-world supply-demand spatial decoupling—historical station siting followed municipal land availability rather than pure demand density. Feature importances derived from the trained regressor establish objective spatial weights: Population Density (49.65%), Commercial Activity POIs (13.14%), Commercial Attractor Hubs (9.53%), Distance to Feeder Substation (9.14%), Major Road Density (8.32%), Public Transit Interchanges (6.69%), and Local Substation / DT Count (3.55%).</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E2E8F0"/>
              <w:left w:val="single" w:sz="18" w:space="0" w:color="0F766E"/>
              <w:bottom w:val="single" w:sz="4" w:space="0" w:color="E2E8F0"/>
              <w:right w:val="single" w:sz="4" w:space="0" w:color="E2E8F0"/>
            </w:tcBorders>
            <w:shd w:fill="F8FAFC"/>
            <w:tcMar>
              <w:top w:w="40" w:type="dxa"/>
              <w:bottom w:w="40" w:type="dxa"/>
              <w:left w:w="80" w:type="dxa"/>
              <w:right w:w="80" w:type="dxa"/>
            </w:tcMar>
          </w:tcPr>
          <w:p>
            <w:pPr>
              <w:spacing w:before="0" w:after="0" w:line="250" w:lineRule="auto"/>
            </w:pPr>
            <w:r>
              <w:rPr>
                <w:rFonts w:ascii="Arial" w:hAnsi="Arial"/>
                <w:b/>
                <w:color w:val="0F766E"/>
                <w:sz w:val="17"/>
              </w:rPr>
              <w:t xml:space="preserve">[Eq. 2]  </w:t>
            </w:r>
            <w:r>
              <w:rPr>
                <w:rFonts w:ascii="Arial" w:hAnsi="Arial"/>
                <w:b/>
                <w:color w:val="0F172A"/>
                <w:sz w:val="18"/>
              </w:rPr>
              <w:t>D_AI = f_RF(Pop, POI_comm, Transit, Roads, Dist_substation, DT_count) ∈ [0, 100]</w:t>
            </w:r>
            <w:r>
              <w:rPr>
                <w:rFonts w:ascii="Arial" w:hAnsi="Arial"/>
                <w:color w:val="64748B"/>
                <w:sz w:val="16"/>
              </w:rPr>
              <w:t xml:space="preserve">   — Trained on 375 cells against 876 ground-truth stations (MAE = 5.85).</w:t>
            </w:r>
          </w:p>
        </w:tc>
      </w:tr>
    </w:tbl>
    <w:p>
      <w:pPr>
        <w:spacing w:after="50" w:line="254" w:lineRule="auto"/>
      </w:pPr>
      <w:r>
        <w:rPr>
          <w:rFonts w:ascii="Arial" w:hAnsi="Arial"/>
          <w:b/>
          <w:color w:val="0F172A"/>
          <w:sz w:val="18"/>
        </w:rPr>
        <w:t xml:space="preserve">2. Continuous Distance-Decay Formulation: </w:t>
      </w:r>
      <w:r>
        <w:rPr>
          <w:rFonts w:ascii="Arial" w:hAnsi="Arial"/>
          <w:color w:val="334155"/>
          <w:sz w:val="18"/>
        </w:rPr>
        <w:t>Continuous Sigmoid Distance-Decay Priority Kernel: Conventional planners use discontinuous step-functions where priority jumps abruptly from 0 to 0.65 D at distance r. GridSight EV implements a continuous 4th-order Sigmoid distance-decay formulation:</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E2E8F0"/>
              <w:left w:val="single" w:sz="18" w:space="0" w:color="0F766E"/>
              <w:bottom w:val="single" w:sz="4" w:space="0" w:color="E2E8F0"/>
              <w:right w:val="single" w:sz="4" w:space="0" w:color="E2E8F0"/>
            </w:tcBorders>
            <w:shd w:fill="F8FAFC"/>
            <w:tcMar>
              <w:top w:w="40" w:type="dxa"/>
              <w:bottom w:w="40" w:type="dxa"/>
              <w:left w:w="80" w:type="dxa"/>
              <w:right w:w="80" w:type="dxa"/>
            </w:tcMar>
          </w:tcPr>
          <w:p>
            <w:pPr>
              <w:spacing w:before="0" w:after="0" w:line="250" w:lineRule="auto"/>
            </w:pPr>
            <w:r>
              <w:rPr>
                <w:rFonts w:ascii="Arial" w:hAnsi="Arial"/>
                <w:b/>
                <w:color w:val="0F766E"/>
                <w:sz w:val="17"/>
              </w:rPr>
              <w:t xml:space="preserve">[Eq. 3]  </w:t>
            </w:r>
            <w:r>
              <w:rPr>
                <w:rFonts w:ascii="Arial" w:hAnsi="Arial"/>
                <w:b/>
                <w:color w:val="0F172A"/>
                <w:sz w:val="18"/>
              </w:rPr>
              <w:t>S = D_AI × [ 1 - 1 / (1 + (d / r)^4) ]</w:t>
            </w:r>
            <w:r>
              <w:rPr>
                <w:rFonts w:ascii="Arial" w:hAnsi="Arial"/>
                <w:color w:val="64748B"/>
                <w:sz w:val="16"/>
              </w:rPr>
              <w:t xml:space="preserve">   — Smooth decay: S → 0 when d ≪ r; S = 0.50 D_AI at d = r; S → D_AI when d ≫ r.</w:t>
            </w:r>
          </w:p>
        </w:tc>
      </w:tr>
    </w:tbl>
    <w:p>
      <w:pPr>
        <w:spacing w:after="50" w:line="254" w:lineRule="auto"/>
      </w:pPr>
      <w:r>
        <w:rPr>
          <w:rFonts w:ascii="Arial" w:hAnsi="Arial"/>
          <w:b/>
          <w:color w:val="0F172A"/>
          <w:sz w:val="18"/>
        </w:rPr>
        <w:t xml:space="preserve">3. Bass Diffusion Fleet Growth Forecasting: </w:t>
      </w:r>
      <w:r>
        <w:rPr>
          <w:rFonts w:ascii="Arial" w:hAnsi="Arial"/>
          <w:color w:val="334155"/>
          <w:sz w:val="18"/>
        </w:rPr>
        <w:t>Predictive Fleet Forecasting via Bass Diffusion Model: To model non-linear market adoption through 2030, GridSight EV calibrates the Bass Diffusion Model on 68 months of historical MoRTH VAHAN registrations (2018–2026) using Non-linear Least Squares (R² = 0.992):</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E2E8F0"/>
              <w:left w:val="single" w:sz="18" w:space="0" w:color="0F766E"/>
              <w:bottom w:val="single" w:sz="4" w:space="0" w:color="E2E8F0"/>
              <w:right w:val="single" w:sz="4" w:space="0" w:color="E2E8F0"/>
            </w:tcBorders>
            <w:shd w:fill="F8FAFC"/>
            <w:tcMar>
              <w:top w:w="40" w:type="dxa"/>
              <w:bottom w:w="40" w:type="dxa"/>
              <w:left w:w="80" w:type="dxa"/>
              <w:right w:w="80" w:type="dxa"/>
            </w:tcMar>
          </w:tcPr>
          <w:p>
            <w:pPr>
              <w:spacing w:before="0" w:after="0" w:line="250" w:lineRule="auto"/>
            </w:pPr>
            <w:r>
              <w:rPr>
                <w:rFonts w:ascii="Arial" w:hAnsi="Arial"/>
                <w:b/>
                <w:color w:val="0F766E"/>
                <w:sz w:val="17"/>
              </w:rPr>
              <w:t xml:space="preserve">[Eq. 5A]  </w:t>
            </w:r>
            <w:r>
              <w:rPr>
                <w:rFonts w:ascii="Arial" w:hAnsi="Arial"/>
                <w:b/>
                <w:color w:val="0F172A"/>
                <w:sz w:val="18"/>
              </w:rPr>
              <w:t>S(t) = dN(t)/dt = [ p + (q / M) N(t) ] [ M - N(t) ]</w:t>
            </w:r>
            <w:r>
              <w:rPr>
                <w:rFonts w:ascii="Arial" w:hAnsi="Arial"/>
                <w:color w:val="64748B"/>
                <w:sz w:val="16"/>
              </w:rPr>
              <w:t xml:space="preserve">   — Calibrated: p = 0.0114 (innovation), q = 0.4963 (imitation), M = 20.0M national ceiling.</w:t>
            </w:r>
          </w:p>
        </w:tc>
      </w:tr>
    </w:tbl>
    <w:p>
      <w:pPr>
        <w:spacing w:after="50" w:line="254" w:lineRule="auto"/>
      </w:pPr>
      <w:r>
        <w:rPr>
          <w:rFonts w:ascii="Arial" w:hAnsi="Arial"/>
          <w:color w:val="334155"/>
          <w:sz w:val="18"/>
        </w:rPr>
        <w:t>The calibrated Bass model projects: (a) 2026 Baseline: 11.23M national EVs (P10: 8.16M, P90: 14.54M); Delhi active fleet: 577,295 EVs. (b) 2028 Mid-Term: 15.63M national EVs (P10: 12.23M, P90: 18.71M); Delhi active fleet: 803,300 EVs. (c) 2030 Target: 18.17M national EVs (P10: 15.27M, P90: 20.58M); Delhi active fleet: 933,751 EVs.</w:t>
      </w:r>
    </w:p>
    <w:p>
      <w:pPr>
        <w:spacing w:after="50" w:line="254" w:lineRule="auto"/>
      </w:pPr>
      <w:r>
        <w:rPr>
          <w:rFonts w:ascii="Arial" w:hAnsi="Arial"/>
          <w:b/>
          <w:color w:val="0F172A"/>
          <w:sz w:val="18"/>
        </w:rPr>
        <w:t xml:space="preserve">4. Daily Energy Balance &amp; Infrastructure Sizing: </w:t>
      </w:r>
      <w:r>
        <w:rPr>
          <w:rFonts w:ascii="Arial" w:hAnsi="Arial"/>
          <w:color w:val="334155"/>
          <w:sz w:val="18"/>
        </w:rPr>
        <w:t>Bottom-Up Daily Public Energy Demand Balance: Total public charging energy demand across vehicle classes k ∈ {2W, 3W, 4W, Bus, Goods} is calculated as:</w:t>
      </w:r>
    </w:p>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E2E8F0"/>
              <w:left w:val="single" w:sz="18" w:space="0" w:color="0F766E"/>
              <w:bottom w:val="single" w:sz="4" w:space="0" w:color="E2E8F0"/>
              <w:right w:val="single" w:sz="4" w:space="0" w:color="E2E8F0"/>
            </w:tcBorders>
            <w:shd w:fill="F8FAFC"/>
            <w:tcMar>
              <w:top w:w="40" w:type="dxa"/>
              <w:bottom w:w="40" w:type="dxa"/>
              <w:left w:w="80" w:type="dxa"/>
              <w:right w:w="80" w:type="dxa"/>
            </w:tcMar>
          </w:tcPr>
          <w:p>
            <w:pPr>
              <w:spacing w:before="0" w:after="0" w:line="250" w:lineRule="auto"/>
            </w:pPr>
            <w:r>
              <w:rPr>
                <w:rFonts w:ascii="Arial" w:hAnsi="Arial"/>
                <w:b/>
                <w:color w:val="0F766E"/>
                <w:sz w:val="17"/>
              </w:rPr>
              <w:t xml:space="preserve">[Eq. 5B]  </w:t>
            </w:r>
            <w:r>
              <w:rPr>
                <w:rFonts w:ascii="Arial" w:hAnsi="Arial"/>
                <w:b/>
                <w:color w:val="0F172A"/>
                <w:sz w:val="18"/>
              </w:rPr>
              <w:t>E_k = V_k,2030 × e_k × φ_k,s   (kWh/day)</w:t>
            </w:r>
            <w:r>
              <w:rPr>
                <w:rFonts w:ascii="Arial" w:hAnsi="Arial"/>
                <w:color w:val="64748B"/>
                <w:sz w:val="16"/>
              </w:rPr>
              <w:t xml:space="preserve">   — where V_k,2030 is projected fleet, e_k is daily consumption, and φ_k,s is public charging reliance.</w:t>
            </w:r>
          </w:p>
        </w:tc>
      </w:tr>
    </w:tbl>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1440"/>
        <w:gridCol w:w="1584"/>
        <w:gridCol w:w="1728"/>
        <w:gridCol w:w="1584"/>
        <w:gridCol w:w="1872"/>
        <w:gridCol w:w="2016"/>
      </w:tblGrid>
      <w:tr>
        <w:trPr>
          <w:cantSplit/>
        </w:trPr>
        <w:tc>
          <w:tcPr>
            <w:tcW w:type="dxa" w:w="1706"/>
            <w:shd w:fill="0F766E"/>
            <w:tcMar>
              <w:top w:w="30" w:type="dxa"/>
              <w:bottom w:w="30" w:type="dxa"/>
              <w:left w:w="45" w:type="dxa"/>
              <w:right w:w="45" w:type="dxa"/>
            </w:tcMar>
          </w:tcPr>
          <w:p>
            <w:pPr>
              <w:spacing w:after="0" w:line="240" w:lineRule="auto"/>
            </w:pPr>
            <w:r>
              <w:rPr>
                <w:b/>
                <w:color w:val="FFFFFF"/>
                <w:sz w:val="15"/>
              </w:rPr>
              <w:t>Vehicle Class</w:t>
            </w:r>
          </w:p>
        </w:tc>
        <w:tc>
          <w:tcPr>
            <w:tcW w:type="dxa" w:w="1706"/>
            <w:shd w:fill="0F766E"/>
            <w:tcMar>
              <w:top w:w="30" w:type="dxa"/>
              <w:bottom w:w="30" w:type="dxa"/>
              <w:left w:w="45" w:type="dxa"/>
              <w:right w:w="45" w:type="dxa"/>
            </w:tcMar>
          </w:tcPr>
          <w:p>
            <w:pPr>
              <w:spacing w:after="0" w:line="240" w:lineRule="auto"/>
            </w:pPr>
            <w:r>
              <w:rPr>
                <w:b/>
                <w:color w:val="FFFFFF"/>
                <w:sz w:val="15"/>
              </w:rPr>
              <w:t>Daily km</w:t>
            </w:r>
          </w:p>
        </w:tc>
        <w:tc>
          <w:tcPr>
            <w:tcW w:type="dxa" w:w="1706"/>
            <w:shd w:fill="0F766E"/>
            <w:tcMar>
              <w:top w:w="30" w:type="dxa"/>
              <w:bottom w:w="30" w:type="dxa"/>
              <w:left w:w="45" w:type="dxa"/>
              <w:right w:w="45" w:type="dxa"/>
            </w:tcMar>
          </w:tcPr>
          <w:p>
            <w:pPr>
              <w:spacing w:after="0" w:line="240" w:lineRule="auto"/>
            </w:pPr>
            <w:r>
              <w:rPr>
                <w:b/>
                <w:color w:val="FFFFFF"/>
                <w:sz w:val="15"/>
              </w:rPr>
              <w:t>Specific Energy</w:t>
            </w:r>
          </w:p>
        </w:tc>
        <w:tc>
          <w:tcPr>
            <w:tcW w:type="dxa" w:w="1706"/>
            <w:shd w:fill="0F766E"/>
            <w:tcMar>
              <w:top w:w="30" w:type="dxa"/>
              <w:bottom w:w="30" w:type="dxa"/>
              <w:left w:w="45" w:type="dxa"/>
              <w:right w:w="45" w:type="dxa"/>
            </w:tcMar>
          </w:tcPr>
          <w:p>
            <w:pPr>
              <w:spacing w:after="0" w:line="240" w:lineRule="auto"/>
            </w:pPr>
            <w:r>
              <w:rPr>
                <w:b/>
                <w:color w:val="FFFFFF"/>
                <w:sz w:val="15"/>
              </w:rPr>
              <w:t>Daily kWh (e_k)</w:t>
            </w:r>
          </w:p>
        </w:tc>
        <w:tc>
          <w:tcPr>
            <w:tcW w:type="dxa" w:w="1706"/>
            <w:shd w:fill="0F766E"/>
            <w:tcMar>
              <w:top w:w="30" w:type="dxa"/>
              <w:bottom w:w="30" w:type="dxa"/>
              <w:left w:w="45" w:type="dxa"/>
              <w:right w:w="45" w:type="dxa"/>
            </w:tcMar>
          </w:tcPr>
          <w:p>
            <w:pPr>
              <w:spacing w:after="0" w:line="240" w:lineRule="auto"/>
            </w:pPr>
            <w:r>
              <w:rPr>
                <w:b/>
                <w:color w:val="FFFFFF"/>
                <w:sz w:val="15"/>
              </w:rPr>
              <w:t>Public Reliance (φ)</w:t>
            </w:r>
          </w:p>
        </w:tc>
        <w:tc>
          <w:tcPr>
            <w:tcW w:type="dxa" w:w="1706"/>
            <w:shd w:fill="0F766E"/>
            <w:tcMar>
              <w:top w:w="30" w:type="dxa"/>
              <w:bottom w:w="30" w:type="dxa"/>
              <w:left w:w="45" w:type="dxa"/>
              <w:right w:w="45" w:type="dxa"/>
            </w:tcMar>
          </w:tcPr>
          <w:p>
            <w:pPr>
              <w:spacing w:after="0" w:line="240" w:lineRule="auto"/>
            </w:pPr>
            <w:r>
              <w:rPr>
                <w:b/>
                <w:color w:val="FFFFFF"/>
                <w:sz w:val="15"/>
              </w:rPr>
              <w:t>Charging / Swap Split</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2-Wheelers (2W)</w:t>
            </w:r>
          </w:p>
        </w:tc>
        <w:tc>
          <w:tcPr>
            <w:tcW w:type="dxa" w:w="1706"/>
            <w:shd w:fill="FFFFFF"/>
            <w:tcMar>
              <w:top w:w="25" w:type="dxa"/>
              <w:bottom w:w="25" w:type="dxa"/>
              <w:left w:w="45" w:type="dxa"/>
              <w:right w:w="45" w:type="dxa"/>
            </w:tcMar>
          </w:tcPr>
          <w:p>
            <w:pPr>
              <w:spacing w:after="0" w:line="240" w:lineRule="auto"/>
            </w:pPr>
            <w:r>
              <w:rPr>
                <w:color w:val="1E293B"/>
                <w:sz w:val="14"/>
              </w:rPr>
              <w:t>32 km/day</w:t>
            </w:r>
          </w:p>
        </w:tc>
        <w:tc>
          <w:tcPr>
            <w:tcW w:type="dxa" w:w="1706"/>
            <w:shd w:fill="FFFFFF"/>
            <w:tcMar>
              <w:top w:w="25" w:type="dxa"/>
              <w:bottom w:w="25" w:type="dxa"/>
              <w:left w:w="45" w:type="dxa"/>
              <w:right w:w="45" w:type="dxa"/>
            </w:tcMar>
          </w:tcPr>
          <w:p>
            <w:pPr>
              <w:spacing w:after="0" w:line="240" w:lineRule="auto"/>
            </w:pPr>
            <w:r>
              <w:rPr>
                <w:color w:val="1E293B"/>
                <w:sz w:val="14"/>
              </w:rPr>
              <w:t>0.032 kWh/km</w:t>
            </w:r>
          </w:p>
        </w:tc>
        <w:tc>
          <w:tcPr>
            <w:tcW w:type="dxa" w:w="1706"/>
            <w:shd w:fill="FFFFFF"/>
            <w:tcMar>
              <w:top w:w="25" w:type="dxa"/>
              <w:bottom w:w="25" w:type="dxa"/>
              <w:left w:w="45" w:type="dxa"/>
              <w:right w:w="45" w:type="dxa"/>
            </w:tcMar>
          </w:tcPr>
          <w:p>
            <w:pPr>
              <w:spacing w:after="0" w:line="240" w:lineRule="auto"/>
            </w:pPr>
            <w:r>
              <w:rPr>
                <w:color w:val="1E293B"/>
                <w:sz w:val="14"/>
              </w:rPr>
              <w:t>1.024 kWh/day</w:t>
            </w:r>
          </w:p>
        </w:tc>
        <w:tc>
          <w:tcPr>
            <w:tcW w:type="dxa" w:w="1706"/>
            <w:shd w:fill="FFFFFF"/>
            <w:tcMar>
              <w:top w:w="25" w:type="dxa"/>
              <w:bottom w:w="25" w:type="dxa"/>
              <w:left w:w="45" w:type="dxa"/>
              <w:right w:w="45" w:type="dxa"/>
            </w:tcMar>
          </w:tcPr>
          <w:p>
            <w:pPr>
              <w:spacing w:after="0" w:line="240" w:lineRule="auto"/>
            </w:pPr>
            <w:r>
              <w:rPr>
                <w:color w:val="1E293B"/>
                <w:sz w:val="14"/>
              </w:rPr>
              <w:t>20% (80% home)</w:t>
            </w:r>
          </w:p>
        </w:tc>
        <w:tc>
          <w:tcPr>
            <w:tcW w:type="dxa" w:w="1706"/>
            <w:shd w:fill="FFFFFF"/>
            <w:tcMar>
              <w:top w:w="25" w:type="dxa"/>
              <w:bottom w:w="25" w:type="dxa"/>
              <w:left w:w="45" w:type="dxa"/>
              <w:right w:w="45" w:type="dxa"/>
            </w:tcMar>
          </w:tcPr>
          <w:p>
            <w:pPr>
              <w:spacing w:after="0" w:line="240" w:lineRule="auto"/>
            </w:pPr>
            <w:r>
              <w:rPr>
                <w:color w:val="1E293B"/>
                <w:sz w:val="14"/>
              </w:rPr>
              <w:t>35% Swap / 55% AC / 10% DC</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3-Wheelers (3W)</w:t>
            </w:r>
          </w:p>
        </w:tc>
        <w:tc>
          <w:tcPr>
            <w:tcW w:type="dxa" w:w="1706"/>
            <w:shd w:fill="F8FAFC"/>
            <w:tcMar>
              <w:top w:w="25" w:type="dxa"/>
              <w:bottom w:w="25" w:type="dxa"/>
              <w:left w:w="45" w:type="dxa"/>
              <w:right w:w="45" w:type="dxa"/>
            </w:tcMar>
          </w:tcPr>
          <w:p>
            <w:pPr>
              <w:spacing w:after="0" w:line="240" w:lineRule="auto"/>
            </w:pPr>
            <w:r>
              <w:rPr>
                <w:color w:val="1E293B"/>
                <w:sz w:val="14"/>
              </w:rPr>
              <w:t>85 km/day</w:t>
            </w:r>
          </w:p>
        </w:tc>
        <w:tc>
          <w:tcPr>
            <w:tcW w:type="dxa" w:w="1706"/>
            <w:shd w:fill="F8FAFC"/>
            <w:tcMar>
              <w:top w:w="25" w:type="dxa"/>
              <w:bottom w:w="25" w:type="dxa"/>
              <w:left w:w="45" w:type="dxa"/>
              <w:right w:w="45" w:type="dxa"/>
            </w:tcMar>
          </w:tcPr>
          <w:p>
            <w:pPr>
              <w:spacing w:after="0" w:line="240" w:lineRule="auto"/>
            </w:pPr>
            <w:r>
              <w:rPr>
                <w:color w:val="1E293B"/>
                <w:sz w:val="14"/>
              </w:rPr>
              <w:t>0.075 kWh/km</w:t>
            </w:r>
          </w:p>
        </w:tc>
        <w:tc>
          <w:tcPr>
            <w:tcW w:type="dxa" w:w="1706"/>
            <w:shd w:fill="F8FAFC"/>
            <w:tcMar>
              <w:top w:w="25" w:type="dxa"/>
              <w:bottom w:w="25" w:type="dxa"/>
              <w:left w:w="45" w:type="dxa"/>
              <w:right w:w="45" w:type="dxa"/>
            </w:tcMar>
          </w:tcPr>
          <w:p>
            <w:pPr>
              <w:spacing w:after="0" w:line="240" w:lineRule="auto"/>
            </w:pPr>
            <w:r>
              <w:rPr>
                <w:color w:val="1E293B"/>
                <w:sz w:val="14"/>
              </w:rPr>
              <w:t>6.375 kWh/day</w:t>
            </w:r>
          </w:p>
        </w:tc>
        <w:tc>
          <w:tcPr>
            <w:tcW w:type="dxa" w:w="1706"/>
            <w:shd w:fill="F8FAFC"/>
            <w:tcMar>
              <w:top w:w="25" w:type="dxa"/>
              <w:bottom w:w="25" w:type="dxa"/>
              <w:left w:w="45" w:type="dxa"/>
              <w:right w:w="45" w:type="dxa"/>
            </w:tcMar>
          </w:tcPr>
          <w:p>
            <w:pPr>
              <w:spacing w:after="0" w:line="240" w:lineRule="auto"/>
            </w:pPr>
            <w:r>
              <w:rPr>
                <w:color w:val="1E293B"/>
                <w:sz w:val="14"/>
              </w:rPr>
              <w:t>55% (45% depot)</w:t>
            </w:r>
          </w:p>
        </w:tc>
        <w:tc>
          <w:tcPr>
            <w:tcW w:type="dxa" w:w="1706"/>
            <w:shd w:fill="F8FAFC"/>
            <w:tcMar>
              <w:top w:w="25" w:type="dxa"/>
              <w:bottom w:w="25" w:type="dxa"/>
              <w:left w:w="45" w:type="dxa"/>
              <w:right w:w="45" w:type="dxa"/>
            </w:tcMar>
          </w:tcPr>
          <w:p>
            <w:pPr>
              <w:spacing w:after="0" w:line="240" w:lineRule="auto"/>
            </w:pPr>
            <w:r>
              <w:rPr>
                <w:color w:val="1E293B"/>
                <w:sz w:val="14"/>
              </w:rPr>
              <w:t>35% Swap / 55% AC / 10% DC</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4W Commercial/Cab</w:t>
            </w:r>
          </w:p>
        </w:tc>
        <w:tc>
          <w:tcPr>
            <w:tcW w:type="dxa" w:w="1706"/>
            <w:shd w:fill="FFFFFF"/>
            <w:tcMar>
              <w:top w:w="25" w:type="dxa"/>
              <w:bottom w:w="25" w:type="dxa"/>
              <w:left w:w="45" w:type="dxa"/>
              <w:right w:w="45" w:type="dxa"/>
            </w:tcMar>
          </w:tcPr>
          <w:p>
            <w:pPr>
              <w:spacing w:after="0" w:line="240" w:lineRule="auto"/>
            </w:pPr>
            <w:r>
              <w:rPr>
                <w:color w:val="1E293B"/>
                <w:sz w:val="14"/>
              </w:rPr>
              <w:t>48 km/day</w:t>
            </w:r>
          </w:p>
        </w:tc>
        <w:tc>
          <w:tcPr>
            <w:tcW w:type="dxa" w:w="1706"/>
            <w:shd w:fill="FFFFFF"/>
            <w:tcMar>
              <w:top w:w="25" w:type="dxa"/>
              <w:bottom w:w="25" w:type="dxa"/>
              <w:left w:w="45" w:type="dxa"/>
              <w:right w:w="45" w:type="dxa"/>
            </w:tcMar>
          </w:tcPr>
          <w:p>
            <w:pPr>
              <w:spacing w:after="0" w:line="240" w:lineRule="auto"/>
            </w:pPr>
            <w:r>
              <w:rPr>
                <w:color w:val="1E293B"/>
                <w:sz w:val="14"/>
              </w:rPr>
              <w:t>0.145 kWh/km</w:t>
            </w:r>
          </w:p>
        </w:tc>
        <w:tc>
          <w:tcPr>
            <w:tcW w:type="dxa" w:w="1706"/>
            <w:shd w:fill="FFFFFF"/>
            <w:tcMar>
              <w:top w:w="25" w:type="dxa"/>
              <w:bottom w:w="25" w:type="dxa"/>
              <w:left w:w="45" w:type="dxa"/>
              <w:right w:w="45" w:type="dxa"/>
            </w:tcMar>
          </w:tcPr>
          <w:p>
            <w:pPr>
              <w:spacing w:after="0" w:line="240" w:lineRule="auto"/>
            </w:pPr>
            <w:r>
              <w:rPr>
                <w:color w:val="1E293B"/>
                <w:sz w:val="14"/>
              </w:rPr>
              <w:t>6.960 kWh/day</w:t>
            </w:r>
          </w:p>
        </w:tc>
        <w:tc>
          <w:tcPr>
            <w:tcW w:type="dxa" w:w="1706"/>
            <w:shd w:fill="FFFFFF"/>
            <w:tcMar>
              <w:top w:w="25" w:type="dxa"/>
              <w:bottom w:w="25" w:type="dxa"/>
              <w:left w:w="45" w:type="dxa"/>
              <w:right w:w="45" w:type="dxa"/>
            </w:tcMar>
          </w:tcPr>
          <w:p>
            <w:pPr>
              <w:spacing w:after="0" w:line="240" w:lineRule="auto"/>
            </w:pPr>
            <w:r>
              <w:rPr>
                <w:color w:val="1E293B"/>
                <w:sz w:val="14"/>
              </w:rPr>
              <w:t>32% (68% private)</w:t>
            </w:r>
          </w:p>
        </w:tc>
        <w:tc>
          <w:tcPr>
            <w:tcW w:type="dxa" w:w="1706"/>
            <w:shd w:fill="FFFFFF"/>
            <w:tcMar>
              <w:top w:w="25" w:type="dxa"/>
              <w:bottom w:w="25" w:type="dxa"/>
              <w:left w:w="45" w:type="dxa"/>
              <w:right w:w="45" w:type="dxa"/>
            </w:tcMar>
          </w:tcPr>
          <w:p>
            <w:pPr>
              <w:spacing w:after="0" w:line="240" w:lineRule="auto"/>
            </w:pPr>
            <w:r>
              <w:rPr>
                <w:color w:val="1E293B"/>
                <w:sz w:val="14"/>
              </w:rPr>
              <w:t>0% Swap / 35% AC / 65% DC Fast</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e-Buses</w:t>
            </w:r>
          </w:p>
        </w:tc>
        <w:tc>
          <w:tcPr>
            <w:tcW w:type="dxa" w:w="1706"/>
            <w:shd w:fill="F8FAFC"/>
            <w:tcMar>
              <w:top w:w="25" w:type="dxa"/>
              <w:bottom w:w="25" w:type="dxa"/>
              <w:left w:w="45" w:type="dxa"/>
              <w:right w:w="45" w:type="dxa"/>
            </w:tcMar>
          </w:tcPr>
          <w:p>
            <w:pPr>
              <w:spacing w:after="0" w:line="240" w:lineRule="auto"/>
            </w:pPr>
            <w:r>
              <w:rPr>
                <w:color w:val="1E293B"/>
                <w:sz w:val="14"/>
              </w:rPr>
              <w:t>180 km/day</w:t>
            </w:r>
          </w:p>
        </w:tc>
        <w:tc>
          <w:tcPr>
            <w:tcW w:type="dxa" w:w="1706"/>
            <w:shd w:fill="F8FAFC"/>
            <w:tcMar>
              <w:top w:w="25" w:type="dxa"/>
              <w:bottom w:w="25" w:type="dxa"/>
              <w:left w:w="45" w:type="dxa"/>
              <w:right w:w="45" w:type="dxa"/>
            </w:tcMar>
          </w:tcPr>
          <w:p>
            <w:pPr>
              <w:spacing w:after="0" w:line="240" w:lineRule="auto"/>
            </w:pPr>
            <w:r>
              <w:rPr>
                <w:color w:val="1E293B"/>
                <w:sz w:val="14"/>
              </w:rPr>
              <w:t>1.150 kWh/km</w:t>
            </w:r>
          </w:p>
        </w:tc>
        <w:tc>
          <w:tcPr>
            <w:tcW w:type="dxa" w:w="1706"/>
            <w:shd w:fill="F8FAFC"/>
            <w:tcMar>
              <w:top w:w="25" w:type="dxa"/>
              <w:bottom w:w="25" w:type="dxa"/>
              <w:left w:w="45" w:type="dxa"/>
              <w:right w:w="45" w:type="dxa"/>
            </w:tcMar>
          </w:tcPr>
          <w:p>
            <w:pPr>
              <w:spacing w:after="0" w:line="240" w:lineRule="auto"/>
            </w:pPr>
            <w:r>
              <w:rPr>
                <w:color w:val="1E293B"/>
                <w:sz w:val="14"/>
              </w:rPr>
              <w:t>207.00 kWh/day</w:t>
            </w:r>
          </w:p>
        </w:tc>
        <w:tc>
          <w:tcPr>
            <w:tcW w:type="dxa" w:w="1706"/>
            <w:shd w:fill="F8FAFC"/>
            <w:tcMar>
              <w:top w:w="25" w:type="dxa"/>
              <w:bottom w:w="25" w:type="dxa"/>
              <w:left w:w="45" w:type="dxa"/>
              <w:right w:w="45" w:type="dxa"/>
            </w:tcMar>
          </w:tcPr>
          <w:p>
            <w:pPr>
              <w:spacing w:after="0" w:line="240" w:lineRule="auto"/>
            </w:pPr>
            <w:r>
              <w:rPr>
                <w:color w:val="1E293B"/>
                <w:sz w:val="14"/>
              </w:rPr>
              <w:t>20% (80% depot)</w:t>
            </w:r>
          </w:p>
        </w:tc>
        <w:tc>
          <w:tcPr>
            <w:tcW w:type="dxa" w:w="1706"/>
            <w:shd w:fill="F8FAFC"/>
            <w:tcMar>
              <w:top w:w="25" w:type="dxa"/>
              <w:bottom w:w="25" w:type="dxa"/>
              <w:left w:w="45" w:type="dxa"/>
              <w:right w:w="45" w:type="dxa"/>
            </w:tcMar>
          </w:tcPr>
          <w:p>
            <w:pPr>
              <w:spacing w:after="0" w:line="240" w:lineRule="auto"/>
            </w:pPr>
            <w:r>
              <w:rPr>
                <w:color w:val="1E293B"/>
                <w:sz w:val="14"/>
              </w:rPr>
              <w:t>0% Swap / 0% AC / 100% DC Fast</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Light Goods (LCV)</w:t>
            </w:r>
          </w:p>
        </w:tc>
        <w:tc>
          <w:tcPr>
            <w:tcW w:type="dxa" w:w="1706"/>
            <w:shd w:fill="FFFFFF"/>
            <w:tcMar>
              <w:top w:w="25" w:type="dxa"/>
              <w:bottom w:w="25" w:type="dxa"/>
              <w:left w:w="45" w:type="dxa"/>
              <w:right w:w="45" w:type="dxa"/>
            </w:tcMar>
          </w:tcPr>
          <w:p>
            <w:pPr>
              <w:spacing w:after="0" w:line="240" w:lineRule="auto"/>
            </w:pPr>
            <w:r>
              <w:rPr>
                <w:color w:val="1E293B"/>
                <w:sz w:val="14"/>
              </w:rPr>
              <w:t>90 km/day</w:t>
            </w:r>
          </w:p>
        </w:tc>
        <w:tc>
          <w:tcPr>
            <w:tcW w:type="dxa" w:w="1706"/>
            <w:shd w:fill="FFFFFF"/>
            <w:tcMar>
              <w:top w:w="25" w:type="dxa"/>
              <w:bottom w:w="25" w:type="dxa"/>
              <w:left w:w="45" w:type="dxa"/>
              <w:right w:w="45" w:type="dxa"/>
            </w:tcMar>
          </w:tcPr>
          <w:p>
            <w:pPr>
              <w:spacing w:after="0" w:line="240" w:lineRule="auto"/>
            </w:pPr>
            <w:r>
              <w:rPr>
                <w:color w:val="1E293B"/>
                <w:sz w:val="14"/>
              </w:rPr>
              <w:t>0.150 kWh/km</w:t>
            </w:r>
          </w:p>
        </w:tc>
        <w:tc>
          <w:tcPr>
            <w:tcW w:type="dxa" w:w="1706"/>
            <w:shd w:fill="FFFFFF"/>
            <w:tcMar>
              <w:top w:w="25" w:type="dxa"/>
              <w:bottom w:w="25" w:type="dxa"/>
              <w:left w:w="45" w:type="dxa"/>
              <w:right w:w="45" w:type="dxa"/>
            </w:tcMar>
          </w:tcPr>
          <w:p>
            <w:pPr>
              <w:spacing w:after="0" w:line="240" w:lineRule="auto"/>
            </w:pPr>
            <w:r>
              <w:rPr>
                <w:color w:val="1E293B"/>
                <w:sz w:val="14"/>
              </w:rPr>
              <w:t>13.500 kWh/day</w:t>
            </w:r>
          </w:p>
        </w:tc>
        <w:tc>
          <w:tcPr>
            <w:tcW w:type="dxa" w:w="1706"/>
            <w:shd w:fill="FFFFFF"/>
            <w:tcMar>
              <w:top w:w="25" w:type="dxa"/>
              <w:bottom w:w="25" w:type="dxa"/>
              <w:left w:w="45" w:type="dxa"/>
              <w:right w:w="45" w:type="dxa"/>
            </w:tcMar>
          </w:tcPr>
          <w:p>
            <w:pPr>
              <w:spacing w:after="0" w:line="240" w:lineRule="auto"/>
            </w:pPr>
            <w:r>
              <w:rPr>
                <w:color w:val="1E293B"/>
                <w:sz w:val="14"/>
              </w:rPr>
              <w:t>50% (50% depot)</w:t>
            </w:r>
          </w:p>
        </w:tc>
        <w:tc>
          <w:tcPr>
            <w:tcW w:type="dxa" w:w="1706"/>
            <w:shd w:fill="FFFFFF"/>
            <w:tcMar>
              <w:top w:w="25" w:type="dxa"/>
              <w:bottom w:w="25" w:type="dxa"/>
              <w:left w:w="45" w:type="dxa"/>
              <w:right w:w="45" w:type="dxa"/>
            </w:tcMar>
          </w:tcPr>
          <w:p>
            <w:pPr>
              <w:spacing w:after="0" w:line="240" w:lineRule="auto"/>
            </w:pPr>
            <w:r>
              <w:rPr>
                <w:color w:val="1E293B"/>
                <w:sz w:val="14"/>
              </w:rPr>
              <w:t>0% Swap / 25% AC / 75% DC Fast</w:t>
            </w:r>
          </w:p>
        </w:tc>
      </w:tr>
    </w:tbl>
    <w:p>
      <w:pPr>
        <w:spacing w:after="50" w:line="254" w:lineRule="auto"/>
      </w:pPr>
      <w:r>
        <w:rPr>
          <w:rFonts w:ascii="Arial" w:hAnsi="Arial"/>
          <w:color w:val="334155"/>
          <w:sz w:val="18"/>
        </w:rPr>
        <w:t>Hardware Sizing &amp; Power Substitution Matrix: Daily throughput ratings are established as: AC Connector = 4.2 kW × 5.5 h = 23.1 kWh/day; DC Fast Nozzle = 30.0 kW × 6.0 h = 180.0 kWh/day; Battery Swap Docket = 12.5 swaps/day × 2.1 kWh = 26.25 kWh/day. Required EVSE Points = AC + ⌈DC / 1.35⌉; Stations = ⌈Points / 4.5⌉ [Eq. 6]. To prevent low-power sockets from superficially masking fast DC deficits, GridSight EV enforces a Power Substitution Matrix: Net Hardware = max(0, Required - ∑ Installed × η_power) [Eq. 7], where η_power = 1.0 if installed power matches or exceeds target tier, η_power = 0.15 for slow AC against slow AC targets, and η_power = 0.00 for slow AC against DC fast targets.</w:t>
      </w:r>
    </w:p>
    <w:p>
      <w:r>
        <w:br w:type="page"/>
      </w:r>
    </w:p>
    <w:p>
      <w:pPr>
        <w:keepNext/>
        <w:spacing w:before="40" w:after="40"/>
      </w:pPr>
      <w:r>
        <w:rPr>
          <w:rFonts w:ascii="Arial" w:hAnsi="Arial"/>
          <w:b/>
          <w:color w:val="0F766E"/>
          <w:sz w:val="23"/>
        </w:rPr>
        <w:t>4. Empirical Findings, Siting Optimization &amp; Automated Validation</w:t>
      </w:r>
    </w:p>
    <w:p>
      <w:pPr>
        <w:spacing w:after="50" w:line="254" w:lineRule="auto"/>
      </w:pPr>
      <w:r>
        <w:rPr>
          <w:rFonts w:ascii="Arial" w:hAnsi="Arial"/>
          <w:b/>
          <w:color w:val="0F172A"/>
          <w:sz w:val="18"/>
        </w:rPr>
        <w:t xml:space="preserve">Empirical Supply-Demand Discoveries: </w:t>
      </w:r>
      <w:r>
        <w:rPr>
          <w:rFonts w:ascii="Arial" w:hAnsi="Arial"/>
          <w:color w:val="334155"/>
          <w:sz w:val="18"/>
        </w:rPr>
        <w:t>National &amp; Delhi Baseline Findings: Across 36 States/UTs, active EV penetration stands at 3.84% (10,689,490 active EVs out of 278.4M registered vehicles). Four states account for 41.3% of all active EVs: Uttar Pradesh (2,364,570; 9.94% penetration, driven by rural/semi-urban e-rickshaws), Maharashtra (1,064,280; 3.02%), Delhi (549,153; 6.64%), and Karnataka (498,390; 3.65%). In Delhi, 876 verified operational Switch Delhi sites provide 2,437 charging points and 303 swapping stations. Under default r = 1.5 km, geographic coverage appears high (68.3% of urban cells within 1.5 km of a charger), yet volumetric adequacy reveals severe local deficits: commercial 3W and freight delivery clusters in Central, Shahdara, and outer North-West Delhi suffer up to 14,200 kWh/day unserved peak deficits.</w:t>
      </w:r>
    </w:p>
    <w:p>
      <w:pPr>
        <w:spacing w:after="50" w:line="254" w:lineRule="auto"/>
      </w:pPr>
      <w:r>
        <w:rPr>
          <w:rFonts w:ascii="Arial" w:hAnsi="Arial"/>
          <w:b/>
          <w:color w:val="0F172A"/>
          <w:sz w:val="18"/>
        </w:rPr>
        <w:t xml:space="preserve">Constrained Siting Optimizer: </w:t>
      </w:r>
      <w:r>
        <w:rPr>
          <w:rFonts w:ascii="Arial" w:hAnsi="Arial"/>
          <w:color w:val="334155"/>
          <w:sz w:val="18"/>
        </w:rPr>
        <w:t>Multi-Objective Grid-Constrained Siting Optimizer: GridSight EV incorporates a greedy submodular optimization algorithm solving for the Top K optimal candidate infill charging plazas. The objective maximizes cumulative unserved AI demand score: max ∑_{i ∈ selected} S_i, subject to: (1) DISCOM Feeder Distance Constraint: Candidate cells with substation distance &gt; 1.5 km are penalized; cells are stratified into electrical tiers: Tier 1 Feeder Ready (&lt;1.0 km distance, ≥500 kVA spare proxy), Tier 2 Moderate (1.0–2.5 km, 150–250 kVA proxy), and Tier 3 Constrained (&gt;2.5 km). (2) Spatial Anti-Cannibalization Constraint: Selected candidate hubs must maintain a minimum dispersion distance ≥ 1.2 km from one another. Local infill hardware guarantees site redundancy: minimum 2 AC sockets and 1 DC fast nozzle per selected hub (Eq. 4B).</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864"/>
        <w:gridCol w:w="2592"/>
        <w:gridCol w:w="1584"/>
        <w:gridCol w:w="1584"/>
        <w:gridCol w:w="1584"/>
        <w:gridCol w:w="2016"/>
      </w:tblGrid>
      <w:tr>
        <w:trPr>
          <w:cantSplit/>
        </w:trPr>
        <w:tc>
          <w:tcPr>
            <w:tcW w:type="dxa" w:w="1706"/>
            <w:shd w:fill="0F766E"/>
            <w:tcMar>
              <w:top w:w="30" w:type="dxa"/>
              <w:bottom w:w="30" w:type="dxa"/>
              <w:left w:w="45" w:type="dxa"/>
              <w:right w:w="45" w:type="dxa"/>
            </w:tcMar>
          </w:tcPr>
          <w:p>
            <w:pPr>
              <w:spacing w:after="0" w:line="240" w:lineRule="auto"/>
            </w:pPr>
            <w:r>
              <w:rPr>
                <w:b/>
                <w:color w:val="FFFFFF"/>
                <w:sz w:val="15"/>
              </w:rPr>
              <w:t>Rank</w:t>
            </w:r>
          </w:p>
        </w:tc>
        <w:tc>
          <w:tcPr>
            <w:tcW w:type="dxa" w:w="1706"/>
            <w:shd w:fill="0F766E"/>
            <w:tcMar>
              <w:top w:w="30" w:type="dxa"/>
              <w:bottom w:w="30" w:type="dxa"/>
              <w:left w:w="45" w:type="dxa"/>
              <w:right w:w="45" w:type="dxa"/>
            </w:tcMar>
          </w:tcPr>
          <w:p>
            <w:pPr>
              <w:spacing w:after="0" w:line="240" w:lineRule="auto"/>
            </w:pPr>
            <w:r>
              <w:rPr>
                <w:b/>
                <w:color w:val="FFFFFF"/>
                <w:sz w:val="15"/>
              </w:rPr>
              <w:t>Candidate Location / Ward</w:t>
            </w:r>
          </w:p>
        </w:tc>
        <w:tc>
          <w:tcPr>
            <w:tcW w:type="dxa" w:w="1706"/>
            <w:shd w:fill="0F766E"/>
            <w:tcMar>
              <w:top w:w="30" w:type="dxa"/>
              <w:bottom w:w="30" w:type="dxa"/>
              <w:left w:w="45" w:type="dxa"/>
              <w:right w:w="45" w:type="dxa"/>
            </w:tcMar>
          </w:tcPr>
          <w:p>
            <w:pPr>
              <w:spacing w:after="0" w:line="240" w:lineRule="auto"/>
            </w:pPr>
            <w:r>
              <w:rPr>
                <w:b/>
                <w:color w:val="FFFFFF"/>
                <w:sz w:val="15"/>
              </w:rPr>
              <w:t>Grid Coordinates</w:t>
            </w:r>
          </w:p>
        </w:tc>
        <w:tc>
          <w:tcPr>
            <w:tcW w:type="dxa" w:w="1706"/>
            <w:shd w:fill="0F766E"/>
            <w:tcMar>
              <w:top w:w="30" w:type="dxa"/>
              <w:bottom w:w="30" w:type="dxa"/>
              <w:left w:w="45" w:type="dxa"/>
              <w:right w:w="45" w:type="dxa"/>
            </w:tcMar>
          </w:tcPr>
          <w:p>
            <w:pPr>
              <w:spacing w:after="0" w:line="240" w:lineRule="auto"/>
            </w:pPr>
            <w:r>
              <w:rPr>
                <w:b/>
                <w:color w:val="FFFFFF"/>
                <w:sz w:val="15"/>
              </w:rPr>
              <w:t>Unserved Score (S)</w:t>
            </w:r>
          </w:p>
        </w:tc>
        <w:tc>
          <w:tcPr>
            <w:tcW w:type="dxa" w:w="1706"/>
            <w:shd w:fill="0F766E"/>
            <w:tcMar>
              <w:top w:w="30" w:type="dxa"/>
              <w:bottom w:w="30" w:type="dxa"/>
              <w:left w:w="45" w:type="dxa"/>
              <w:right w:w="45" w:type="dxa"/>
            </w:tcMar>
          </w:tcPr>
          <w:p>
            <w:pPr>
              <w:spacing w:after="0" w:line="240" w:lineRule="auto"/>
            </w:pPr>
            <w:r>
              <w:rPr>
                <w:b/>
                <w:color w:val="FFFFFF"/>
                <w:sz w:val="15"/>
              </w:rPr>
              <w:t>Substation Dist</w:t>
            </w:r>
          </w:p>
        </w:tc>
        <w:tc>
          <w:tcPr>
            <w:tcW w:type="dxa" w:w="1706"/>
            <w:shd w:fill="0F766E"/>
            <w:tcMar>
              <w:top w:w="30" w:type="dxa"/>
              <w:bottom w:w="30" w:type="dxa"/>
              <w:left w:w="45" w:type="dxa"/>
              <w:right w:w="45" w:type="dxa"/>
            </w:tcMar>
          </w:tcPr>
          <w:p>
            <w:pPr>
              <w:spacing w:after="0" w:line="240" w:lineRule="auto"/>
            </w:pPr>
            <w:r>
              <w:rPr>
                <w:b/>
                <w:color w:val="FFFFFF"/>
                <w:sz w:val="15"/>
              </w:rPr>
              <w:t>Electrical Feeder Tier</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1</w:t>
            </w:r>
          </w:p>
        </w:tc>
        <w:tc>
          <w:tcPr>
            <w:tcW w:type="dxa" w:w="1706"/>
            <w:shd w:fill="FFFFFF"/>
            <w:tcMar>
              <w:top w:w="25" w:type="dxa"/>
              <w:bottom w:w="25" w:type="dxa"/>
              <w:left w:w="45" w:type="dxa"/>
              <w:right w:w="45" w:type="dxa"/>
            </w:tcMar>
          </w:tcPr>
          <w:p>
            <w:pPr>
              <w:spacing w:after="0" w:line="240" w:lineRule="auto"/>
            </w:pPr>
            <w:r>
              <w:rPr>
                <w:color w:val="1E293B"/>
                <w:sz w:val="14"/>
              </w:rPr>
              <w:t>Burari Transit Transport Hub</w:t>
            </w:r>
          </w:p>
        </w:tc>
        <w:tc>
          <w:tcPr>
            <w:tcW w:type="dxa" w:w="1706"/>
            <w:shd w:fill="FFFFFF"/>
            <w:tcMar>
              <w:top w:w="25" w:type="dxa"/>
              <w:bottom w:w="25" w:type="dxa"/>
              <w:left w:w="45" w:type="dxa"/>
              <w:right w:w="45" w:type="dxa"/>
            </w:tcMar>
          </w:tcPr>
          <w:p>
            <w:pPr>
              <w:spacing w:after="0" w:line="240" w:lineRule="auto"/>
            </w:pPr>
            <w:r>
              <w:rPr>
                <w:color w:val="1E293B"/>
                <w:sz w:val="14"/>
              </w:rPr>
              <w:t>28.751°N, 77.199°E</w:t>
            </w:r>
          </w:p>
        </w:tc>
        <w:tc>
          <w:tcPr>
            <w:tcW w:type="dxa" w:w="1706"/>
            <w:shd w:fill="FFFFFF"/>
            <w:tcMar>
              <w:top w:w="25" w:type="dxa"/>
              <w:bottom w:w="25" w:type="dxa"/>
              <w:left w:w="45" w:type="dxa"/>
              <w:right w:w="45" w:type="dxa"/>
            </w:tcMar>
          </w:tcPr>
          <w:p>
            <w:pPr>
              <w:spacing w:after="0" w:line="240" w:lineRule="auto"/>
            </w:pPr>
            <w:r>
              <w:rPr>
                <w:color w:val="1E293B"/>
                <w:sz w:val="14"/>
              </w:rPr>
              <w:t>88.4 / 100</w:t>
            </w:r>
          </w:p>
        </w:tc>
        <w:tc>
          <w:tcPr>
            <w:tcW w:type="dxa" w:w="1706"/>
            <w:shd w:fill="FFFFFF"/>
            <w:tcMar>
              <w:top w:w="25" w:type="dxa"/>
              <w:bottom w:w="25" w:type="dxa"/>
              <w:left w:w="45" w:type="dxa"/>
              <w:right w:w="45" w:type="dxa"/>
            </w:tcMar>
          </w:tcPr>
          <w:p>
            <w:pPr>
              <w:spacing w:after="0" w:line="240" w:lineRule="auto"/>
            </w:pPr>
            <w:r>
              <w:rPr>
                <w:color w:val="1E293B"/>
                <w:sz w:val="14"/>
              </w:rPr>
              <w:t>410 m</w:t>
            </w:r>
          </w:p>
        </w:tc>
        <w:tc>
          <w:tcPr>
            <w:tcW w:type="dxa" w:w="1706"/>
            <w:shd w:fill="FFFFFF"/>
            <w:tcMar>
              <w:top w:w="25" w:type="dxa"/>
              <w:bottom w:w="25" w:type="dxa"/>
              <w:left w:w="45" w:type="dxa"/>
              <w:right w:w="45" w:type="dxa"/>
            </w:tcMar>
          </w:tcPr>
          <w:p>
            <w:pPr>
              <w:spacing w:after="0" w:line="240" w:lineRule="auto"/>
            </w:pPr>
            <w:r>
              <w:rPr>
                <w:color w:val="1E293B"/>
                <w:sz w:val="14"/>
              </w:rPr>
              <w:t>Tier 1 (Feeder Ready, ≥500 kVA)</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2</w:t>
            </w:r>
          </w:p>
        </w:tc>
        <w:tc>
          <w:tcPr>
            <w:tcW w:type="dxa" w:w="1706"/>
            <w:shd w:fill="F8FAFC"/>
            <w:tcMar>
              <w:top w:w="25" w:type="dxa"/>
              <w:bottom w:w="25" w:type="dxa"/>
              <w:left w:w="45" w:type="dxa"/>
              <w:right w:w="45" w:type="dxa"/>
            </w:tcMar>
          </w:tcPr>
          <w:p>
            <w:pPr>
              <w:spacing w:after="0" w:line="240" w:lineRule="auto"/>
            </w:pPr>
            <w:r>
              <w:rPr>
                <w:color w:val="1E293B"/>
                <w:sz w:val="14"/>
              </w:rPr>
              <w:t>Bawana Industrial Corridor</w:t>
            </w:r>
          </w:p>
        </w:tc>
        <w:tc>
          <w:tcPr>
            <w:tcW w:type="dxa" w:w="1706"/>
            <w:shd w:fill="F8FAFC"/>
            <w:tcMar>
              <w:top w:w="25" w:type="dxa"/>
              <w:bottom w:w="25" w:type="dxa"/>
              <w:left w:w="45" w:type="dxa"/>
              <w:right w:w="45" w:type="dxa"/>
            </w:tcMar>
          </w:tcPr>
          <w:p>
            <w:pPr>
              <w:spacing w:after="0" w:line="240" w:lineRule="auto"/>
            </w:pPr>
            <w:r>
              <w:rPr>
                <w:color w:val="1E293B"/>
                <w:sz w:val="14"/>
              </w:rPr>
              <w:t>28.796°N, 77.035°E</w:t>
            </w:r>
          </w:p>
        </w:tc>
        <w:tc>
          <w:tcPr>
            <w:tcW w:type="dxa" w:w="1706"/>
            <w:shd w:fill="F8FAFC"/>
            <w:tcMar>
              <w:top w:w="25" w:type="dxa"/>
              <w:bottom w:w="25" w:type="dxa"/>
              <w:left w:w="45" w:type="dxa"/>
              <w:right w:w="45" w:type="dxa"/>
            </w:tcMar>
          </w:tcPr>
          <w:p>
            <w:pPr>
              <w:spacing w:after="0" w:line="240" w:lineRule="auto"/>
            </w:pPr>
            <w:r>
              <w:rPr>
                <w:color w:val="1E293B"/>
                <w:sz w:val="14"/>
              </w:rPr>
              <w:t>82.1 / 100</w:t>
            </w:r>
          </w:p>
        </w:tc>
        <w:tc>
          <w:tcPr>
            <w:tcW w:type="dxa" w:w="1706"/>
            <w:shd w:fill="F8FAFC"/>
            <w:tcMar>
              <w:top w:w="25" w:type="dxa"/>
              <w:bottom w:w="25" w:type="dxa"/>
              <w:left w:w="45" w:type="dxa"/>
              <w:right w:w="45" w:type="dxa"/>
            </w:tcMar>
          </w:tcPr>
          <w:p>
            <w:pPr>
              <w:spacing w:after="0" w:line="240" w:lineRule="auto"/>
            </w:pPr>
            <w:r>
              <w:rPr>
                <w:color w:val="1E293B"/>
                <w:sz w:val="14"/>
              </w:rPr>
              <w:t>620 m</w:t>
            </w:r>
          </w:p>
        </w:tc>
        <w:tc>
          <w:tcPr>
            <w:tcW w:type="dxa" w:w="1706"/>
            <w:shd w:fill="F8FAFC"/>
            <w:tcMar>
              <w:top w:w="25" w:type="dxa"/>
              <w:bottom w:w="25" w:type="dxa"/>
              <w:left w:w="45" w:type="dxa"/>
              <w:right w:w="45" w:type="dxa"/>
            </w:tcMar>
          </w:tcPr>
          <w:p>
            <w:pPr>
              <w:spacing w:after="0" w:line="240" w:lineRule="auto"/>
            </w:pPr>
            <w:r>
              <w:rPr>
                <w:color w:val="1E293B"/>
                <w:sz w:val="14"/>
              </w:rPr>
              <w:t>Tier 1 (Feeder Ready, ≥500 kVA)</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3</w:t>
            </w:r>
          </w:p>
        </w:tc>
        <w:tc>
          <w:tcPr>
            <w:tcW w:type="dxa" w:w="1706"/>
            <w:shd w:fill="FFFFFF"/>
            <w:tcMar>
              <w:top w:w="25" w:type="dxa"/>
              <w:bottom w:w="25" w:type="dxa"/>
              <w:left w:w="45" w:type="dxa"/>
              <w:right w:w="45" w:type="dxa"/>
            </w:tcMar>
          </w:tcPr>
          <w:p>
            <w:pPr>
              <w:spacing w:after="0" w:line="240" w:lineRule="auto"/>
            </w:pPr>
            <w:r>
              <w:rPr>
                <w:color w:val="1E293B"/>
                <w:sz w:val="14"/>
              </w:rPr>
              <w:t>Okhla Phase-III Logistics Hub</w:t>
            </w:r>
          </w:p>
        </w:tc>
        <w:tc>
          <w:tcPr>
            <w:tcW w:type="dxa" w:w="1706"/>
            <w:shd w:fill="FFFFFF"/>
            <w:tcMar>
              <w:top w:w="25" w:type="dxa"/>
              <w:bottom w:w="25" w:type="dxa"/>
              <w:left w:w="45" w:type="dxa"/>
              <w:right w:w="45" w:type="dxa"/>
            </w:tcMar>
          </w:tcPr>
          <w:p>
            <w:pPr>
              <w:spacing w:after="0" w:line="240" w:lineRule="auto"/>
            </w:pPr>
            <w:r>
              <w:rPr>
                <w:color w:val="1E293B"/>
                <w:sz w:val="14"/>
              </w:rPr>
              <w:t>28.535°N, 77.271°E</w:t>
            </w:r>
          </w:p>
        </w:tc>
        <w:tc>
          <w:tcPr>
            <w:tcW w:type="dxa" w:w="1706"/>
            <w:shd w:fill="FFFFFF"/>
            <w:tcMar>
              <w:top w:w="25" w:type="dxa"/>
              <w:bottom w:w="25" w:type="dxa"/>
              <w:left w:w="45" w:type="dxa"/>
              <w:right w:w="45" w:type="dxa"/>
            </w:tcMar>
          </w:tcPr>
          <w:p>
            <w:pPr>
              <w:spacing w:after="0" w:line="240" w:lineRule="auto"/>
            </w:pPr>
            <w:r>
              <w:rPr>
                <w:color w:val="1E293B"/>
                <w:sz w:val="14"/>
              </w:rPr>
              <w:t>79.6 / 100</w:t>
            </w:r>
          </w:p>
        </w:tc>
        <w:tc>
          <w:tcPr>
            <w:tcW w:type="dxa" w:w="1706"/>
            <w:shd w:fill="FFFFFF"/>
            <w:tcMar>
              <w:top w:w="25" w:type="dxa"/>
              <w:bottom w:w="25" w:type="dxa"/>
              <w:left w:w="45" w:type="dxa"/>
              <w:right w:w="45" w:type="dxa"/>
            </w:tcMar>
          </w:tcPr>
          <w:p>
            <w:pPr>
              <w:spacing w:after="0" w:line="240" w:lineRule="auto"/>
            </w:pPr>
            <w:r>
              <w:rPr>
                <w:color w:val="1E293B"/>
                <w:sz w:val="14"/>
              </w:rPr>
              <w:t>510 m</w:t>
            </w:r>
          </w:p>
        </w:tc>
        <w:tc>
          <w:tcPr>
            <w:tcW w:type="dxa" w:w="1706"/>
            <w:shd w:fill="FFFFFF"/>
            <w:tcMar>
              <w:top w:w="25" w:type="dxa"/>
              <w:bottom w:w="25" w:type="dxa"/>
              <w:left w:w="45" w:type="dxa"/>
              <w:right w:w="45" w:type="dxa"/>
            </w:tcMar>
          </w:tcPr>
          <w:p>
            <w:pPr>
              <w:spacing w:after="0" w:line="240" w:lineRule="auto"/>
            </w:pPr>
            <w:r>
              <w:rPr>
                <w:color w:val="1E293B"/>
                <w:sz w:val="14"/>
              </w:rPr>
              <w:t>Tier 1 (Feeder Ready, ≥500 kVA)</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4</w:t>
            </w:r>
          </w:p>
        </w:tc>
        <w:tc>
          <w:tcPr>
            <w:tcW w:type="dxa" w:w="1706"/>
            <w:shd w:fill="F8FAFC"/>
            <w:tcMar>
              <w:top w:w="25" w:type="dxa"/>
              <w:bottom w:w="25" w:type="dxa"/>
              <w:left w:w="45" w:type="dxa"/>
              <w:right w:w="45" w:type="dxa"/>
            </w:tcMar>
          </w:tcPr>
          <w:p>
            <w:pPr>
              <w:spacing w:after="0" w:line="240" w:lineRule="auto"/>
            </w:pPr>
            <w:r>
              <w:rPr>
                <w:color w:val="1E293B"/>
                <w:sz w:val="14"/>
              </w:rPr>
              <w:t>Anand Vihar ISBT / Kaushambi</w:t>
            </w:r>
          </w:p>
        </w:tc>
        <w:tc>
          <w:tcPr>
            <w:tcW w:type="dxa" w:w="1706"/>
            <w:shd w:fill="F8FAFC"/>
            <w:tcMar>
              <w:top w:w="25" w:type="dxa"/>
              <w:bottom w:w="25" w:type="dxa"/>
              <w:left w:w="45" w:type="dxa"/>
              <w:right w:w="45" w:type="dxa"/>
            </w:tcMar>
          </w:tcPr>
          <w:p>
            <w:pPr>
              <w:spacing w:after="0" w:line="240" w:lineRule="auto"/>
            </w:pPr>
            <w:r>
              <w:rPr>
                <w:color w:val="1E293B"/>
                <w:sz w:val="14"/>
              </w:rPr>
              <w:t>28.647°N, 77.312°E</w:t>
            </w:r>
          </w:p>
        </w:tc>
        <w:tc>
          <w:tcPr>
            <w:tcW w:type="dxa" w:w="1706"/>
            <w:shd w:fill="F8FAFC"/>
            <w:tcMar>
              <w:top w:w="25" w:type="dxa"/>
              <w:bottom w:w="25" w:type="dxa"/>
              <w:left w:w="45" w:type="dxa"/>
              <w:right w:w="45" w:type="dxa"/>
            </w:tcMar>
          </w:tcPr>
          <w:p>
            <w:pPr>
              <w:spacing w:after="0" w:line="240" w:lineRule="auto"/>
            </w:pPr>
            <w:r>
              <w:rPr>
                <w:color w:val="1E293B"/>
                <w:sz w:val="14"/>
              </w:rPr>
              <w:t>76.3 / 100</w:t>
            </w:r>
          </w:p>
        </w:tc>
        <w:tc>
          <w:tcPr>
            <w:tcW w:type="dxa" w:w="1706"/>
            <w:shd w:fill="F8FAFC"/>
            <w:tcMar>
              <w:top w:w="25" w:type="dxa"/>
              <w:bottom w:w="25" w:type="dxa"/>
              <w:left w:w="45" w:type="dxa"/>
              <w:right w:w="45" w:type="dxa"/>
            </w:tcMar>
          </w:tcPr>
          <w:p>
            <w:pPr>
              <w:spacing w:after="0" w:line="240" w:lineRule="auto"/>
            </w:pPr>
            <w:r>
              <w:rPr>
                <w:color w:val="1E293B"/>
                <w:sz w:val="14"/>
              </w:rPr>
              <w:t>780 m</w:t>
            </w:r>
          </w:p>
        </w:tc>
        <w:tc>
          <w:tcPr>
            <w:tcW w:type="dxa" w:w="1706"/>
            <w:shd w:fill="F8FAFC"/>
            <w:tcMar>
              <w:top w:w="25" w:type="dxa"/>
              <w:bottom w:w="25" w:type="dxa"/>
              <w:left w:w="45" w:type="dxa"/>
              <w:right w:w="45" w:type="dxa"/>
            </w:tcMar>
          </w:tcPr>
          <w:p>
            <w:pPr>
              <w:spacing w:after="0" w:line="240" w:lineRule="auto"/>
            </w:pPr>
            <w:r>
              <w:rPr>
                <w:color w:val="1E293B"/>
                <w:sz w:val="14"/>
              </w:rPr>
              <w:t>Tier 1 (Feeder Ready, ≥500 kVA)</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5</w:t>
            </w:r>
          </w:p>
        </w:tc>
        <w:tc>
          <w:tcPr>
            <w:tcW w:type="dxa" w:w="1706"/>
            <w:shd w:fill="FFFFFF"/>
            <w:tcMar>
              <w:top w:w="25" w:type="dxa"/>
              <w:bottom w:w="25" w:type="dxa"/>
              <w:left w:w="45" w:type="dxa"/>
              <w:right w:w="45" w:type="dxa"/>
            </w:tcMar>
          </w:tcPr>
          <w:p>
            <w:pPr>
              <w:spacing w:after="0" w:line="240" w:lineRule="auto"/>
            </w:pPr>
            <w:r>
              <w:rPr>
                <w:color w:val="1E293B"/>
                <w:sz w:val="14"/>
              </w:rPr>
              <w:t>Najafgarh Freight Exchange</w:t>
            </w:r>
          </w:p>
        </w:tc>
        <w:tc>
          <w:tcPr>
            <w:tcW w:type="dxa" w:w="1706"/>
            <w:shd w:fill="FFFFFF"/>
            <w:tcMar>
              <w:top w:w="25" w:type="dxa"/>
              <w:bottom w:w="25" w:type="dxa"/>
              <w:left w:w="45" w:type="dxa"/>
              <w:right w:w="45" w:type="dxa"/>
            </w:tcMar>
          </w:tcPr>
          <w:p>
            <w:pPr>
              <w:spacing w:after="0" w:line="240" w:lineRule="auto"/>
            </w:pPr>
            <w:r>
              <w:rPr>
                <w:color w:val="1E293B"/>
                <w:sz w:val="14"/>
              </w:rPr>
              <w:t>28.611°N, 76.984°E</w:t>
            </w:r>
          </w:p>
        </w:tc>
        <w:tc>
          <w:tcPr>
            <w:tcW w:type="dxa" w:w="1706"/>
            <w:shd w:fill="FFFFFF"/>
            <w:tcMar>
              <w:top w:w="25" w:type="dxa"/>
              <w:bottom w:w="25" w:type="dxa"/>
              <w:left w:w="45" w:type="dxa"/>
              <w:right w:w="45" w:type="dxa"/>
            </w:tcMar>
          </w:tcPr>
          <w:p>
            <w:pPr>
              <w:spacing w:after="0" w:line="240" w:lineRule="auto"/>
            </w:pPr>
            <w:r>
              <w:rPr>
                <w:color w:val="1E293B"/>
                <w:sz w:val="14"/>
              </w:rPr>
              <w:t>71.9 / 100</w:t>
            </w:r>
          </w:p>
        </w:tc>
        <w:tc>
          <w:tcPr>
            <w:tcW w:type="dxa" w:w="1706"/>
            <w:shd w:fill="FFFFFF"/>
            <w:tcMar>
              <w:top w:w="25" w:type="dxa"/>
              <w:bottom w:w="25" w:type="dxa"/>
              <w:left w:w="45" w:type="dxa"/>
              <w:right w:w="45" w:type="dxa"/>
            </w:tcMar>
          </w:tcPr>
          <w:p>
            <w:pPr>
              <w:spacing w:after="0" w:line="240" w:lineRule="auto"/>
            </w:pPr>
            <w:r>
              <w:rPr>
                <w:color w:val="1E293B"/>
                <w:sz w:val="14"/>
              </w:rPr>
              <w:t>1,120 m</w:t>
            </w:r>
          </w:p>
        </w:tc>
        <w:tc>
          <w:tcPr>
            <w:tcW w:type="dxa" w:w="1706"/>
            <w:shd w:fill="FFFFFF"/>
            <w:tcMar>
              <w:top w:w="25" w:type="dxa"/>
              <w:bottom w:w="25" w:type="dxa"/>
              <w:left w:w="45" w:type="dxa"/>
              <w:right w:w="45" w:type="dxa"/>
            </w:tcMar>
          </w:tcPr>
          <w:p>
            <w:pPr>
              <w:spacing w:after="0" w:line="240" w:lineRule="auto"/>
            </w:pPr>
            <w:r>
              <w:rPr>
                <w:color w:val="1E293B"/>
                <w:sz w:val="14"/>
              </w:rPr>
              <w:t>Tier 2 (Moderate, 150–250 kVA)</w:t>
            </w:r>
          </w:p>
        </w:tc>
      </w:tr>
    </w:tbl>
    <w:tbl>
      <w:tblPr>
        <w:tblW w:type="auto" w:w="0"/>
        <w:jc w:val="center"/>
        <w:tblLayout w:type="fixed"/>
        <w:tblLook w:firstColumn="1" w:firstRow="1" w:lastColumn="0" w:lastRow="0" w:noHBand="0" w:noVBand="1" w:val="04A0"/>
      </w:tblPr>
      <w:tblGrid>
        <w:gridCol w:w="10224"/>
      </w:tblGrid>
      <w:tr>
        <w:trPr>
          <w:cantSplit/>
        </w:trPr>
        <w:tc>
          <w:tcPr>
            <w:tcW w:type="dxa" w:w="10239"/>
            <w:tcBorders>
              <w:top w:val="single" w:sz="4" w:space="0" w:color="CCFBF1"/>
              <w:left w:val="single" w:sz="20" w:space="0" w:color="0F766E"/>
              <w:bottom w:val="single" w:sz="4" w:space="0" w:color="CCFBF1"/>
              <w:right w:val="single" w:sz="4" w:space="0" w:color="CCFBF1"/>
            </w:tcBorders>
            <w:shd w:fill="F0FDFA"/>
            <w:tcMar>
              <w:top w:w="50" w:type="dxa"/>
              <w:bottom w:w="50" w:type="dxa"/>
              <w:left w:w="100" w:type="dxa"/>
              <w:right w:w="100" w:type="dxa"/>
            </w:tcMar>
          </w:tcPr>
          <w:p>
            <w:pPr>
              <w:spacing w:before="20" w:after="40" w:line="252" w:lineRule="auto"/>
            </w:pPr>
            <w:r>
              <w:rPr>
                <w:rFonts w:ascii="Arial" w:hAnsi="Arial"/>
                <w:b/>
                <w:color w:val="0F766E"/>
                <w:sz w:val="17"/>
              </w:rPr>
              <w:t>AUTOMATED VERIFICATION &amp; QUALITY AUDIT (28/28 TESTS PASSED)</w:t>
              <w:br/>
            </w:r>
            <w:r>
              <w:rPr>
                <w:rFonts w:ascii="Arial" w:hAnsi="Arial"/>
                <w:color w:val="1E293B"/>
                <w:sz w:val="16"/>
              </w:rPr>
              <w:t>• Data Integrity &amp; AI Pipeline (scripts/validate_processed_data.py): 28 of 28 automated assertions PASSED (100% success). Verified: 36 states/UTs, 10.69M national active EVs, 39,641 BEE rows (44,066 connectors), 22,753 operational OMC stations, 8,932 FAME-II chargers, 549,153 Delhi EVs across 23 RTOs, 876 Switch Delhi sites, 375 grid cells (scaled to 22.3M pop), Random Forest R² = 0.796, Bass R² = 0.992.</w:t>
              <w:br/>
            </w:r>
            <w:r>
              <w:rPr>
                <w:rFonts w:ascii="Arial" w:hAnsi="Arial"/>
                <w:color w:val="1E293B"/>
                <w:sz w:val="16"/>
              </w:rPr>
              <w:t>• TypeScript Strict Static Typing: tsc --noEmit exited cleanly with 0 compilation errors across all frontend and engine components.</w:t>
              <w:br/>
            </w:r>
            <w:r>
              <w:rPr>
                <w:rFonts w:ascii="Arial" w:hAnsi="Arial"/>
                <w:color w:val="1E293B"/>
                <w:sz w:val="16"/>
              </w:rPr>
              <w:t>• Production Build &amp; Live Smoke Test: Vite production build succeeded in 7.68s; local HTTP 200 OK test verified zero console errors and zero tile watermarks.</w:t>
            </w:r>
          </w:p>
        </w:tc>
      </w:tr>
    </w:tbl>
    <w:p>
      <w:r>
        <w:br w:type="page"/>
      </w:r>
    </w:p>
    <w:p>
      <w:pPr>
        <w:keepNext/>
        <w:spacing w:before="40" w:after="40"/>
      </w:pPr>
      <w:r>
        <w:rPr>
          <w:rFonts w:ascii="Arial" w:hAnsi="Arial"/>
          <w:b/>
          <w:color w:val="0F766E"/>
          <w:sz w:val="23"/>
        </w:rPr>
        <w:t>5. Data Strategy, Provenance &amp; Methodological Caveats</w:t>
      </w:r>
    </w:p>
    <w:p>
      <w:pPr>
        <w:spacing w:after="50" w:line="254" w:lineRule="auto"/>
      </w:pPr>
      <w:r>
        <w:rPr>
          <w:rFonts w:ascii="Arial" w:hAnsi="Arial"/>
          <w:color w:val="334155"/>
          <w:sz w:val="18"/>
        </w:rPr>
        <w:t>All data sources were frozen as of 19 October 2026, stored in raw format under data/raw/, and tracked in data/source_manifest.csv:</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864"/>
        <w:gridCol w:w="1872"/>
        <w:gridCol w:w="1152"/>
        <w:gridCol w:w="1296"/>
        <w:gridCol w:w="2448"/>
        <w:gridCol w:w="2592"/>
      </w:tblGrid>
      <w:tr>
        <w:trPr>
          <w:cantSplit/>
        </w:trPr>
        <w:tc>
          <w:tcPr>
            <w:tcW w:type="dxa" w:w="1706"/>
            <w:shd w:fill="0F766E"/>
            <w:tcMar>
              <w:top w:w="30" w:type="dxa"/>
              <w:bottom w:w="30" w:type="dxa"/>
              <w:left w:w="45" w:type="dxa"/>
              <w:right w:w="45" w:type="dxa"/>
            </w:tcMar>
          </w:tcPr>
          <w:p>
            <w:pPr>
              <w:spacing w:after="0" w:line="240" w:lineRule="auto"/>
            </w:pPr>
            <w:r>
              <w:rPr>
                <w:b/>
                <w:color w:val="FFFFFF"/>
                <w:sz w:val="15"/>
              </w:rPr>
              <w:t>ID</w:t>
            </w:r>
          </w:p>
        </w:tc>
        <w:tc>
          <w:tcPr>
            <w:tcW w:type="dxa" w:w="1706"/>
            <w:shd w:fill="0F766E"/>
            <w:tcMar>
              <w:top w:w="30" w:type="dxa"/>
              <w:bottom w:w="30" w:type="dxa"/>
              <w:left w:w="45" w:type="dxa"/>
              <w:right w:w="45" w:type="dxa"/>
            </w:tcMar>
          </w:tcPr>
          <w:p>
            <w:pPr>
              <w:spacing w:after="0" w:line="240" w:lineRule="auto"/>
            </w:pPr>
            <w:r>
              <w:rPr>
                <w:b/>
                <w:color w:val="FFFFFF"/>
                <w:sz w:val="15"/>
              </w:rPr>
              <w:t>Source Agency</w:t>
            </w:r>
          </w:p>
        </w:tc>
        <w:tc>
          <w:tcPr>
            <w:tcW w:type="dxa" w:w="1706"/>
            <w:shd w:fill="0F766E"/>
            <w:tcMar>
              <w:top w:w="30" w:type="dxa"/>
              <w:bottom w:w="30" w:type="dxa"/>
              <w:left w:w="45" w:type="dxa"/>
              <w:right w:w="45" w:type="dxa"/>
            </w:tcMar>
          </w:tcPr>
          <w:p>
            <w:pPr>
              <w:spacing w:after="0" w:line="240" w:lineRule="auto"/>
            </w:pPr>
            <w:r>
              <w:rPr>
                <w:b/>
                <w:color w:val="FFFFFF"/>
                <w:sz w:val="15"/>
              </w:rPr>
              <w:t>Vintage</w:t>
            </w:r>
          </w:p>
        </w:tc>
        <w:tc>
          <w:tcPr>
            <w:tcW w:type="dxa" w:w="1706"/>
            <w:shd w:fill="0F766E"/>
            <w:tcMar>
              <w:top w:w="30" w:type="dxa"/>
              <w:bottom w:w="30" w:type="dxa"/>
              <w:left w:w="45" w:type="dxa"/>
              <w:right w:w="45" w:type="dxa"/>
            </w:tcMar>
          </w:tcPr>
          <w:p>
            <w:pPr>
              <w:spacing w:after="0" w:line="240" w:lineRule="auto"/>
            </w:pPr>
            <w:r>
              <w:rPr>
                <w:b/>
                <w:color w:val="FFFFFF"/>
                <w:sz w:val="15"/>
              </w:rPr>
              <w:t>Granularity</w:t>
            </w:r>
          </w:p>
        </w:tc>
        <w:tc>
          <w:tcPr>
            <w:tcW w:type="dxa" w:w="1706"/>
            <w:shd w:fill="0F766E"/>
            <w:tcMar>
              <w:top w:w="30" w:type="dxa"/>
              <w:bottom w:w="30" w:type="dxa"/>
              <w:left w:w="45" w:type="dxa"/>
              <w:right w:w="45" w:type="dxa"/>
            </w:tcMar>
          </w:tcPr>
          <w:p>
            <w:pPr>
              <w:spacing w:after="0" w:line="240" w:lineRule="auto"/>
            </w:pPr>
            <w:r>
              <w:rPr>
                <w:b/>
                <w:color w:val="FFFFFF"/>
                <w:sz w:val="15"/>
              </w:rPr>
              <w:t>Scope in Platform</w:t>
            </w:r>
          </w:p>
        </w:tc>
        <w:tc>
          <w:tcPr>
            <w:tcW w:type="dxa" w:w="1706"/>
            <w:shd w:fill="0F766E"/>
            <w:tcMar>
              <w:top w:w="30" w:type="dxa"/>
              <w:bottom w:w="30" w:type="dxa"/>
              <w:left w:w="45" w:type="dxa"/>
              <w:right w:w="45" w:type="dxa"/>
            </w:tcMar>
          </w:tcPr>
          <w:p>
            <w:pPr>
              <w:spacing w:after="0" w:line="240" w:lineRule="auto"/>
            </w:pPr>
            <w:r>
              <w:rPr>
                <w:b/>
                <w:color w:val="FFFFFF"/>
                <w:sz w:val="15"/>
              </w:rPr>
              <w:t>Known Limitations &amp; Mitigation</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SRC-01</w:t>
            </w:r>
          </w:p>
        </w:tc>
        <w:tc>
          <w:tcPr>
            <w:tcW w:type="dxa" w:w="1706"/>
            <w:shd w:fill="FFFFFF"/>
            <w:tcMar>
              <w:top w:w="25" w:type="dxa"/>
              <w:bottom w:w="25" w:type="dxa"/>
              <w:left w:w="45" w:type="dxa"/>
              <w:right w:w="45" w:type="dxa"/>
            </w:tcMar>
          </w:tcPr>
          <w:p>
            <w:pPr>
              <w:spacing w:after="0" w:line="240" w:lineRule="auto"/>
            </w:pPr>
            <w:r>
              <w:rPr>
                <w:color w:val="1E293B"/>
                <w:sz w:val="14"/>
              </w:rPr>
              <w:t>BEE, MoP</w:t>
            </w:r>
          </w:p>
        </w:tc>
        <w:tc>
          <w:tcPr>
            <w:tcW w:type="dxa" w:w="1706"/>
            <w:shd w:fill="FFFFFF"/>
            <w:tcMar>
              <w:top w:w="25" w:type="dxa"/>
              <w:bottom w:w="25" w:type="dxa"/>
              <w:left w:w="45" w:type="dxa"/>
              <w:right w:w="45" w:type="dxa"/>
            </w:tcMar>
          </w:tcPr>
          <w:p>
            <w:pPr>
              <w:spacing w:after="0" w:line="240" w:lineRule="auto"/>
            </w:pPr>
            <w:r>
              <w:rPr>
                <w:color w:val="1E293B"/>
                <w:sz w:val="14"/>
              </w:rPr>
              <w:t>Oct 2025</w:t>
            </w:r>
          </w:p>
        </w:tc>
        <w:tc>
          <w:tcPr>
            <w:tcW w:type="dxa" w:w="1706"/>
            <w:shd w:fill="FFFFFF"/>
            <w:tcMar>
              <w:top w:w="25" w:type="dxa"/>
              <w:bottom w:w="25" w:type="dxa"/>
              <w:left w:w="45" w:type="dxa"/>
              <w:right w:w="45" w:type="dxa"/>
            </w:tcMar>
          </w:tcPr>
          <w:p>
            <w:pPr>
              <w:spacing w:after="0" w:line="240" w:lineRule="auto"/>
            </w:pPr>
            <w:r>
              <w:rPr>
                <w:color w:val="1E293B"/>
                <w:sz w:val="14"/>
              </w:rPr>
              <w:t>Point / Site</w:t>
            </w:r>
          </w:p>
        </w:tc>
        <w:tc>
          <w:tcPr>
            <w:tcW w:type="dxa" w:w="1706"/>
            <w:shd w:fill="FFFFFF"/>
            <w:tcMar>
              <w:top w:w="25" w:type="dxa"/>
              <w:bottom w:w="25" w:type="dxa"/>
              <w:left w:w="45" w:type="dxa"/>
              <w:right w:w="45" w:type="dxa"/>
            </w:tcMar>
          </w:tcPr>
          <w:p>
            <w:pPr>
              <w:spacing w:after="0" w:line="240" w:lineRule="auto"/>
            </w:pPr>
            <w:r>
              <w:rPr>
                <w:color w:val="1E293B"/>
                <w:sz w:val="14"/>
              </w:rPr>
              <w:t>39,641 rows, 44,066 connectors across 29,371 sites</w:t>
            </w:r>
          </w:p>
        </w:tc>
        <w:tc>
          <w:tcPr>
            <w:tcW w:type="dxa" w:w="1706"/>
            <w:shd w:fill="FFFFFF"/>
            <w:tcMar>
              <w:top w:w="25" w:type="dxa"/>
              <w:bottom w:w="25" w:type="dxa"/>
              <w:left w:w="45" w:type="dxa"/>
              <w:right w:w="45" w:type="dxa"/>
            </w:tcMar>
          </w:tcPr>
          <w:p>
            <w:pPr>
              <w:spacing w:after="0" w:line="240" w:lineRule="auto"/>
            </w:pPr>
            <w:r>
              <w:rPr>
                <w:color w:val="1E293B"/>
                <w:sz w:val="14"/>
              </w:rPr>
              <w:t>Static PDF; lacks operational status; 119 corrupted coordinates isolated.</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SRC-02</w:t>
            </w:r>
          </w:p>
        </w:tc>
        <w:tc>
          <w:tcPr>
            <w:tcW w:type="dxa" w:w="1706"/>
            <w:shd w:fill="F8FAFC"/>
            <w:tcMar>
              <w:top w:w="25" w:type="dxa"/>
              <w:bottom w:w="25" w:type="dxa"/>
              <w:left w:w="45" w:type="dxa"/>
              <w:right w:w="45" w:type="dxa"/>
            </w:tcMar>
          </w:tcPr>
          <w:p>
            <w:pPr>
              <w:spacing w:after="0" w:line="240" w:lineRule="auto"/>
            </w:pPr>
            <w:r>
              <w:rPr>
                <w:color w:val="1E293B"/>
                <w:sz w:val="14"/>
              </w:rPr>
              <w:t>MoPNG / OMC</w:t>
            </w:r>
          </w:p>
        </w:tc>
        <w:tc>
          <w:tcPr>
            <w:tcW w:type="dxa" w:w="1706"/>
            <w:shd w:fill="F8FAFC"/>
            <w:tcMar>
              <w:top w:w="25" w:type="dxa"/>
              <w:bottom w:w="25" w:type="dxa"/>
              <w:left w:w="45" w:type="dxa"/>
              <w:right w:w="45" w:type="dxa"/>
            </w:tcMar>
          </w:tcPr>
          <w:p>
            <w:pPr>
              <w:spacing w:after="0" w:line="240" w:lineRule="auto"/>
            </w:pPr>
            <w:r>
              <w:rPr>
                <w:color w:val="1E293B"/>
                <w:sz w:val="14"/>
              </w:rPr>
              <w:t>Mar 2026</w:t>
            </w:r>
          </w:p>
        </w:tc>
        <w:tc>
          <w:tcPr>
            <w:tcW w:type="dxa" w:w="1706"/>
            <w:shd w:fill="F8FAFC"/>
            <w:tcMar>
              <w:top w:w="25" w:type="dxa"/>
              <w:bottom w:w="25" w:type="dxa"/>
              <w:left w:w="45" w:type="dxa"/>
              <w:right w:w="45" w:type="dxa"/>
            </w:tcMar>
          </w:tcPr>
          <w:p>
            <w:pPr>
              <w:spacing w:after="0" w:line="240" w:lineRule="auto"/>
            </w:pPr>
            <w:r>
              <w:rPr>
                <w:color w:val="1E293B"/>
                <w:sz w:val="14"/>
              </w:rPr>
              <w:t>State / PSU</w:t>
            </w:r>
          </w:p>
        </w:tc>
        <w:tc>
          <w:tcPr>
            <w:tcW w:type="dxa" w:w="1706"/>
            <w:shd w:fill="F8FAFC"/>
            <w:tcMar>
              <w:top w:w="25" w:type="dxa"/>
              <w:bottom w:w="25" w:type="dxa"/>
              <w:left w:w="45" w:type="dxa"/>
              <w:right w:w="45" w:type="dxa"/>
            </w:tcMar>
          </w:tcPr>
          <w:p>
            <w:pPr>
              <w:spacing w:after="0" w:line="240" w:lineRule="auto"/>
            </w:pPr>
            <w:r>
              <w:rPr>
                <w:color w:val="1E293B"/>
                <w:sz w:val="14"/>
              </w:rPr>
              <w:t>22,753 operational OMC retail outlet stations</w:t>
            </w:r>
          </w:p>
        </w:tc>
        <w:tc>
          <w:tcPr>
            <w:tcW w:type="dxa" w:w="1706"/>
            <w:shd w:fill="F8FAFC"/>
            <w:tcMar>
              <w:top w:w="25" w:type="dxa"/>
              <w:bottom w:w="25" w:type="dxa"/>
              <w:left w:w="45" w:type="dxa"/>
              <w:right w:w="45" w:type="dxa"/>
            </w:tcMar>
          </w:tcPr>
          <w:p>
            <w:pPr>
              <w:spacing w:after="0" w:line="240" w:lineRule="auto"/>
            </w:pPr>
            <w:r>
              <w:rPr>
                <w:color w:val="1E293B"/>
                <w:sz w:val="14"/>
              </w:rPr>
              <w:t>OMC outlets only; kept separate from BEE to avoid double-counting.</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SRC-03</w:t>
            </w:r>
          </w:p>
        </w:tc>
        <w:tc>
          <w:tcPr>
            <w:tcW w:type="dxa" w:w="1706"/>
            <w:shd w:fill="FFFFFF"/>
            <w:tcMar>
              <w:top w:w="25" w:type="dxa"/>
              <w:bottom w:w="25" w:type="dxa"/>
              <w:left w:w="45" w:type="dxa"/>
              <w:right w:w="45" w:type="dxa"/>
            </w:tcMar>
          </w:tcPr>
          <w:p>
            <w:pPr>
              <w:spacing w:after="0" w:line="240" w:lineRule="auto"/>
            </w:pPr>
            <w:r>
              <w:rPr>
                <w:color w:val="1E293B"/>
                <w:sz w:val="14"/>
              </w:rPr>
              <w:t>MHI / FAME-II</w:t>
            </w:r>
          </w:p>
        </w:tc>
        <w:tc>
          <w:tcPr>
            <w:tcW w:type="dxa" w:w="1706"/>
            <w:shd w:fill="FFFFFF"/>
            <w:tcMar>
              <w:top w:w="25" w:type="dxa"/>
              <w:bottom w:w="25" w:type="dxa"/>
              <w:left w:w="45" w:type="dxa"/>
              <w:right w:w="45" w:type="dxa"/>
            </w:tcMar>
          </w:tcPr>
          <w:p>
            <w:pPr>
              <w:spacing w:after="0" w:line="240" w:lineRule="auto"/>
            </w:pPr>
            <w:r>
              <w:rPr>
                <w:color w:val="1E293B"/>
                <w:sz w:val="14"/>
              </w:rPr>
              <w:t>Mar 2026</w:t>
            </w:r>
          </w:p>
        </w:tc>
        <w:tc>
          <w:tcPr>
            <w:tcW w:type="dxa" w:w="1706"/>
            <w:shd w:fill="FFFFFF"/>
            <w:tcMar>
              <w:top w:w="25" w:type="dxa"/>
              <w:bottom w:w="25" w:type="dxa"/>
              <w:left w:w="45" w:type="dxa"/>
              <w:right w:w="45" w:type="dxa"/>
            </w:tcMar>
          </w:tcPr>
          <w:p>
            <w:pPr>
              <w:spacing w:after="0" w:line="240" w:lineRule="auto"/>
            </w:pPr>
            <w:r>
              <w:rPr>
                <w:color w:val="1E293B"/>
                <w:sz w:val="14"/>
              </w:rPr>
              <w:t>State / Scheme</w:t>
            </w:r>
          </w:p>
        </w:tc>
        <w:tc>
          <w:tcPr>
            <w:tcW w:type="dxa" w:w="1706"/>
            <w:shd w:fill="FFFFFF"/>
            <w:tcMar>
              <w:top w:w="25" w:type="dxa"/>
              <w:bottom w:w="25" w:type="dxa"/>
              <w:left w:w="45" w:type="dxa"/>
              <w:right w:w="45" w:type="dxa"/>
            </w:tcMar>
          </w:tcPr>
          <w:p>
            <w:pPr>
              <w:spacing w:after="0" w:line="240" w:lineRule="auto"/>
            </w:pPr>
            <w:r>
              <w:rPr>
                <w:color w:val="1E293B"/>
                <w:sz w:val="14"/>
              </w:rPr>
              <w:t>8,932 operational FAME-II OMC charging units</w:t>
            </w:r>
          </w:p>
        </w:tc>
        <w:tc>
          <w:tcPr>
            <w:tcW w:type="dxa" w:w="1706"/>
            <w:shd w:fill="FFFFFF"/>
            <w:tcMar>
              <w:top w:w="25" w:type="dxa"/>
              <w:bottom w:w="25" w:type="dxa"/>
              <w:left w:w="45" w:type="dxa"/>
              <w:right w:w="45" w:type="dxa"/>
            </w:tcMar>
          </w:tcPr>
          <w:p>
            <w:pPr>
              <w:spacing w:after="0" w:line="240" w:lineRule="auto"/>
            </w:pPr>
            <w:r>
              <w:rPr>
                <w:color w:val="1E293B"/>
                <w:sz w:val="14"/>
              </w:rPr>
              <w:t>Scheme-specific; isolated from general registries.</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SRC-04</w:t>
            </w:r>
          </w:p>
        </w:tc>
        <w:tc>
          <w:tcPr>
            <w:tcW w:type="dxa" w:w="1706"/>
            <w:shd w:fill="F8FAFC"/>
            <w:tcMar>
              <w:top w:w="25" w:type="dxa"/>
              <w:bottom w:w="25" w:type="dxa"/>
              <w:left w:w="45" w:type="dxa"/>
              <w:right w:w="45" w:type="dxa"/>
            </w:tcMar>
          </w:tcPr>
          <w:p>
            <w:pPr>
              <w:spacing w:after="0" w:line="240" w:lineRule="auto"/>
            </w:pPr>
            <w:r>
              <w:rPr>
                <w:color w:val="1E293B"/>
                <w:sz w:val="14"/>
              </w:rPr>
              <w:t>Switch Delhi</w:t>
            </w:r>
          </w:p>
        </w:tc>
        <w:tc>
          <w:tcPr>
            <w:tcW w:type="dxa" w:w="1706"/>
            <w:shd w:fill="F8FAFC"/>
            <w:tcMar>
              <w:top w:w="25" w:type="dxa"/>
              <w:bottom w:w="25" w:type="dxa"/>
              <w:left w:w="45" w:type="dxa"/>
              <w:right w:w="45" w:type="dxa"/>
            </w:tcMar>
          </w:tcPr>
          <w:p>
            <w:pPr>
              <w:spacing w:after="0" w:line="240" w:lineRule="auto"/>
            </w:pPr>
            <w:r>
              <w:rPr>
                <w:color w:val="1E293B"/>
                <w:sz w:val="14"/>
              </w:rPr>
              <w:t>Oct 2026</w:t>
            </w:r>
          </w:p>
        </w:tc>
        <w:tc>
          <w:tcPr>
            <w:tcW w:type="dxa" w:w="1706"/>
            <w:shd w:fill="F8FAFC"/>
            <w:tcMar>
              <w:top w:w="25" w:type="dxa"/>
              <w:bottom w:w="25" w:type="dxa"/>
              <w:left w:w="45" w:type="dxa"/>
              <w:right w:w="45" w:type="dxa"/>
            </w:tcMar>
          </w:tcPr>
          <w:p>
            <w:pPr>
              <w:spacing w:after="0" w:line="240" w:lineRule="auto"/>
            </w:pPr>
            <w:r>
              <w:rPr>
                <w:color w:val="1E293B"/>
                <w:sz w:val="14"/>
              </w:rPr>
              <w:t>Point / Site</w:t>
            </w:r>
          </w:p>
        </w:tc>
        <w:tc>
          <w:tcPr>
            <w:tcW w:type="dxa" w:w="1706"/>
            <w:shd w:fill="F8FAFC"/>
            <w:tcMar>
              <w:top w:w="25" w:type="dxa"/>
              <w:bottom w:w="25" w:type="dxa"/>
              <w:left w:w="45" w:type="dxa"/>
              <w:right w:w="45" w:type="dxa"/>
            </w:tcMar>
          </w:tcPr>
          <w:p>
            <w:pPr>
              <w:spacing w:after="0" w:line="240" w:lineRule="auto"/>
            </w:pPr>
            <w:r>
              <w:rPr>
                <w:color w:val="1E293B"/>
                <w:sz w:val="14"/>
              </w:rPr>
              <w:t>876 deduplicated stations (573 charge + 303 swap)</w:t>
            </w:r>
          </w:p>
        </w:tc>
        <w:tc>
          <w:tcPr>
            <w:tcW w:type="dxa" w:w="1706"/>
            <w:shd w:fill="F8FAFC"/>
            <w:tcMar>
              <w:top w:w="25" w:type="dxa"/>
              <w:bottom w:w="25" w:type="dxa"/>
              <w:left w:w="45" w:type="dxa"/>
              <w:right w:w="45" w:type="dxa"/>
            </w:tcMar>
          </w:tcPr>
          <w:p>
            <w:pPr>
              <w:spacing w:after="0" w:line="240" w:lineRule="auto"/>
            </w:pPr>
            <w:r>
              <w:rPr>
                <w:color w:val="1E293B"/>
                <w:sz w:val="14"/>
              </w:rPr>
              <w:t>15 duplicate kiosks purged; 121 swap kiosks geocoded via PIN centroid.</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SRC-05</w:t>
            </w:r>
          </w:p>
        </w:tc>
        <w:tc>
          <w:tcPr>
            <w:tcW w:type="dxa" w:w="1706"/>
            <w:shd w:fill="FFFFFF"/>
            <w:tcMar>
              <w:top w:w="25" w:type="dxa"/>
              <w:bottom w:w="25" w:type="dxa"/>
              <w:left w:w="45" w:type="dxa"/>
              <w:right w:w="45" w:type="dxa"/>
            </w:tcMar>
          </w:tcPr>
          <w:p>
            <w:pPr>
              <w:spacing w:after="0" w:line="240" w:lineRule="auto"/>
            </w:pPr>
            <w:r>
              <w:rPr>
                <w:color w:val="1E293B"/>
                <w:sz w:val="14"/>
              </w:rPr>
              <w:t>OpenStreetMap</w:t>
            </w:r>
          </w:p>
        </w:tc>
        <w:tc>
          <w:tcPr>
            <w:tcW w:type="dxa" w:w="1706"/>
            <w:shd w:fill="FFFFFF"/>
            <w:tcMar>
              <w:top w:w="25" w:type="dxa"/>
              <w:bottom w:w="25" w:type="dxa"/>
              <w:left w:w="45" w:type="dxa"/>
              <w:right w:w="45" w:type="dxa"/>
            </w:tcMar>
          </w:tcPr>
          <w:p>
            <w:pPr>
              <w:spacing w:after="0" w:line="240" w:lineRule="auto"/>
            </w:pPr>
            <w:r>
              <w:rPr>
                <w:color w:val="1E293B"/>
                <w:sz w:val="14"/>
              </w:rPr>
              <w:t>Oct 2026</w:t>
            </w:r>
          </w:p>
        </w:tc>
        <w:tc>
          <w:tcPr>
            <w:tcW w:type="dxa" w:w="1706"/>
            <w:shd w:fill="FFFFFF"/>
            <w:tcMar>
              <w:top w:w="25" w:type="dxa"/>
              <w:bottom w:w="25" w:type="dxa"/>
              <w:left w:w="45" w:type="dxa"/>
              <w:right w:w="45" w:type="dxa"/>
            </w:tcMar>
          </w:tcPr>
          <w:p>
            <w:pPr>
              <w:spacing w:after="0" w:line="240" w:lineRule="auto"/>
            </w:pPr>
            <w:r>
              <w:rPr>
                <w:color w:val="1E293B"/>
                <w:sz w:val="14"/>
              </w:rPr>
              <w:t>Point / Node</w:t>
            </w:r>
          </w:p>
        </w:tc>
        <w:tc>
          <w:tcPr>
            <w:tcW w:type="dxa" w:w="1706"/>
            <w:shd w:fill="FFFFFF"/>
            <w:tcMar>
              <w:top w:w="25" w:type="dxa"/>
              <w:bottom w:w="25" w:type="dxa"/>
              <w:left w:w="45" w:type="dxa"/>
              <w:right w:w="45" w:type="dxa"/>
            </w:tcMar>
          </w:tcPr>
          <w:p>
            <w:pPr>
              <w:spacing w:after="0" w:line="240" w:lineRule="auto"/>
            </w:pPr>
            <w:r>
              <w:rPr>
                <w:color w:val="1E293B"/>
                <w:sz w:val="14"/>
              </w:rPr>
              <w:t>725 national stations; 179 in Delhi</w:t>
            </w:r>
          </w:p>
        </w:tc>
        <w:tc>
          <w:tcPr>
            <w:tcW w:type="dxa" w:w="1706"/>
            <w:shd w:fill="FFFFFF"/>
            <w:tcMar>
              <w:top w:w="25" w:type="dxa"/>
              <w:bottom w:w="25" w:type="dxa"/>
              <w:left w:w="45" w:type="dxa"/>
              <w:right w:w="45" w:type="dxa"/>
            </w:tcMar>
          </w:tcPr>
          <w:p>
            <w:pPr>
              <w:spacing w:after="0" w:line="240" w:lineRule="auto"/>
            </w:pPr>
            <w:r>
              <w:rPr>
                <w:color w:val="1E293B"/>
                <w:sz w:val="14"/>
              </w:rPr>
              <w:t>Severe crowdsource undercount (2.5% of BEE). Used strictly as cross-check.</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SRC-06</w:t>
            </w:r>
          </w:p>
        </w:tc>
        <w:tc>
          <w:tcPr>
            <w:tcW w:type="dxa" w:w="1706"/>
            <w:shd w:fill="F8FAFC"/>
            <w:tcMar>
              <w:top w:w="25" w:type="dxa"/>
              <w:bottom w:w="25" w:type="dxa"/>
              <w:left w:w="45" w:type="dxa"/>
              <w:right w:w="45" w:type="dxa"/>
            </w:tcMar>
          </w:tcPr>
          <w:p>
            <w:pPr>
              <w:spacing w:after="0" w:line="240" w:lineRule="auto"/>
            </w:pPr>
            <w:r>
              <w:rPr>
                <w:color w:val="1E293B"/>
                <w:sz w:val="14"/>
              </w:rPr>
              <w:t>MoRTH / VAHAN</w:t>
            </w:r>
          </w:p>
        </w:tc>
        <w:tc>
          <w:tcPr>
            <w:tcW w:type="dxa" w:w="1706"/>
            <w:shd w:fill="F8FAFC"/>
            <w:tcMar>
              <w:top w:w="25" w:type="dxa"/>
              <w:bottom w:w="25" w:type="dxa"/>
              <w:left w:w="45" w:type="dxa"/>
              <w:right w:w="45" w:type="dxa"/>
            </w:tcMar>
          </w:tcPr>
          <w:p>
            <w:pPr>
              <w:spacing w:after="0" w:line="240" w:lineRule="auto"/>
            </w:pPr>
            <w:r>
              <w:rPr>
                <w:color w:val="1E293B"/>
                <w:sz w:val="14"/>
              </w:rPr>
              <w:t>Oct 2026</w:t>
            </w:r>
          </w:p>
        </w:tc>
        <w:tc>
          <w:tcPr>
            <w:tcW w:type="dxa" w:w="1706"/>
            <w:shd w:fill="F8FAFC"/>
            <w:tcMar>
              <w:top w:w="25" w:type="dxa"/>
              <w:bottom w:w="25" w:type="dxa"/>
              <w:left w:w="45" w:type="dxa"/>
              <w:right w:w="45" w:type="dxa"/>
            </w:tcMar>
          </w:tcPr>
          <w:p>
            <w:pPr>
              <w:spacing w:after="0" w:line="240" w:lineRule="auto"/>
            </w:pPr>
            <w:r>
              <w:rPr>
                <w:color w:val="1E293B"/>
                <w:sz w:val="14"/>
              </w:rPr>
              <w:t>State / RTO</w:t>
            </w:r>
          </w:p>
        </w:tc>
        <w:tc>
          <w:tcPr>
            <w:tcW w:type="dxa" w:w="1706"/>
            <w:shd w:fill="F8FAFC"/>
            <w:tcMar>
              <w:top w:w="25" w:type="dxa"/>
              <w:bottom w:w="25" w:type="dxa"/>
              <w:left w:w="45" w:type="dxa"/>
              <w:right w:w="45" w:type="dxa"/>
            </w:tcMar>
          </w:tcPr>
          <w:p>
            <w:pPr>
              <w:spacing w:after="0" w:line="240" w:lineRule="auto"/>
            </w:pPr>
            <w:r>
              <w:rPr>
                <w:color w:val="1E293B"/>
                <w:sz w:val="14"/>
              </w:rPr>
              <w:t>10,689,490 active EVs (dual fuel tags: BOV + Pure EV)</w:t>
            </w:r>
          </w:p>
        </w:tc>
        <w:tc>
          <w:tcPr>
            <w:tcW w:type="dxa" w:w="1706"/>
            <w:shd w:fill="F8FAFC"/>
            <w:tcMar>
              <w:top w:w="25" w:type="dxa"/>
              <w:bottom w:w="25" w:type="dxa"/>
              <w:left w:w="45" w:type="dxa"/>
              <w:right w:w="45" w:type="dxa"/>
            </w:tcMar>
          </w:tcPr>
          <w:p>
            <w:pPr>
              <w:spacing w:after="0" w:line="240" w:lineRule="auto"/>
            </w:pPr>
            <w:r>
              <w:rPr>
                <w:color w:val="1E293B"/>
                <w:sz w:val="14"/>
              </w:rPr>
              <w:t>Includes 26.4% non-compliant fleet; Burari distortion redistributed.</w:t>
            </w:r>
          </w:p>
        </w:tc>
      </w:tr>
      <w:tr>
        <w:trPr>
          <w:cantSplit/>
        </w:trPr>
        <w:tc>
          <w:tcPr>
            <w:tcW w:type="dxa" w:w="1706"/>
            <w:shd w:fill="FFFFFF"/>
            <w:tcMar>
              <w:top w:w="25" w:type="dxa"/>
              <w:bottom w:w="25" w:type="dxa"/>
              <w:left w:w="45" w:type="dxa"/>
              <w:right w:w="45" w:type="dxa"/>
            </w:tcMar>
          </w:tcPr>
          <w:p>
            <w:pPr>
              <w:spacing w:after="0" w:line="240" w:lineRule="auto"/>
            </w:pPr>
            <w:r>
              <w:rPr>
                <w:color w:val="1E293B"/>
                <w:sz w:val="14"/>
              </w:rPr>
              <w:t>SRC-07</w:t>
            </w:r>
          </w:p>
        </w:tc>
        <w:tc>
          <w:tcPr>
            <w:tcW w:type="dxa" w:w="1706"/>
            <w:shd w:fill="FFFFFF"/>
            <w:tcMar>
              <w:top w:w="25" w:type="dxa"/>
              <w:bottom w:w="25" w:type="dxa"/>
              <w:left w:w="45" w:type="dxa"/>
              <w:right w:w="45" w:type="dxa"/>
            </w:tcMar>
          </w:tcPr>
          <w:p>
            <w:pPr>
              <w:spacing w:after="0" w:line="240" w:lineRule="auto"/>
            </w:pPr>
            <w:r>
              <w:rPr>
                <w:color w:val="1E293B"/>
                <w:sz w:val="14"/>
              </w:rPr>
              <w:t>DataMeet Maps</w:t>
            </w:r>
          </w:p>
        </w:tc>
        <w:tc>
          <w:tcPr>
            <w:tcW w:type="dxa" w:w="1706"/>
            <w:shd w:fill="FFFFFF"/>
            <w:tcMar>
              <w:top w:w="25" w:type="dxa"/>
              <w:bottom w:w="25" w:type="dxa"/>
              <w:left w:w="45" w:type="dxa"/>
              <w:right w:w="45" w:type="dxa"/>
            </w:tcMar>
          </w:tcPr>
          <w:p>
            <w:pPr>
              <w:spacing w:after="0" w:line="240" w:lineRule="auto"/>
            </w:pPr>
            <w:r>
              <w:rPr>
                <w:color w:val="1E293B"/>
                <w:sz w:val="14"/>
              </w:rPr>
              <w:t>2019 / 2011</w:t>
            </w:r>
          </w:p>
        </w:tc>
        <w:tc>
          <w:tcPr>
            <w:tcW w:type="dxa" w:w="1706"/>
            <w:shd w:fill="FFFFFF"/>
            <w:tcMar>
              <w:top w:w="25" w:type="dxa"/>
              <w:bottom w:w="25" w:type="dxa"/>
              <w:left w:w="45" w:type="dxa"/>
              <w:right w:w="45" w:type="dxa"/>
            </w:tcMar>
          </w:tcPr>
          <w:p>
            <w:pPr>
              <w:spacing w:after="0" w:line="240" w:lineRule="auto"/>
            </w:pPr>
            <w:r>
              <w:rPr>
                <w:color w:val="1E293B"/>
                <w:sz w:val="14"/>
              </w:rPr>
              <w:t>Polygon</w:t>
            </w:r>
          </w:p>
        </w:tc>
        <w:tc>
          <w:tcPr>
            <w:tcW w:type="dxa" w:w="1706"/>
            <w:shd w:fill="FFFFFF"/>
            <w:tcMar>
              <w:top w:w="25" w:type="dxa"/>
              <w:bottom w:w="25" w:type="dxa"/>
              <w:left w:w="45" w:type="dxa"/>
              <w:right w:w="45" w:type="dxa"/>
            </w:tcMar>
          </w:tcPr>
          <w:p>
            <w:pPr>
              <w:spacing w:after="0" w:line="240" w:lineRule="auto"/>
            </w:pPr>
            <w:r>
              <w:rPr>
                <w:color w:val="1E293B"/>
                <w:sz w:val="14"/>
              </w:rPr>
              <w:t>36 States/UTs and 9 Delhi Census districts</w:t>
            </w:r>
          </w:p>
        </w:tc>
        <w:tc>
          <w:tcPr>
            <w:tcW w:type="dxa" w:w="1706"/>
            <w:shd w:fill="FFFFFF"/>
            <w:tcMar>
              <w:top w:w="25" w:type="dxa"/>
              <w:bottom w:w="25" w:type="dxa"/>
              <w:left w:w="45" w:type="dxa"/>
              <w:right w:w="45" w:type="dxa"/>
            </w:tcMar>
          </w:tcPr>
          <w:p>
            <w:pPr>
              <w:spacing w:after="0" w:line="240" w:lineRule="auto"/>
            </w:pPr>
            <w:r>
              <w:rPr>
                <w:color w:val="1E293B"/>
                <w:sz w:val="14"/>
              </w:rPr>
              <w:t>Official spatial administrative boundaries for GIS joins (CC BY 4.0).</w:t>
            </w:r>
          </w:p>
        </w:tc>
      </w:tr>
      <w:tr>
        <w:trPr>
          <w:cantSplit/>
        </w:trPr>
        <w:tc>
          <w:tcPr>
            <w:tcW w:type="dxa" w:w="1706"/>
            <w:shd w:fill="F8FAFC"/>
            <w:tcMar>
              <w:top w:w="25" w:type="dxa"/>
              <w:bottom w:w="25" w:type="dxa"/>
              <w:left w:w="45" w:type="dxa"/>
              <w:right w:w="45" w:type="dxa"/>
            </w:tcMar>
          </w:tcPr>
          <w:p>
            <w:pPr>
              <w:spacing w:after="0" w:line="240" w:lineRule="auto"/>
            </w:pPr>
            <w:r>
              <w:rPr>
                <w:color w:val="1E293B"/>
                <w:sz w:val="14"/>
              </w:rPr>
              <w:t>SRC-08</w:t>
            </w:r>
          </w:p>
        </w:tc>
        <w:tc>
          <w:tcPr>
            <w:tcW w:type="dxa" w:w="1706"/>
            <w:shd w:fill="F8FAFC"/>
            <w:tcMar>
              <w:top w:w="25" w:type="dxa"/>
              <w:bottom w:w="25" w:type="dxa"/>
              <w:left w:w="45" w:type="dxa"/>
              <w:right w:w="45" w:type="dxa"/>
            </w:tcMar>
          </w:tcPr>
          <w:p>
            <w:pPr>
              <w:spacing w:after="0" w:line="240" w:lineRule="auto"/>
            </w:pPr>
            <w:r>
              <w:rPr>
                <w:color w:val="1E293B"/>
                <w:sz w:val="14"/>
              </w:rPr>
              <w:t>WorldPop / NCP</w:t>
            </w:r>
          </w:p>
        </w:tc>
        <w:tc>
          <w:tcPr>
            <w:tcW w:type="dxa" w:w="1706"/>
            <w:shd w:fill="F8FAFC"/>
            <w:tcMar>
              <w:top w:w="25" w:type="dxa"/>
              <w:bottom w:w="25" w:type="dxa"/>
              <w:left w:w="45" w:type="dxa"/>
              <w:right w:w="45" w:type="dxa"/>
            </w:tcMar>
          </w:tcPr>
          <w:p>
            <w:pPr>
              <w:spacing w:after="0" w:line="240" w:lineRule="auto"/>
            </w:pPr>
            <w:r>
              <w:rPr>
                <w:color w:val="1E293B"/>
                <w:sz w:val="14"/>
              </w:rPr>
              <w:t>2020 (2025)</w:t>
            </w:r>
          </w:p>
        </w:tc>
        <w:tc>
          <w:tcPr>
            <w:tcW w:type="dxa" w:w="1706"/>
            <w:shd w:fill="F8FAFC"/>
            <w:tcMar>
              <w:top w:w="25" w:type="dxa"/>
              <w:bottom w:w="25" w:type="dxa"/>
              <w:left w:w="45" w:type="dxa"/>
              <w:right w:w="45" w:type="dxa"/>
            </w:tcMar>
          </w:tcPr>
          <w:p>
            <w:pPr>
              <w:spacing w:after="0" w:line="240" w:lineRule="auto"/>
            </w:pPr>
            <w:r>
              <w:rPr>
                <w:color w:val="1E293B"/>
                <w:sz w:val="14"/>
              </w:rPr>
              <w:t>1km Raster</w:t>
            </w:r>
          </w:p>
        </w:tc>
        <w:tc>
          <w:tcPr>
            <w:tcW w:type="dxa" w:w="1706"/>
            <w:shd w:fill="F8FAFC"/>
            <w:tcMar>
              <w:top w:w="25" w:type="dxa"/>
              <w:bottom w:w="25" w:type="dxa"/>
              <w:left w:w="45" w:type="dxa"/>
              <w:right w:w="45" w:type="dxa"/>
            </w:tcMar>
          </w:tcPr>
          <w:p>
            <w:pPr>
              <w:spacing w:after="0" w:line="240" w:lineRule="auto"/>
            </w:pPr>
            <w:r>
              <w:rPr>
                <w:color w:val="1E293B"/>
                <w:sz w:val="14"/>
              </w:rPr>
              <w:t>375 planning cells across NCT Delhi + fringes</w:t>
            </w:r>
          </w:p>
        </w:tc>
        <w:tc>
          <w:tcPr>
            <w:tcW w:type="dxa" w:w="1706"/>
            <w:shd w:fill="F8FAFC"/>
            <w:tcMar>
              <w:top w:w="25" w:type="dxa"/>
              <w:bottom w:w="25" w:type="dxa"/>
              <w:left w:w="45" w:type="dxa"/>
              <w:right w:w="45" w:type="dxa"/>
            </w:tcMar>
          </w:tcPr>
          <w:p>
            <w:pPr>
              <w:spacing w:after="0" w:line="240" w:lineRule="auto"/>
            </w:pPr>
            <w:r>
              <w:rPr>
                <w:color w:val="1E293B"/>
                <w:sz w:val="14"/>
              </w:rPr>
              <w:t>WorldPop 2020 raster scaled to official NCP 2025 projection (22,300,000).</w:t>
            </w:r>
          </w:p>
        </w:tc>
      </w:tr>
    </w:tbl>
    <w:p>
      <w:pPr>
        <w:spacing w:after="50" w:line="254" w:lineRule="auto"/>
      </w:pPr>
      <w:r>
        <w:rPr>
          <w:rFonts w:ascii="Arial" w:hAnsi="Arial"/>
          <w:b/>
          <w:color w:val="0F172A"/>
          <w:sz w:val="18"/>
        </w:rPr>
        <w:t xml:space="preserve">Methodological Boundaries &amp; Disclosures: </w:t>
      </w:r>
      <w:r>
        <w:rPr>
          <w:rFonts w:ascii="Arial" w:hAnsi="Arial"/>
          <w:color w:val="334155"/>
          <w:sz w:val="18"/>
        </w:rPr>
        <w:t>Boundary Statement on OpenStreetMap Provenance: Crowdsourced OSM POIs and road segments are strictly restricted to the Delhi pilot geography where completeness was empirically validated (3,534 POIs, 8,087 road segments). At the national level, GridSight EV does not rely on OSM for demand modeling; national state rankings derive 100% from official MoRTH VAHAN registrations, MoSPI GSDP tables, and NITI Aayog benchmarks.</w:t>
      </w:r>
    </w:p>
    <w:p>
      <w:pPr>
        <w:pStyle w:val="ListBullet"/>
        <w:spacing w:after="36" w:line="254" w:lineRule="auto"/>
      </w:pPr>
      <w:r>
        <w:rPr>
          <w:rFonts w:ascii="Arial" w:hAnsi="Arial"/>
          <w:b/>
          <w:color w:val="0F172A"/>
          <w:sz w:val="18"/>
        </w:rPr>
        <w:t xml:space="preserve">12-Month Temporal Asynchrony: </w:t>
      </w:r>
      <w:r>
        <w:rPr>
          <w:rFonts w:ascii="Arial" w:hAnsi="Arial"/>
          <w:color w:val="334155"/>
          <w:sz w:val="18"/>
        </w:rPr>
        <w:t>The primary national supply registry (BEE, Oct 2025) predates demand data (VAHAN, Oct 2026) by 12 months, naturally exaggerating apparent deficits. GridSight EV mitigates this by providing live Switch Delhi (Oct 2026) as an alternate baseline and surfacing temporal disclaimers.</w:t>
      </w:r>
    </w:p>
    <w:p>
      <w:pPr>
        <w:pStyle w:val="ListBullet"/>
        <w:spacing w:after="36" w:line="254" w:lineRule="auto"/>
      </w:pPr>
      <w:r>
        <w:rPr>
          <w:rFonts w:ascii="Arial" w:hAnsi="Arial"/>
          <w:b/>
          <w:color w:val="0F172A"/>
          <w:sz w:val="18"/>
        </w:rPr>
        <w:t xml:space="preserve">Substation Proximity ≠ Electrical Hosting Capacity: </w:t>
      </w:r>
      <w:r>
        <w:rPr>
          <w:rFonts w:ascii="Arial" w:hAnsi="Arial"/>
          <w:color w:val="334155"/>
          <w:sz w:val="18"/>
        </w:rPr>
        <w:t>99.3% of OSM substations lack MVA capacity tags. In our model, distance to substation serves strictly as a physical interconnection proximity proxy, never claiming unverified electrical capacity.</w:t>
      </w:r>
    </w:p>
    <w:p>
      <w:pPr>
        <w:pStyle w:val="ListBullet"/>
        <w:spacing w:after="36" w:line="254" w:lineRule="auto"/>
      </w:pPr>
      <w:r>
        <w:rPr>
          <w:rFonts w:ascii="Arial" w:hAnsi="Arial"/>
          <w:b/>
          <w:color w:val="0F172A"/>
          <w:sz w:val="18"/>
        </w:rPr>
        <w:t xml:space="preserve">Active Non-Compliant Registrations (26.4%): </w:t>
      </w:r>
      <w:r>
        <w:rPr>
          <w:rFonts w:ascii="Arial" w:hAnsi="Arial"/>
          <w:color w:val="334155"/>
          <w:sz w:val="18"/>
        </w:rPr>
        <w:t>Of 10.69M active EVs, 2.82M lack active fitness/PUC. The platform displays both compliant-only (7.87M) and total active fleet metrics, establishing lower and upper demand boundaries.</w:t>
      </w:r>
    </w:p>
    <w:p>
      <w:pPr>
        <w:pStyle w:val="ListBullet"/>
        <w:spacing w:after="36" w:line="254" w:lineRule="auto"/>
      </w:pPr>
      <w:r>
        <w:rPr>
          <w:rFonts w:ascii="Arial" w:hAnsi="Arial"/>
          <w:b/>
          <w:color w:val="0F172A"/>
          <w:sz w:val="18"/>
        </w:rPr>
        <w:t xml:space="preserve">Absence of Real-Time Utilization Telemetry: </w:t>
      </w:r>
      <w:r>
        <w:rPr>
          <w:rFonts w:ascii="Arial" w:hAnsi="Arial"/>
          <w:color w:val="334155"/>
          <w:sz w:val="18"/>
        </w:rPr>
        <w:t>Public registries omit real-time connector occupancy and operational uptime. The platform models physical infrastructure presence; OMC operational availability ratios (82.0%) can be applied as a sensitivity discount.</w:t>
      </w:r>
    </w:p>
    <w:p>
      <w:r>
        <w:br w:type="page"/>
      </w:r>
    </w:p>
    <w:p>
      <w:pPr>
        <w:keepNext/>
        <w:spacing w:before="40" w:after="40"/>
      </w:pPr>
      <w:r>
        <w:rPr>
          <w:rFonts w:ascii="Arial" w:hAnsi="Arial"/>
          <w:b/>
          <w:color w:val="0F766E"/>
          <w:sz w:val="23"/>
        </w:rPr>
        <w:t>6. Phased Implementation Roadmap, References &amp; Rubric Alignment</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1872"/>
        <w:gridCol w:w="1584"/>
        <w:gridCol w:w="3888"/>
        <w:gridCol w:w="2880"/>
      </w:tblGrid>
      <w:tr>
        <w:trPr>
          <w:cantSplit/>
        </w:trPr>
        <w:tc>
          <w:tcPr>
            <w:tcW w:type="dxa" w:w="2560"/>
            <w:shd w:fill="0F766E"/>
            <w:tcMar>
              <w:top w:w="30" w:type="dxa"/>
              <w:bottom w:w="30" w:type="dxa"/>
              <w:left w:w="45" w:type="dxa"/>
              <w:right w:w="45" w:type="dxa"/>
            </w:tcMar>
          </w:tcPr>
          <w:p>
            <w:pPr>
              <w:spacing w:after="0" w:line="240" w:lineRule="auto"/>
            </w:pPr>
            <w:r>
              <w:rPr>
                <w:b/>
                <w:color w:val="FFFFFF"/>
                <w:sz w:val="15"/>
              </w:rPr>
              <w:t>Phase</w:t>
            </w:r>
          </w:p>
        </w:tc>
        <w:tc>
          <w:tcPr>
            <w:tcW w:type="dxa" w:w="2560"/>
            <w:shd w:fill="0F766E"/>
            <w:tcMar>
              <w:top w:w="30" w:type="dxa"/>
              <w:bottom w:w="30" w:type="dxa"/>
              <w:left w:w="45" w:type="dxa"/>
              <w:right w:w="45" w:type="dxa"/>
            </w:tcMar>
          </w:tcPr>
          <w:p>
            <w:pPr>
              <w:spacing w:after="0" w:line="240" w:lineRule="auto"/>
            </w:pPr>
            <w:r>
              <w:rPr>
                <w:b/>
                <w:color w:val="FFFFFF"/>
                <w:sz w:val="15"/>
              </w:rPr>
              <w:t>Timeline</w:t>
            </w:r>
          </w:p>
        </w:tc>
        <w:tc>
          <w:tcPr>
            <w:tcW w:type="dxa" w:w="2560"/>
            <w:shd w:fill="0F766E"/>
            <w:tcMar>
              <w:top w:w="30" w:type="dxa"/>
              <w:bottom w:w="30" w:type="dxa"/>
              <w:left w:w="45" w:type="dxa"/>
              <w:right w:w="45" w:type="dxa"/>
            </w:tcMar>
          </w:tcPr>
          <w:p>
            <w:pPr>
              <w:spacing w:after="0" w:line="240" w:lineRule="auto"/>
            </w:pPr>
            <w:r>
              <w:rPr>
                <w:b/>
                <w:color w:val="FFFFFF"/>
                <w:sz w:val="15"/>
              </w:rPr>
              <w:t>Core Objectives &amp; Technical Deliverables</w:t>
            </w:r>
          </w:p>
        </w:tc>
        <w:tc>
          <w:tcPr>
            <w:tcW w:type="dxa" w:w="2560"/>
            <w:shd w:fill="0F766E"/>
            <w:tcMar>
              <w:top w:w="30" w:type="dxa"/>
              <w:bottom w:w="30" w:type="dxa"/>
              <w:left w:w="45" w:type="dxa"/>
              <w:right w:w="45" w:type="dxa"/>
            </w:tcMar>
          </w:tcPr>
          <w:p>
            <w:pPr>
              <w:spacing w:after="0" w:line="240" w:lineRule="auto"/>
            </w:pPr>
            <w:r>
              <w:rPr>
                <w:b/>
                <w:color w:val="FFFFFF"/>
                <w:sz w:val="15"/>
              </w:rPr>
              <w:t>Target Exit Benchmark</w:t>
            </w:r>
          </w:p>
        </w:tc>
      </w:tr>
      <w:tr>
        <w:trPr>
          <w:cantSplit/>
        </w:trPr>
        <w:tc>
          <w:tcPr>
            <w:tcW w:type="dxa" w:w="2560"/>
            <w:shd w:fill="FFFFFF"/>
            <w:tcMar>
              <w:top w:w="25" w:type="dxa"/>
              <w:bottom w:w="25" w:type="dxa"/>
              <w:left w:w="45" w:type="dxa"/>
              <w:right w:w="45" w:type="dxa"/>
            </w:tcMar>
          </w:tcPr>
          <w:p>
            <w:pPr>
              <w:spacing w:after="0" w:line="240" w:lineRule="auto"/>
            </w:pPr>
            <w:r>
              <w:rPr>
                <w:color w:val="1E293B"/>
                <w:sz w:val="14"/>
              </w:rPr>
              <w:t>Phase 0: Baseline Freeze &amp; AI Integration</w:t>
            </w:r>
          </w:p>
        </w:tc>
        <w:tc>
          <w:tcPr>
            <w:tcW w:type="dxa" w:w="2560"/>
            <w:shd w:fill="FFFFFF"/>
            <w:tcMar>
              <w:top w:w="25" w:type="dxa"/>
              <w:bottom w:w="25" w:type="dxa"/>
              <w:left w:w="45" w:type="dxa"/>
              <w:right w:w="45" w:type="dxa"/>
            </w:tcMar>
          </w:tcPr>
          <w:p>
            <w:pPr>
              <w:spacing w:after="0" w:line="240" w:lineRule="auto"/>
            </w:pPr>
            <w:r>
              <w:rPr>
                <w:color w:val="1E293B"/>
                <w:sz w:val="14"/>
              </w:rPr>
              <w:t>Completed (Round 1)</w:t>
            </w:r>
          </w:p>
        </w:tc>
        <w:tc>
          <w:tcPr>
            <w:tcW w:type="dxa" w:w="2560"/>
            <w:shd w:fill="FFFFFF"/>
            <w:tcMar>
              <w:top w:w="25" w:type="dxa"/>
              <w:bottom w:w="25" w:type="dxa"/>
              <w:left w:w="45" w:type="dxa"/>
              <w:right w:w="45" w:type="dxa"/>
            </w:tcMar>
          </w:tcPr>
          <w:p>
            <w:pPr>
              <w:spacing w:after="0" w:line="240" w:lineRule="auto"/>
            </w:pPr>
            <w:r>
              <w:rPr>
                <w:color w:val="1E293B"/>
                <w:sz w:val="14"/>
              </w:rPr>
              <w:t>Data pipeline, 28/28 test assertions, Random Forest demand ML, Bass Diffusion forecasting, constrained siting optimizer, zero-watermark UI.</w:t>
            </w:r>
          </w:p>
        </w:tc>
        <w:tc>
          <w:tcPr>
            <w:tcW w:type="dxa" w:w="2560"/>
            <w:shd w:fill="FFFFFF"/>
            <w:tcMar>
              <w:top w:w="25" w:type="dxa"/>
              <w:bottom w:w="25" w:type="dxa"/>
              <w:left w:w="45" w:type="dxa"/>
              <w:right w:w="45" w:type="dxa"/>
            </w:tcMar>
          </w:tcPr>
          <w:p>
            <w:pPr>
              <w:spacing w:after="0" w:line="240" w:lineRule="auto"/>
            </w:pPr>
            <w:r>
              <w:rPr>
                <w:color w:val="1E293B"/>
                <w:sz w:val="14"/>
              </w:rPr>
              <w:t>Operational prototype deployed on main branch; 0 TypeScript errors.</w:t>
            </w:r>
          </w:p>
        </w:tc>
      </w:tr>
      <w:tr>
        <w:trPr>
          <w:cantSplit/>
        </w:trPr>
        <w:tc>
          <w:tcPr>
            <w:tcW w:type="dxa" w:w="2560"/>
            <w:shd w:fill="F8FAFC"/>
            <w:tcMar>
              <w:top w:w="25" w:type="dxa"/>
              <w:bottom w:w="25" w:type="dxa"/>
              <w:left w:w="45" w:type="dxa"/>
              <w:right w:w="45" w:type="dxa"/>
            </w:tcMar>
          </w:tcPr>
          <w:p>
            <w:pPr>
              <w:spacing w:after="0" w:line="240" w:lineRule="auto"/>
            </w:pPr>
            <w:r>
              <w:rPr>
                <w:color w:val="1E293B"/>
                <w:sz w:val="14"/>
              </w:rPr>
              <w:t>Phase 1: Highway Corridor Scaling</w:t>
            </w:r>
          </w:p>
        </w:tc>
        <w:tc>
          <w:tcPr>
            <w:tcW w:type="dxa" w:w="2560"/>
            <w:shd w:fill="F8FAFC"/>
            <w:tcMar>
              <w:top w:w="25" w:type="dxa"/>
              <w:bottom w:w="25" w:type="dxa"/>
              <w:left w:w="45" w:type="dxa"/>
              <w:right w:w="45" w:type="dxa"/>
            </w:tcMar>
          </w:tcPr>
          <w:p>
            <w:pPr>
              <w:spacing w:after="0" w:line="240" w:lineRule="auto"/>
            </w:pPr>
            <w:r>
              <w:rPr>
                <w:color w:val="1E293B"/>
                <w:sz w:val="14"/>
              </w:rPr>
              <w:t>Weeks 1–2 (Post-R1)</w:t>
            </w:r>
          </w:p>
        </w:tc>
        <w:tc>
          <w:tcPr>
            <w:tcW w:type="dxa" w:w="2560"/>
            <w:shd w:fill="F8FAFC"/>
            <w:tcMar>
              <w:top w:w="25" w:type="dxa"/>
              <w:bottom w:w="25" w:type="dxa"/>
              <w:left w:w="45" w:type="dxa"/>
              <w:right w:w="45" w:type="dxa"/>
            </w:tcMar>
          </w:tcPr>
          <w:p>
            <w:pPr>
              <w:spacing w:after="0" w:line="240" w:lineRule="auto"/>
            </w:pPr>
            <w:r>
              <w:rPr>
                <w:color w:val="1E293B"/>
                <w:sz w:val="14"/>
              </w:rPr>
              <w:t>Expand 5km spatial buffer along NH-48 (Delhi–Jaipur) and Yamuna Expressway using PM Gati Shakti &amp; NHAI freight vector layers for inter-city infill.</w:t>
            </w:r>
          </w:p>
        </w:tc>
        <w:tc>
          <w:tcPr>
            <w:tcW w:type="dxa" w:w="2560"/>
            <w:shd w:fill="F8FAFC"/>
            <w:tcMar>
              <w:top w:w="25" w:type="dxa"/>
              <w:bottom w:w="25" w:type="dxa"/>
              <w:left w:w="45" w:type="dxa"/>
              <w:right w:w="45" w:type="dxa"/>
            </w:tcMar>
          </w:tcPr>
          <w:p>
            <w:pPr>
              <w:spacing w:after="0" w:line="240" w:lineRule="auto"/>
            </w:pPr>
            <w:r>
              <w:rPr>
                <w:color w:val="1E293B"/>
                <w:sz w:val="14"/>
              </w:rPr>
              <w:t>Inter-city highway corridor infill &amp; fast-charging simulation tool.</w:t>
            </w:r>
          </w:p>
        </w:tc>
      </w:tr>
      <w:tr>
        <w:trPr>
          <w:cantSplit/>
        </w:trPr>
        <w:tc>
          <w:tcPr>
            <w:tcW w:type="dxa" w:w="2560"/>
            <w:shd w:fill="FFFFFF"/>
            <w:tcMar>
              <w:top w:w="25" w:type="dxa"/>
              <w:bottom w:w="25" w:type="dxa"/>
              <w:left w:w="45" w:type="dxa"/>
              <w:right w:w="45" w:type="dxa"/>
            </w:tcMar>
          </w:tcPr>
          <w:p>
            <w:pPr>
              <w:spacing w:after="0" w:line="240" w:lineRule="auto"/>
            </w:pPr>
            <w:r>
              <w:rPr>
                <w:color w:val="1E293B"/>
                <w:sz w:val="14"/>
              </w:rPr>
              <w:t>Phase 2: Distribution Grid Capacity Proxies</w:t>
            </w:r>
          </w:p>
        </w:tc>
        <w:tc>
          <w:tcPr>
            <w:tcW w:type="dxa" w:w="2560"/>
            <w:shd w:fill="FFFFFF"/>
            <w:tcMar>
              <w:top w:w="25" w:type="dxa"/>
              <w:bottom w:w="25" w:type="dxa"/>
              <w:left w:w="45" w:type="dxa"/>
              <w:right w:w="45" w:type="dxa"/>
            </w:tcMar>
          </w:tcPr>
          <w:p>
            <w:pPr>
              <w:spacing w:after="0" w:line="240" w:lineRule="auto"/>
            </w:pPr>
            <w:r>
              <w:rPr>
                <w:color w:val="1E293B"/>
                <w:sz w:val="14"/>
              </w:rPr>
              <w:t>Weeks 3–4 (Post-R1)</w:t>
            </w:r>
          </w:p>
        </w:tc>
        <w:tc>
          <w:tcPr>
            <w:tcW w:type="dxa" w:w="2560"/>
            <w:shd w:fill="FFFFFF"/>
            <w:tcMar>
              <w:top w:w="25" w:type="dxa"/>
              <w:bottom w:w="25" w:type="dxa"/>
              <w:left w:w="45" w:type="dxa"/>
              <w:right w:w="45" w:type="dxa"/>
            </w:tcMar>
          </w:tcPr>
          <w:p>
            <w:pPr>
              <w:spacing w:after="0" w:line="240" w:lineRule="auto"/>
            </w:pPr>
            <w:r>
              <w:rPr>
                <w:color w:val="1E293B"/>
                <w:sz w:val="14"/>
              </w:rPr>
              <w:t>Incorporate secondary CEA distribution standards and DISCOM voltage levels (11kV, 33kV, 66kV) to model feeder hosting headroom without proprietary SCADA.</w:t>
            </w:r>
          </w:p>
        </w:tc>
        <w:tc>
          <w:tcPr>
            <w:tcW w:type="dxa" w:w="2560"/>
            <w:shd w:fill="FFFFFF"/>
            <w:tcMar>
              <w:top w:w="25" w:type="dxa"/>
              <w:bottom w:w="25" w:type="dxa"/>
              <w:left w:w="45" w:type="dxa"/>
              <w:right w:w="45" w:type="dxa"/>
            </w:tcMar>
          </w:tcPr>
          <w:p>
            <w:pPr>
              <w:spacing w:after="0" w:line="240" w:lineRule="auto"/>
            </w:pPr>
            <w:r>
              <w:rPr>
                <w:color w:val="1E293B"/>
                <w:sz w:val="14"/>
              </w:rPr>
              <w:t>Grid Feasibility Index per 2km cell combining distance &amp; voltage.</w:t>
            </w:r>
          </w:p>
        </w:tc>
      </w:tr>
      <w:tr>
        <w:trPr>
          <w:cantSplit/>
        </w:trPr>
        <w:tc>
          <w:tcPr>
            <w:tcW w:type="dxa" w:w="2560"/>
            <w:shd w:fill="F8FAFC"/>
            <w:tcMar>
              <w:top w:w="25" w:type="dxa"/>
              <w:bottom w:w="25" w:type="dxa"/>
              <w:left w:w="45" w:type="dxa"/>
              <w:right w:w="45" w:type="dxa"/>
            </w:tcMar>
          </w:tcPr>
          <w:p>
            <w:pPr>
              <w:spacing w:after="0" w:line="240" w:lineRule="auto"/>
            </w:pPr>
            <w:r>
              <w:rPr>
                <w:color w:val="1E293B"/>
                <w:sz w:val="14"/>
              </w:rPr>
              <w:t>Phase 3: Final Deployment &amp; Grand Finale</w:t>
            </w:r>
          </w:p>
        </w:tc>
        <w:tc>
          <w:tcPr>
            <w:tcW w:type="dxa" w:w="2560"/>
            <w:shd w:fill="F8FAFC"/>
            <w:tcMar>
              <w:top w:w="25" w:type="dxa"/>
              <w:bottom w:w="25" w:type="dxa"/>
              <w:left w:w="45" w:type="dxa"/>
              <w:right w:w="45" w:type="dxa"/>
            </w:tcMar>
          </w:tcPr>
          <w:p>
            <w:pPr>
              <w:spacing w:after="0" w:line="240" w:lineRule="auto"/>
            </w:pPr>
            <w:r>
              <w:rPr>
                <w:color w:val="1E293B"/>
                <w:sz w:val="14"/>
              </w:rPr>
              <w:t>Weeks 5–6 (Post-R1)</w:t>
            </w:r>
          </w:p>
        </w:tc>
        <w:tc>
          <w:tcPr>
            <w:tcW w:type="dxa" w:w="2560"/>
            <w:shd w:fill="F8FAFC"/>
            <w:tcMar>
              <w:top w:w="25" w:type="dxa"/>
              <w:bottom w:w="25" w:type="dxa"/>
              <w:left w:w="45" w:type="dxa"/>
              <w:right w:w="45" w:type="dxa"/>
            </w:tcMar>
          </w:tcPr>
          <w:p>
            <w:pPr>
              <w:spacing w:after="0" w:line="240" w:lineRule="auto"/>
            </w:pPr>
            <w:r>
              <w:rPr>
                <w:color w:val="1E293B"/>
                <w:sz w:val="14"/>
              </w:rPr>
              <w:t>Containerize full application via Docker; establish high-availability cloud hosting with full offline caching fallback for jury defense.</w:t>
            </w:r>
          </w:p>
        </w:tc>
        <w:tc>
          <w:tcPr>
            <w:tcW w:type="dxa" w:w="2560"/>
            <w:shd w:fill="F8FAFC"/>
            <w:tcMar>
              <w:top w:w="25" w:type="dxa"/>
              <w:bottom w:w="25" w:type="dxa"/>
              <w:left w:w="45" w:type="dxa"/>
              <w:right w:w="45" w:type="dxa"/>
            </w:tcMar>
          </w:tcPr>
          <w:p>
            <w:pPr>
              <w:spacing w:after="0" w:line="240" w:lineRule="auto"/>
            </w:pPr>
            <w:r>
              <w:rPr>
                <w:color w:val="1E293B"/>
                <w:sz w:val="14"/>
              </w:rPr>
              <w:t>Rehearsed live jury demonstration with zero external API dependencies.</w:t>
            </w:r>
          </w:p>
        </w:tc>
      </w:tr>
    </w:tbl>
    <w:p>
      <w:pPr>
        <w:keepNext/>
        <w:spacing w:before="80" w:after="30"/>
      </w:pPr>
      <w:r>
        <w:rPr>
          <w:rFonts w:ascii="Arial" w:hAnsi="Arial"/>
          <w:b/>
          <w:color w:val="1E293B"/>
          <w:sz w:val="19"/>
        </w:rPr>
        <w:t>Official Techfest Evaluation Criteria Alignment Matrix</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1152"/>
        <w:gridCol w:w="3168"/>
        <w:gridCol w:w="3312"/>
      </w:tblGrid>
      <w:tr>
        <w:trPr>
          <w:cantSplit/>
        </w:trPr>
        <w:tc>
          <w:tcPr>
            <w:tcW w:type="dxa" w:w="2560"/>
            <w:shd w:fill="0F766E"/>
            <w:tcMar>
              <w:top w:w="30" w:type="dxa"/>
              <w:bottom w:w="30" w:type="dxa"/>
              <w:left w:w="45" w:type="dxa"/>
              <w:right w:w="45" w:type="dxa"/>
            </w:tcMar>
          </w:tcPr>
          <w:p>
            <w:pPr>
              <w:spacing w:after="0" w:line="240" w:lineRule="auto"/>
            </w:pPr>
            <w:r>
              <w:rPr>
                <w:b/>
                <w:color w:val="FFFFFF"/>
                <w:sz w:val="15"/>
              </w:rPr>
              <w:t>Evaluation Criterion</w:t>
            </w:r>
          </w:p>
        </w:tc>
        <w:tc>
          <w:tcPr>
            <w:tcW w:type="dxa" w:w="2560"/>
            <w:shd w:fill="0F766E"/>
            <w:tcMar>
              <w:top w:w="30" w:type="dxa"/>
              <w:bottom w:w="30" w:type="dxa"/>
              <w:left w:w="45" w:type="dxa"/>
              <w:right w:w="45" w:type="dxa"/>
            </w:tcMar>
          </w:tcPr>
          <w:p>
            <w:pPr>
              <w:spacing w:after="0" w:line="240" w:lineRule="auto"/>
            </w:pPr>
            <w:r>
              <w:rPr>
                <w:b/>
                <w:color w:val="FFFFFF"/>
                <w:sz w:val="15"/>
              </w:rPr>
              <w:t>Weight</w:t>
            </w:r>
          </w:p>
        </w:tc>
        <w:tc>
          <w:tcPr>
            <w:tcW w:type="dxa" w:w="2560"/>
            <w:shd w:fill="0F766E"/>
            <w:tcMar>
              <w:top w:w="30" w:type="dxa"/>
              <w:bottom w:w="30" w:type="dxa"/>
              <w:left w:w="45" w:type="dxa"/>
              <w:right w:w="45" w:type="dxa"/>
            </w:tcMar>
          </w:tcPr>
          <w:p>
            <w:pPr>
              <w:spacing w:after="0" w:line="240" w:lineRule="auto"/>
            </w:pPr>
            <w:r>
              <w:rPr>
                <w:b/>
                <w:color w:val="FFFFFF"/>
                <w:sz w:val="15"/>
              </w:rPr>
              <w:t>Methodology Document Sections</w:t>
            </w:r>
          </w:p>
        </w:tc>
        <w:tc>
          <w:tcPr>
            <w:tcW w:type="dxa" w:w="2560"/>
            <w:shd w:fill="0F766E"/>
            <w:tcMar>
              <w:top w:w="30" w:type="dxa"/>
              <w:bottom w:w="30" w:type="dxa"/>
              <w:left w:w="45" w:type="dxa"/>
              <w:right w:w="45" w:type="dxa"/>
            </w:tcMar>
          </w:tcPr>
          <w:p>
            <w:pPr>
              <w:spacing w:after="0" w:line="240" w:lineRule="auto"/>
            </w:pPr>
            <w:r>
              <w:rPr>
                <w:b/>
                <w:color w:val="FFFFFF"/>
                <w:sz w:val="15"/>
              </w:rPr>
              <w:t>Repository Verification Evidence</w:t>
            </w:r>
          </w:p>
        </w:tc>
      </w:tr>
      <w:tr>
        <w:trPr>
          <w:cantSplit/>
        </w:trPr>
        <w:tc>
          <w:tcPr>
            <w:tcW w:type="dxa" w:w="2560"/>
            <w:shd w:fill="FFFFFF"/>
            <w:tcMar>
              <w:top w:w="25" w:type="dxa"/>
              <w:bottom w:w="25" w:type="dxa"/>
              <w:left w:w="45" w:type="dxa"/>
              <w:right w:w="45" w:type="dxa"/>
            </w:tcMar>
          </w:tcPr>
          <w:p>
            <w:pPr>
              <w:spacing w:after="0" w:line="240" w:lineRule="auto"/>
            </w:pPr>
            <w:r>
              <w:rPr>
                <w:color w:val="1E293B"/>
                <w:sz w:val="14"/>
              </w:rPr>
              <w:t>Problem Understanding &amp; Relevance</w:t>
            </w:r>
          </w:p>
        </w:tc>
        <w:tc>
          <w:tcPr>
            <w:tcW w:type="dxa" w:w="2560"/>
            <w:shd w:fill="FFFFFF"/>
            <w:tcMar>
              <w:top w:w="25" w:type="dxa"/>
              <w:bottom w:w="25" w:type="dxa"/>
              <w:left w:w="45" w:type="dxa"/>
              <w:right w:w="45" w:type="dxa"/>
            </w:tcMar>
          </w:tcPr>
          <w:p>
            <w:pPr>
              <w:spacing w:after="0" w:line="240" w:lineRule="auto"/>
            </w:pPr>
            <w:r>
              <w:rPr>
                <w:color w:val="1E293B"/>
                <w:sz w:val="14"/>
              </w:rPr>
              <w:t>25%</w:t>
            </w:r>
          </w:p>
        </w:tc>
        <w:tc>
          <w:tcPr>
            <w:tcW w:type="dxa" w:w="2560"/>
            <w:shd w:fill="FFFFFF"/>
            <w:tcMar>
              <w:top w:w="25" w:type="dxa"/>
              <w:bottom w:w="25" w:type="dxa"/>
              <w:left w:w="45" w:type="dxa"/>
              <w:right w:w="45" w:type="dxa"/>
            </w:tcMar>
          </w:tcPr>
          <w:p>
            <w:pPr>
              <w:spacing w:after="0" w:line="240" w:lineRule="auto"/>
            </w:pPr>
            <w:r>
              <w:rPr>
                <w:color w:val="1E293B"/>
                <w:sz w:val="14"/>
              </w:rPr>
              <w:t>Section 1: Multi-registry overlap, Burari RTO distortion, spatial vs. volumetric adequacy disconnect.</w:t>
            </w:r>
          </w:p>
        </w:tc>
        <w:tc>
          <w:tcPr>
            <w:tcW w:type="dxa" w:w="2560"/>
            <w:shd w:fill="FFFFFF"/>
            <w:tcMar>
              <w:top w:w="25" w:type="dxa"/>
              <w:bottom w:w="25" w:type="dxa"/>
              <w:left w:w="45" w:type="dxa"/>
              <w:right w:w="45" w:type="dxa"/>
            </w:tcMar>
          </w:tcPr>
          <w:p>
            <w:pPr>
              <w:spacing w:after="0" w:line="240" w:lineRule="auto"/>
            </w:pPr>
            <w:r>
              <w:rPr>
                <w:color w:val="1E293B"/>
                <w:sz w:val="14"/>
              </w:rPr>
              <w:t>DATA_AVAILABILITY_AUDIT.md, DATA_GAPS.md, non-additivity design matrix in UI.</w:t>
            </w:r>
          </w:p>
        </w:tc>
      </w:tr>
      <w:tr>
        <w:trPr>
          <w:cantSplit/>
        </w:trPr>
        <w:tc>
          <w:tcPr>
            <w:tcW w:type="dxa" w:w="2560"/>
            <w:shd w:fill="F8FAFC"/>
            <w:tcMar>
              <w:top w:w="25" w:type="dxa"/>
              <w:bottom w:w="25" w:type="dxa"/>
              <w:left w:w="45" w:type="dxa"/>
              <w:right w:w="45" w:type="dxa"/>
            </w:tcMar>
          </w:tcPr>
          <w:p>
            <w:pPr>
              <w:spacing w:after="0" w:line="240" w:lineRule="auto"/>
            </w:pPr>
            <w:r>
              <w:rPr>
                <w:color w:val="1E293B"/>
                <w:sz w:val="14"/>
              </w:rPr>
              <w:t>Technical Approach &amp; Feasibility</w:t>
            </w:r>
          </w:p>
        </w:tc>
        <w:tc>
          <w:tcPr>
            <w:tcW w:type="dxa" w:w="2560"/>
            <w:shd w:fill="F8FAFC"/>
            <w:tcMar>
              <w:top w:w="25" w:type="dxa"/>
              <w:bottom w:w="25" w:type="dxa"/>
              <w:left w:w="45" w:type="dxa"/>
              <w:right w:w="45" w:type="dxa"/>
            </w:tcMar>
          </w:tcPr>
          <w:p>
            <w:pPr>
              <w:spacing w:after="0" w:line="240" w:lineRule="auto"/>
            </w:pPr>
            <w:r>
              <w:rPr>
                <w:color w:val="1E293B"/>
                <w:sz w:val="14"/>
              </w:rPr>
              <w:t>25%</w:t>
            </w:r>
          </w:p>
        </w:tc>
        <w:tc>
          <w:tcPr>
            <w:tcW w:type="dxa" w:w="2560"/>
            <w:shd w:fill="F8FAFC"/>
            <w:tcMar>
              <w:top w:w="25" w:type="dxa"/>
              <w:bottom w:w="25" w:type="dxa"/>
              <w:left w:w="45" w:type="dxa"/>
              <w:right w:w="45" w:type="dxa"/>
            </w:tcMar>
          </w:tcPr>
          <w:p>
            <w:pPr>
              <w:spacing w:after="0" w:line="240" w:lineRule="auto"/>
            </w:pPr>
            <w:r>
              <w:rPr>
                <w:color w:val="1E293B"/>
                <w:sz w:val="14"/>
              </w:rPr>
              <w:t>Sections 2 &amp; 3: 375-cell grid, Random Forest ML, continuous Sigmoid decay, Bass diffusion, 2030 energy balance.</w:t>
            </w:r>
          </w:p>
        </w:tc>
        <w:tc>
          <w:tcPr>
            <w:tcW w:type="dxa" w:w="2560"/>
            <w:shd w:fill="F8FAFC"/>
            <w:tcMar>
              <w:top w:w="25" w:type="dxa"/>
              <w:bottom w:w="25" w:type="dxa"/>
              <w:left w:w="45" w:type="dxa"/>
              <w:right w:w="45" w:type="dxa"/>
            </w:tcMar>
          </w:tcPr>
          <w:p>
            <w:pPr>
              <w:spacing w:after="0" w:line="240" w:lineRule="auto"/>
            </w:pPr>
            <w:r>
              <w:rPr>
                <w:color w:val="1E293B"/>
                <w:sz w:val="14"/>
              </w:rPr>
              <w:t>scripts/train_ai_models.py, src/utils/planningEngine.ts, 28/28 assertions pass.</w:t>
            </w:r>
          </w:p>
        </w:tc>
      </w:tr>
      <w:tr>
        <w:trPr>
          <w:cantSplit/>
        </w:trPr>
        <w:tc>
          <w:tcPr>
            <w:tcW w:type="dxa" w:w="2560"/>
            <w:shd w:fill="FFFFFF"/>
            <w:tcMar>
              <w:top w:w="25" w:type="dxa"/>
              <w:bottom w:w="25" w:type="dxa"/>
              <w:left w:w="45" w:type="dxa"/>
              <w:right w:w="45" w:type="dxa"/>
            </w:tcMar>
          </w:tcPr>
          <w:p>
            <w:pPr>
              <w:spacing w:after="0" w:line="240" w:lineRule="auto"/>
            </w:pPr>
            <w:r>
              <w:rPr>
                <w:color w:val="1E293B"/>
                <w:sz w:val="14"/>
              </w:rPr>
              <w:t>Innovation &amp; Differentiation</w:t>
            </w:r>
          </w:p>
        </w:tc>
        <w:tc>
          <w:tcPr>
            <w:tcW w:type="dxa" w:w="2560"/>
            <w:shd w:fill="FFFFFF"/>
            <w:tcMar>
              <w:top w:w="25" w:type="dxa"/>
              <w:bottom w:w="25" w:type="dxa"/>
              <w:left w:w="45" w:type="dxa"/>
              <w:right w:w="45" w:type="dxa"/>
            </w:tcMar>
          </w:tcPr>
          <w:p>
            <w:pPr>
              <w:spacing w:after="0" w:line="240" w:lineRule="auto"/>
            </w:pPr>
            <w:r>
              <w:rPr>
                <w:color w:val="1E293B"/>
                <w:sz w:val="14"/>
              </w:rPr>
              <w:t>20%</w:t>
            </w:r>
          </w:p>
        </w:tc>
        <w:tc>
          <w:tcPr>
            <w:tcW w:type="dxa" w:w="2560"/>
            <w:shd w:fill="FFFFFF"/>
            <w:tcMar>
              <w:top w:w="25" w:type="dxa"/>
              <w:bottom w:w="25" w:type="dxa"/>
              <w:left w:w="45" w:type="dxa"/>
              <w:right w:w="45" w:type="dxa"/>
            </w:tcMar>
          </w:tcPr>
          <w:p>
            <w:pPr>
              <w:spacing w:after="0" w:line="240" w:lineRule="auto"/>
            </w:pPr>
            <w:r>
              <w:rPr>
                <w:color w:val="1E293B"/>
                <w:sz w:val="14"/>
              </w:rPr>
              <w:t>Section 3 &amp; 4: Physics-Informed ML, greedy submodular siting optimizer, power substitution matrix, dual VAHAN tags.</w:t>
            </w:r>
          </w:p>
        </w:tc>
        <w:tc>
          <w:tcPr>
            <w:tcW w:type="dxa" w:w="2560"/>
            <w:shd w:fill="FFFFFF"/>
            <w:tcMar>
              <w:top w:w="25" w:type="dxa"/>
              <w:bottom w:w="25" w:type="dxa"/>
              <w:left w:w="45" w:type="dxa"/>
              <w:right w:w="45" w:type="dxa"/>
            </w:tcMar>
          </w:tcPr>
          <w:p>
            <w:pPr>
              <w:spacing w:after="0" w:line="240" w:lineRule="auto"/>
            </w:pPr>
            <w:r>
              <w:rPr>
                <w:color w:val="1E293B"/>
                <w:sz w:val="14"/>
              </w:rPr>
              <w:t>src/components/AiStudioView.tsx, public/data/ai_optimization_results.json.</w:t>
            </w:r>
          </w:p>
        </w:tc>
      </w:tr>
      <w:tr>
        <w:trPr>
          <w:cantSplit/>
        </w:trPr>
        <w:tc>
          <w:tcPr>
            <w:tcW w:type="dxa" w:w="2560"/>
            <w:shd w:fill="F8FAFC"/>
            <w:tcMar>
              <w:top w:w="25" w:type="dxa"/>
              <w:bottom w:w="25" w:type="dxa"/>
              <w:left w:w="45" w:type="dxa"/>
              <w:right w:w="45" w:type="dxa"/>
            </w:tcMar>
          </w:tcPr>
          <w:p>
            <w:pPr>
              <w:spacing w:after="0" w:line="240" w:lineRule="auto"/>
            </w:pPr>
            <w:r>
              <w:rPr>
                <w:color w:val="1E293B"/>
                <w:sz w:val="14"/>
              </w:rPr>
              <w:t>Implementation Roadmap &amp; Feasibility</w:t>
            </w:r>
          </w:p>
        </w:tc>
        <w:tc>
          <w:tcPr>
            <w:tcW w:type="dxa" w:w="2560"/>
            <w:shd w:fill="F8FAFC"/>
            <w:tcMar>
              <w:top w:w="25" w:type="dxa"/>
              <w:bottom w:w="25" w:type="dxa"/>
              <w:left w:w="45" w:type="dxa"/>
              <w:right w:w="45" w:type="dxa"/>
            </w:tcMar>
          </w:tcPr>
          <w:p>
            <w:pPr>
              <w:spacing w:after="0" w:line="240" w:lineRule="auto"/>
            </w:pPr>
            <w:r>
              <w:rPr>
                <w:color w:val="1E293B"/>
                <w:sz w:val="14"/>
              </w:rPr>
              <w:t>20%</w:t>
            </w:r>
          </w:p>
        </w:tc>
        <w:tc>
          <w:tcPr>
            <w:tcW w:type="dxa" w:w="2560"/>
            <w:shd w:fill="F8FAFC"/>
            <w:tcMar>
              <w:top w:w="25" w:type="dxa"/>
              <w:bottom w:w="25" w:type="dxa"/>
              <w:left w:w="45" w:type="dxa"/>
              <w:right w:w="45" w:type="dxa"/>
            </w:tcMar>
          </w:tcPr>
          <w:p>
            <w:pPr>
              <w:spacing w:after="0" w:line="240" w:lineRule="auto"/>
            </w:pPr>
            <w:r>
              <w:rPr>
                <w:color w:val="1E293B"/>
                <w:sz w:val="14"/>
              </w:rPr>
              <w:t>Section 1 &amp; 6: Phase 0 completed prototype, Phases 1–3 highway and DISCOM milestones, exit benchmarks.</w:t>
            </w:r>
          </w:p>
        </w:tc>
        <w:tc>
          <w:tcPr>
            <w:tcW w:type="dxa" w:w="2560"/>
            <w:shd w:fill="F8FAFC"/>
            <w:tcMar>
              <w:top w:w="25" w:type="dxa"/>
              <w:bottom w:w="25" w:type="dxa"/>
              <w:left w:w="45" w:type="dxa"/>
              <w:right w:w="45" w:type="dxa"/>
            </w:tcMar>
          </w:tcPr>
          <w:p>
            <w:pPr>
              <w:spacing w:after="0" w:line="240" w:lineRule="auto"/>
            </w:pPr>
            <w:r>
              <w:rPr>
                <w:color w:val="1E293B"/>
                <w:sz w:val="14"/>
              </w:rPr>
              <w:t>DELIVERABLE_AUDIT.md, production build in 7.68s, zero type errors.</w:t>
            </w:r>
          </w:p>
        </w:tc>
      </w:tr>
      <w:tr>
        <w:trPr>
          <w:cantSplit/>
        </w:trPr>
        <w:tc>
          <w:tcPr>
            <w:tcW w:type="dxa" w:w="2560"/>
            <w:shd w:fill="FFFFFF"/>
            <w:tcMar>
              <w:top w:w="25" w:type="dxa"/>
              <w:bottom w:w="25" w:type="dxa"/>
              <w:left w:w="45" w:type="dxa"/>
              <w:right w:w="45" w:type="dxa"/>
            </w:tcMar>
          </w:tcPr>
          <w:p>
            <w:pPr>
              <w:spacing w:after="0" w:line="240" w:lineRule="auto"/>
            </w:pPr>
            <w:r>
              <w:rPr>
                <w:color w:val="1E293B"/>
                <w:sz w:val="14"/>
              </w:rPr>
              <w:t>Data Strategy &amp; Provenance</w:t>
            </w:r>
          </w:p>
        </w:tc>
        <w:tc>
          <w:tcPr>
            <w:tcW w:type="dxa" w:w="2560"/>
            <w:shd w:fill="FFFFFF"/>
            <w:tcMar>
              <w:top w:w="25" w:type="dxa"/>
              <w:bottom w:w="25" w:type="dxa"/>
              <w:left w:w="45" w:type="dxa"/>
              <w:right w:w="45" w:type="dxa"/>
            </w:tcMar>
          </w:tcPr>
          <w:p>
            <w:pPr>
              <w:spacing w:after="0" w:line="240" w:lineRule="auto"/>
            </w:pPr>
            <w:r>
              <w:rPr>
                <w:color w:val="1E293B"/>
                <w:sz w:val="14"/>
              </w:rPr>
              <w:t>10%</w:t>
            </w:r>
          </w:p>
        </w:tc>
        <w:tc>
          <w:tcPr>
            <w:tcW w:type="dxa" w:w="2560"/>
            <w:shd w:fill="FFFFFF"/>
            <w:tcMar>
              <w:top w:w="25" w:type="dxa"/>
              <w:bottom w:w="25" w:type="dxa"/>
              <w:left w:w="45" w:type="dxa"/>
              <w:right w:w="45" w:type="dxa"/>
            </w:tcMar>
          </w:tcPr>
          <w:p>
            <w:pPr>
              <w:spacing w:after="0" w:line="240" w:lineRule="auto"/>
            </w:pPr>
            <w:r>
              <w:rPr>
                <w:color w:val="1E293B"/>
                <w:sz w:val="14"/>
              </w:rPr>
              <w:t>Section 5 &amp; References: 8-source provenance table, 19 Oct 2026 freeze, OSM boundary statement, caveats.</w:t>
            </w:r>
          </w:p>
        </w:tc>
        <w:tc>
          <w:tcPr>
            <w:tcW w:type="dxa" w:w="2560"/>
            <w:shd w:fill="FFFFFF"/>
            <w:tcMar>
              <w:top w:w="25" w:type="dxa"/>
              <w:bottom w:w="25" w:type="dxa"/>
              <w:left w:w="45" w:type="dxa"/>
              <w:right w:w="45" w:type="dxa"/>
            </w:tcMar>
          </w:tcPr>
          <w:p>
            <w:pPr>
              <w:spacing w:after="0" w:line="240" w:lineRule="auto"/>
            </w:pPr>
            <w:r>
              <w:rPr>
                <w:color w:val="1E293B"/>
                <w:sz w:val="14"/>
              </w:rPr>
              <w:t>data/source_manifest.csv, DATA_QUALITY_REPORT.md, raw data archives.</w:t>
            </w:r>
          </w:p>
        </w:tc>
      </w:tr>
    </w:tbl>
    <w:p>
      <w:pPr>
        <w:keepNext/>
        <w:spacing w:before="70" w:after="30"/>
      </w:pPr>
      <w:r>
        <w:rPr>
          <w:rFonts w:ascii="Arial" w:hAnsi="Arial"/>
          <w:b/>
          <w:color w:val="1E293B"/>
          <w:sz w:val="19"/>
        </w:rPr>
        <w:t>Key Regulatory &amp; Scientific References</w:t>
      </w:r>
    </w:p>
    <w:p>
      <w:pPr>
        <w:spacing w:after="20" w:line="240" w:lineRule="auto"/>
      </w:pPr>
      <w:r>
        <w:rPr>
          <w:rFonts w:ascii="Arial" w:hAnsi="Arial"/>
          <w:color w:val="64748B"/>
          <w:sz w:val="14"/>
        </w:rPr>
        <w:t>[1] BEE, MoP: Public Charging Stations Data till 26 Oct 2025 (EV_PCS_Data_29277.pdf), Pub. 17 Feb 2026.  [2] MoPNG / MHI: PIB PRID 2246042 &amp; 2246045 (OMC EVPCS &amp; FAME-II Deployments), 27 Mar 2026.  [3] GNCTD Transport Dept &amp; DDC: Switch Delhi Charging &amp; Swapping Registry (ev.delhi.gov.in), snapshot 19 Oct 2026.  [4] MoRTH / NIC: VAHAN 4 Public Analytics Portal (analytics.parivahan.gov.in), snapshot 19 Oct 2026.  [5] WorldPop Project: India 1km Population Raster (Dataset 50771), scaled to NCP 2025 projection (22.3M).  [6] OpenStreetMap Contributors: Overpass API extracts for Delhi &amp; India stations, highways, substations (ODbL 1.0), snapshot 19 Oct 2026.  [7] NITI Aayog &amp; WRI India: India Electric Mobility Index (IEMI) 2025, Pub. Dec 2025.  [8] DataMeet Spatial Community: Census-2011 State &amp; District Boundaries (CC BY 4.0).  [9] Bass, F. M.: A New Product Growth for Model Innovations, Management Science 15(5), 1969.</w:t>
      </w:r>
    </w:p>
    <w:sectPr w:rsidR="00FC693F" w:rsidRPr="0006063C" w:rsidSect="00034616">
      <w:headerReference w:type="default" r:id="rId9"/>
      <w:footerReference w:type="default" r:id="rId10"/>
      <w:pgSz w:w="11909" w:h="16834"/>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Team Mechies • Netaji Subhas University of Technology (NSUT) • IIT Bombay Techfest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GridSight EV | Techfest 2026–27 Round 1 Methodology | Challenge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50"/>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