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3ED0" w14:textId="77777777" w:rsidR="00963F4D" w:rsidRDefault="00000000">
      <w:pPr>
        <w:pStyle w:val="Title"/>
      </w:pPr>
      <w:r>
        <w:rPr>
          <w:color w:val="2E5395"/>
        </w:rPr>
        <w:t>ACT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471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Assignment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10"/>
        </w:rPr>
        <w:t>3</w:t>
      </w:r>
    </w:p>
    <w:p w14:paraId="26619226" w14:textId="77777777" w:rsidR="00963F4D" w:rsidRDefault="00000000">
      <w:pPr>
        <w:spacing w:before="72"/>
        <w:ind w:left="100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Part</w:t>
      </w:r>
      <w:r>
        <w:rPr>
          <w:rFonts w:ascii="Calibri Light"/>
          <w:color w:val="2E5395"/>
          <w:spacing w:val="-7"/>
          <w:sz w:val="26"/>
        </w:rPr>
        <w:t xml:space="preserve"> </w:t>
      </w:r>
      <w:r>
        <w:rPr>
          <w:rFonts w:ascii="Calibri Light"/>
          <w:color w:val="2E5395"/>
          <w:sz w:val="26"/>
        </w:rPr>
        <w:t>3:</w:t>
      </w:r>
      <w:r>
        <w:rPr>
          <w:rFonts w:ascii="Calibri Light"/>
          <w:color w:val="2E5395"/>
          <w:spacing w:val="-9"/>
          <w:sz w:val="26"/>
        </w:rPr>
        <w:t xml:space="preserve"> </w:t>
      </w:r>
      <w:r>
        <w:rPr>
          <w:rFonts w:ascii="Calibri Light"/>
          <w:color w:val="2E5395"/>
          <w:sz w:val="26"/>
        </w:rPr>
        <w:t>Government</w:t>
      </w:r>
      <w:r>
        <w:rPr>
          <w:rFonts w:ascii="Calibri Light"/>
          <w:color w:val="2E5395"/>
          <w:spacing w:val="-7"/>
          <w:sz w:val="26"/>
        </w:rPr>
        <w:t xml:space="preserve"> </w:t>
      </w:r>
      <w:r>
        <w:rPr>
          <w:rFonts w:ascii="Calibri Light"/>
          <w:color w:val="2E5395"/>
          <w:sz w:val="26"/>
        </w:rPr>
        <w:t>and</w:t>
      </w:r>
      <w:r>
        <w:rPr>
          <w:rFonts w:ascii="Calibri Light"/>
          <w:color w:val="2E5395"/>
          <w:spacing w:val="-8"/>
          <w:sz w:val="26"/>
        </w:rPr>
        <w:t xml:space="preserve"> </w:t>
      </w:r>
      <w:r>
        <w:rPr>
          <w:rFonts w:ascii="Calibri Light"/>
          <w:color w:val="2E5395"/>
          <w:sz w:val="26"/>
        </w:rPr>
        <w:t>Industry</w:t>
      </w:r>
      <w:r>
        <w:rPr>
          <w:rFonts w:ascii="Calibri Light"/>
          <w:color w:val="2E5395"/>
          <w:spacing w:val="-6"/>
          <w:sz w:val="26"/>
        </w:rPr>
        <w:t xml:space="preserve"> </w:t>
      </w:r>
      <w:r>
        <w:rPr>
          <w:rFonts w:ascii="Calibri Light"/>
          <w:color w:val="2E5395"/>
          <w:sz w:val="26"/>
        </w:rPr>
        <w:t>Insurance</w:t>
      </w:r>
      <w:r>
        <w:rPr>
          <w:rFonts w:ascii="Calibri Light"/>
          <w:color w:val="2E5395"/>
          <w:spacing w:val="-8"/>
          <w:sz w:val="26"/>
        </w:rPr>
        <w:t xml:space="preserve"> </w:t>
      </w:r>
      <w:r>
        <w:rPr>
          <w:rFonts w:ascii="Calibri Light"/>
          <w:color w:val="2E5395"/>
          <w:spacing w:val="-2"/>
          <w:sz w:val="26"/>
        </w:rPr>
        <w:t>Programs</w:t>
      </w:r>
    </w:p>
    <w:p w14:paraId="08307474" w14:textId="77777777" w:rsidR="00963F4D" w:rsidRDefault="00963F4D">
      <w:pPr>
        <w:pStyle w:val="BodyText"/>
        <w:spacing w:before="8"/>
        <w:ind w:left="0" w:firstLine="0"/>
        <w:rPr>
          <w:rFonts w:ascii="Calibri Light"/>
          <w:sz w:val="38"/>
        </w:rPr>
      </w:pPr>
    </w:p>
    <w:p w14:paraId="45F045E8" w14:textId="77777777" w:rsidR="00963F4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</w:pPr>
      <w:r>
        <w:t>(7</w:t>
      </w:r>
      <w:r>
        <w:rPr>
          <w:spacing w:val="-1"/>
        </w:rPr>
        <w:t xml:space="preserve"> </w:t>
      </w:r>
      <w:r>
        <w:rPr>
          <w:spacing w:val="-2"/>
        </w:rPr>
        <w:t>points)</w:t>
      </w:r>
    </w:p>
    <w:p w14:paraId="2DB69EDD" w14:textId="110A815B" w:rsidR="00963F4D" w:rsidRDefault="00000000">
      <w:pPr>
        <w:pStyle w:val="ListParagraph"/>
        <w:numPr>
          <w:ilvl w:val="1"/>
          <w:numId w:val="1"/>
        </w:numPr>
        <w:tabs>
          <w:tab w:val="left" w:pos="1234"/>
        </w:tabs>
        <w:spacing w:before="183" w:line="259" w:lineRule="auto"/>
        <w:ind w:right="1027"/>
      </w:pPr>
      <w:r>
        <w:t>(1</w:t>
      </w:r>
      <w:r>
        <w:rPr>
          <w:spacing w:val="-2"/>
        </w:rPr>
        <w:t xml:space="preserve"> </w:t>
      </w:r>
      <w:r>
        <w:t>point)</w:t>
      </w:r>
      <w:r>
        <w:rPr>
          <w:spacing w:val="-2"/>
        </w:rPr>
        <w:t xml:space="preserve"> </w:t>
      </w:r>
      <w:r>
        <w:t>Briefly</w:t>
      </w:r>
      <w:r>
        <w:rPr>
          <w:spacing w:val="-1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subsidization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insurer</w:t>
      </w:r>
      <w:r>
        <w:rPr>
          <w:spacing w:val="-3"/>
        </w:rPr>
        <w:t xml:space="preserve"> </w:t>
      </w:r>
      <w:r>
        <w:t>can use to fill insurance needs unmet by private insurance</w:t>
      </w:r>
    </w:p>
    <w:p w14:paraId="151D01A4" w14:textId="77777777" w:rsidR="00295838" w:rsidRDefault="007258D7" w:rsidP="00295838">
      <w:pPr>
        <w:pStyle w:val="ListParagraph"/>
        <w:tabs>
          <w:tab w:val="left" w:pos="1234"/>
        </w:tabs>
        <w:spacing w:before="183" w:line="259" w:lineRule="auto"/>
        <w:ind w:left="1233" w:right="1027" w:firstLine="0"/>
        <w:rPr>
          <w:b/>
          <w:bCs/>
        </w:rPr>
      </w:pPr>
      <w:r w:rsidRPr="007258D7">
        <w:rPr>
          <w:b/>
          <w:bCs/>
        </w:rPr>
        <w:t xml:space="preserve">Ans: </w:t>
      </w:r>
    </w:p>
    <w:p w14:paraId="0D94CC65" w14:textId="3551BCC7" w:rsidR="005B2BC7" w:rsidRDefault="00295838" w:rsidP="00295838">
      <w:pPr>
        <w:pStyle w:val="ListParagraph"/>
        <w:tabs>
          <w:tab w:val="left" w:pos="1234"/>
        </w:tabs>
        <w:spacing w:before="183" w:line="259" w:lineRule="auto"/>
        <w:ind w:left="1233" w:right="1027" w:firstLine="0"/>
      </w:pPr>
      <w:r>
        <w:t>The first method is to t</w:t>
      </w:r>
      <w:r w:rsidR="005B2BC7">
        <w:t>ax taxpayers for the insurance program even those who do not benefit from the program.</w:t>
      </w:r>
      <w:r>
        <w:t xml:space="preserve"> Another method involves c</w:t>
      </w:r>
      <w:r w:rsidR="005B2BC7">
        <w:t>harging less than the actuarial cost of providing insurance coverage and making up the difference through government-provided funds.</w:t>
      </w:r>
    </w:p>
    <w:p w14:paraId="1BC3F104" w14:textId="77777777" w:rsidR="00295838" w:rsidRPr="007258D7" w:rsidRDefault="00295838" w:rsidP="00295838">
      <w:pPr>
        <w:pStyle w:val="ListParagraph"/>
        <w:tabs>
          <w:tab w:val="left" w:pos="1234"/>
        </w:tabs>
        <w:spacing w:before="183" w:line="259" w:lineRule="auto"/>
        <w:ind w:left="1233" w:right="1027" w:firstLine="0"/>
      </w:pPr>
    </w:p>
    <w:p w14:paraId="51F945FF" w14:textId="0A326AFD" w:rsidR="00963F4D" w:rsidRDefault="00000000">
      <w:pPr>
        <w:pStyle w:val="ListParagraph"/>
        <w:numPr>
          <w:ilvl w:val="1"/>
          <w:numId w:val="1"/>
        </w:numPr>
        <w:tabs>
          <w:tab w:val="left" w:pos="1234"/>
        </w:tabs>
        <w:spacing w:line="259" w:lineRule="auto"/>
        <w:ind w:right="883"/>
      </w:pPr>
      <w:r>
        <w:t>(2</w:t>
      </w:r>
      <w:r>
        <w:rPr>
          <w:spacing w:val="-3"/>
        </w:rPr>
        <w:t xml:space="preserve"> </w:t>
      </w:r>
      <w:r>
        <w:t>points)</w:t>
      </w:r>
      <w:r>
        <w:rPr>
          <w:spacing w:val="-3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briefly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government</w:t>
      </w:r>
      <w:r>
        <w:rPr>
          <w:spacing w:val="-4"/>
        </w:rPr>
        <w:t xml:space="preserve"> </w:t>
      </w:r>
      <w:r>
        <w:t>participation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insurance, other than to fill insurance needs unmet by private insurance.</w:t>
      </w:r>
    </w:p>
    <w:p w14:paraId="2AC86CBD" w14:textId="77777777" w:rsidR="00A866F0" w:rsidRDefault="00EE510E" w:rsidP="00A866F0">
      <w:pPr>
        <w:pStyle w:val="ListParagraph"/>
        <w:tabs>
          <w:tab w:val="left" w:pos="1234"/>
        </w:tabs>
        <w:spacing w:line="259" w:lineRule="auto"/>
        <w:ind w:left="1233" w:right="883" w:firstLine="0"/>
        <w:rPr>
          <w:b/>
          <w:bCs/>
        </w:rPr>
      </w:pPr>
      <w:r w:rsidRPr="00EE510E">
        <w:rPr>
          <w:b/>
          <w:bCs/>
        </w:rPr>
        <w:t xml:space="preserve">Ans: </w:t>
      </w:r>
    </w:p>
    <w:p w14:paraId="640D1CE4" w14:textId="4A40AA34" w:rsidR="00D93DDB" w:rsidRDefault="00A866F0" w:rsidP="00A866F0">
      <w:pPr>
        <w:pStyle w:val="ListParagraph"/>
        <w:tabs>
          <w:tab w:val="left" w:pos="1234"/>
        </w:tabs>
        <w:spacing w:line="259" w:lineRule="auto"/>
        <w:ind w:left="1233" w:right="883" w:firstLine="0"/>
      </w:pPr>
      <w:r>
        <w:t xml:space="preserve">One reason </w:t>
      </w:r>
      <w:r w:rsidR="00D93DDB">
        <w:t xml:space="preserve">for government participation </w:t>
      </w:r>
      <w:r>
        <w:t xml:space="preserve">is compulsory purchase of insurance. When </w:t>
      </w:r>
      <w:r w:rsidR="00D93DDB">
        <w:t>government require individuals or businesses to obtain insurance</w:t>
      </w:r>
      <w:r>
        <w:t xml:space="preserve"> such as auto</w:t>
      </w:r>
      <w:r w:rsidR="006B66E6">
        <w:t>mobile</w:t>
      </w:r>
      <w:r>
        <w:t xml:space="preserve"> insurance</w:t>
      </w:r>
      <w:r w:rsidR="00D93DDB">
        <w:t xml:space="preserve"> to meet social responsibilities, they</w:t>
      </w:r>
      <w:r>
        <w:t xml:space="preserve"> might step in to make sure the </w:t>
      </w:r>
      <w:r w:rsidR="00D93DDB">
        <w:t xml:space="preserve">mandatory </w:t>
      </w:r>
      <w:r>
        <w:t>insurance is affordable and available</w:t>
      </w:r>
      <w:r w:rsidR="006B66E6">
        <w:t>,</w:t>
      </w:r>
      <w:r w:rsidR="00D93DDB">
        <w:t xml:space="preserve"> even for less profitable customers</w:t>
      </w:r>
      <w:r>
        <w:t xml:space="preserve">. </w:t>
      </w:r>
      <w:r w:rsidR="00D93DDB">
        <w:t>Some states felt obliged to offer the insurance to individuals who cannot find a private market. In theory, the cost of insurance would be cheaper if offered by a not-for-profit government agency.</w:t>
      </w:r>
    </w:p>
    <w:p w14:paraId="3D8409B8" w14:textId="5E2F9FAA" w:rsidR="00A866F0" w:rsidRDefault="00A866F0" w:rsidP="00A866F0">
      <w:pPr>
        <w:pStyle w:val="ListParagraph"/>
        <w:tabs>
          <w:tab w:val="left" w:pos="1234"/>
        </w:tabs>
        <w:spacing w:line="259" w:lineRule="auto"/>
        <w:ind w:left="1233" w:right="883" w:firstLine="0"/>
      </w:pPr>
      <w:r w:rsidRPr="00711C69">
        <w:rPr>
          <w:color w:val="FF0000"/>
        </w:rPr>
        <w:t xml:space="preserve">Another reason might be convenience. </w:t>
      </w:r>
    </w:p>
    <w:p w14:paraId="01FD2811" w14:textId="77777777" w:rsidR="00A866F0" w:rsidRPr="00EE510E" w:rsidRDefault="00A866F0" w:rsidP="00A866F0">
      <w:pPr>
        <w:pStyle w:val="ListParagraph"/>
        <w:tabs>
          <w:tab w:val="left" w:pos="1234"/>
        </w:tabs>
        <w:spacing w:line="259" w:lineRule="auto"/>
        <w:ind w:left="1233" w:right="883" w:firstLine="0"/>
      </w:pPr>
    </w:p>
    <w:p w14:paraId="62FF2CF0" w14:textId="385CA1D3" w:rsidR="00963F4D" w:rsidRDefault="00000000">
      <w:pPr>
        <w:pStyle w:val="ListParagraph"/>
        <w:numPr>
          <w:ilvl w:val="1"/>
          <w:numId w:val="1"/>
        </w:numPr>
        <w:tabs>
          <w:tab w:val="left" w:pos="1233"/>
          <w:tab w:val="left" w:pos="1234"/>
        </w:tabs>
        <w:spacing w:before="160" w:line="259" w:lineRule="auto"/>
        <w:ind w:right="1128"/>
      </w:pPr>
      <w:r>
        <w:t>(1</w:t>
      </w:r>
      <w:r>
        <w:rPr>
          <w:spacing w:val="-1"/>
        </w:rPr>
        <w:t xml:space="preserve"> </w:t>
      </w:r>
      <w:r>
        <w:t>point)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reasons</w:t>
      </w:r>
      <w:r>
        <w:rPr>
          <w:spacing w:val="-2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b.,</w:t>
      </w:r>
      <w:r>
        <w:rPr>
          <w:spacing w:val="-2"/>
        </w:rPr>
        <w:t xml:space="preserve"> </w:t>
      </w:r>
      <w:r>
        <w:t>briefly</w:t>
      </w:r>
      <w:r>
        <w:rPr>
          <w:spacing w:val="-2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 the reasoning for government participation may not be justified</w:t>
      </w:r>
    </w:p>
    <w:p w14:paraId="54B8ED19" w14:textId="7AA89FD8" w:rsidR="00EE510E" w:rsidRDefault="00295838" w:rsidP="00295838">
      <w:pPr>
        <w:pStyle w:val="ListParagraph"/>
        <w:tabs>
          <w:tab w:val="left" w:pos="1233"/>
          <w:tab w:val="left" w:pos="1234"/>
        </w:tabs>
        <w:spacing w:before="160" w:line="259" w:lineRule="auto"/>
        <w:ind w:left="1233" w:right="1128" w:firstLine="0"/>
        <w:rPr>
          <w:b/>
          <w:bCs/>
        </w:rPr>
      </w:pPr>
      <w:r w:rsidRPr="00295838">
        <w:rPr>
          <w:b/>
          <w:bCs/>
        </w:rPr>
        <w:t>Ans:</w:t>
      </w:r>
      <w:r>
        <w:rPr>
          <w:b/>
          <w:bCs/>
        </w:rPr>
        <w:t xml:space="preserve"> </w:t>
      </w:r>
    </w:p>
    <w:p w14:paraId="64826730" w14:textId="5F31020E" w:rsidR="00623910" w:rsidRDefault="00E63638" w:rsidP="00295838">
      <w:pPr>
        <w:pStyle w:val="ListParagraph"/>
        <w:tabs>
          <w:tab w:val="left" w:pos="1233"/>
          <w:tab w:val="left" w:pos="1234"/>
        </w:tabs>
        <w:spacing w:before="160" w:line="259" w:lineRule="auto"/>
        <w:ind w:left="1233" w:right="1128" w:firstLine="0"/>
      </w:pPr>
      <w:r>
        <w:t>For the reason</w:t>
      </w:r>
      <w:r w:rsidR="000027AF">
        <w:t xml:space="preserve"> of compulsory purchase of insurance</w:t>
      </w:r>
      <w:r>
        <w:t xml:space="preserve">, </w:t>
      </w:r>
      <w:r w:rsidR="00623910">
        <w:t>if the</w:t>
      </w:r>
      <w:r>
        <w:t xml:space="preserve"> private insurance compan</w:t>
      </w:r>
      <w:r w:rsidR="00623910">
        <w:t>ies are able to</w:t>
      </w:r>
      <w:r>
        <w:t xml:space="preserve"> provide the insurance which is available and affordable </w:t>
      </w:r>
      <w:r w:rsidR="000027AF">
        <w:t>for</w:t>
      </w:r>
      <w:r>
        <w:t xml:space="preserve"> all, then </w:t>
      </w:r>
      <w:r>
        <w:t>the reasoning for government participation may not be justified</w:t>
      </w:r>
      <w:r w:rsidR="00623910">
        <w:t>, especially when the government’s expense ratio is higher than that of private sector</w:t>
      </w:r>
      <w:r w:rsidR="000027AF">
        <w:t xml:space="preserve">, which means the government </w:t>
      </w:r>
      <w:r w:rsidR="00623910">
        <w:t>is not efficient enough. Moreover, in the situation of perfect competition, the government’s</w:t>
      </w:r>
      <w:r w:rsidR="00623910">
        <w:t xml:space="preserve"> profit margin </w:t>
      </w:r>
      <w:r w:rsidR="00D0107A">
        <w:t xml:space="preserve">might </w:t>
      </w:r>
      <w:r w:rsidR="00623910">
        <w:t>tend</w:t>
      </w:r>
      <w:r w:rsidR="00623910">
        <w:t>s</w:t>
      </w:r>
      <w:r w:rsidR="00623910">
        <w:t xml:space="preserve"> to be zero</w:t>
      </w:r>
      <w:r w:rsidR="000027AF">
        <w:t xml:space="preserve"> and the cost of insurance </w:t>
      </w:r>
      <w:r w:rsidR="00D0107A">
        <w:t>may</w:t>
      </w:r>
      <w:r w:rsidR="000027AF">
        <w:t xml:space="preserve"> not be cheaper, which not reasonable for government participation in this case. </w:t>
      </w:r>
    </w:p>
    <w:p w14:paraId="32092B90" w14:textId="24E446F2" w:rsidR="00E63638" w:rsidRPr="00711C69" w:rsidRDefault="00E63638" w:rsidP="00295838">
      <w:pPr>
        <w:pStyle w:val="ListParagraph"/>
        <w:tabs>
          <w:tab w:val="left" w:pos="1233"/>
          <w:tab w:val="left" w:pos="1234"/>
        </w:tabs>
        <w:spacing w:before="160" w:line="259" w:lineRule="auto"/>
        <w:ind w:left="1233" w:right="1128" w:firstLine="0"/>
        <w:rPr>
          <w:color w:val="FF0000"/>
        </w:rPr>
      </w:pPr>
      <w:r w:rsidRPr="00711C69">
        <w:rPr>
          <w:color w:val="FF0000"/>
        </w:rPr>
        <w:t xml:space="preserve">For the second reason, </w:t>
      </w:r>
    </w:p>
    <w:p w14:paraId="7AFF0809" w14:textId="77777777" w:rsidR="00623910" w:rsidRPr="00295838" w:rsidRDefault="00623910" w:rsidP="00295838">
      <w:pPr>
        <w:pStyle w:val="ListParagraph"/>
        <w:tabs>
          <w:tab w:val="left" w:pos="1233"/>
          <w:tab w:val="left" w:pos="1234"/>
        </w:tabs>
        <w:spacing w:before="160" w:line="259" w:lineRule="auto"/>
        <w:ind w:left="1233" w:right="1128" w:firstLine="0"/>
      </w:pPr>
    </w:p>
    <w:p w14:paraId="726BE334" w14:textId="1305C02F" w:rsidR="00963F4D" w:rsidRPr="00D0107A" w:rsidRDefault="00000000">
      <w:pPr>
        <w:pStyle w:val="ListParagraph"/>
        <w:numPr>
          <w:ilvl w:val="1"/>
          <w:numId w:val="1"/>
        </w:numPr>
        <w:tabs>
          <w:tab w:val="left" w:pos="1234"/>
        </w:tabs>
        <w:spacing w:line="259" w:lineRule="auto"/>
        <w:ind w:right="881"/>
      </w:pPr>
      <w:r w:rsidRPr="00711C69">
        <w:rPr>
          <w:color w:val="FF0000"/>
        </w:rPr>
        <w:t>(3 points</w:t>
      </w:r>
      <w:r>
        <w:t>) Identify 3 evaluation criteria for government insurance programs and evaluate the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Québec's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automobile</w:t>
      </w:r>
      <w:r>
        <w:rPr>
          <w:spacing w:val="-4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rPr>
          <w:spacing w:val="-2"/>
        </w:rPr>
        <w:t>criteria.</w:t>
      </w:r>
      <w:r w:rsidR="00D0107A">
        <w:rPr>
          <w:spacing w:val="-2"/>
        </w:rPr>
        <w:t>]</w:t>
      </w:r>
    </w:p>
    <w:p w14:paraId="57E7A2B8" w14:textId="77777777" w:rsidR="00D0107A" w:rsidRDefault="00D0107A" w:rsidP="00D0107A">
      <w:pPr>
        <w:pStyle w:val="ListParagraph"/>
        <w:tabs>
          <w:tab w:val="left" w:pos="1234"/>
        </w:tabs>
        <w:spacing w:line="259" w:lineRule="auto"/>
        <w:ind w:left="1233" w:right="881" w:firstLine="0"/>
        <w:rPr>
          <w:b/>
          <w:bCs/>
          <w:spacing w:val="-2"/>
        </w:rPr>
      </w:pPr>
      <w:r w:rsidRPr="00D0107A">
        <w:rPr>
          <w:b/>
          <w:bCs/>
          <w:spacing w:val="-2"/>
        </w:rPr>
        <w:lastRenderedPageBreak/>
        <w:t>Ans:</w:t>
      </w:r>
      <w:r>
        <w:rPr>
          <w:b/>
          <w:bCs/>
          <w:spacing w:val="-2"/>
        </w:rPr>
        <w:t xml:space="preserve"> </w:t>
      </w:r>
    </w:p>
    <w:p w14:paraId="5EAA8D3C" w14:textId="47671043" w:rsidR="00D0107A" w:rsidRDefault="00D0107A" w:rsidP="00D0107A">
      <w:pPr>
        <w:pStyle w:val="ListParagraph"/>
        <w:tabs>
          <w:tab w:val="left" w:pos="1234"/>
        </w:tabs>
        <w:spacing w:line="259" w:lineRule="auto"/>
        <w:ind w:left="1233" w:right="881" w:firstLine="0"/>
        <w:rPr>
          <w:spacing w:val="-2"/>
        </w:rPr>
      </w:pPr>
      <w:r>
        <w:rPr>
          <w:spacing w:val="-2"/>
        </w:rPr>
        <w:t xml:space="preserve">The first criteria is whether the provision of the insurance by the government necessary or whether achieve a social purpose that cannot be provided by private insurance. </w:t>
      </w:r>
    </w:p>
    <w:p w14:paraId="23EC9D9B" w14:textId="2C59B0C7" w:rsidR="00D0107A" w:rsidRDefault="00D0107A" w:rsidP="00D0107A">
      <w:pPr>
        <w:pStyle w:val="ListParagraph"/>
        <w:tabs>
          <w:tab w:val="left" w:pos="1234"/>
        </w:tabs>
        <w:spacing w:line="259" w:lineRule="auto"/>
        <w:ind w:left="1233" w:right="881" w:firstLine="0"/>
      </w:pPr>
      <w:r>
        <w:t>The second criteria is whether the government insurance program is insurance or a social welfare program.</w:t>
      </w:r>
    </w:p>
    <w:p w14:paraId="219ACE97" w14:textId="4D074E75" w:rsidR="00D0107A" w:rsidRPr="00D0107A" w:rsidRDefault="00D0107A" w:rsidP="00D0107A">
      <w:pPr>
        <w:pStyle w:val="ListParagraph"/>
        <w:tabs>
          <w:tab w:val="left" w:pos="1234"/>
        </w:tabs>
        <w:spacing w:line="259" w:lineRule="auto"/>
        <w:ind w:left="1233" w:right="881" w:firstLine="0"/>
      </w:pPr>
      <w:r>
        <w:t>The third criteria is whether the government insurance program is efficient and accepted by the public.</w:t>
      </w:r>
    </w:p>
    <w:p w14:paraId="2FF830F0" w14:textId="77777777" w:rsidR="00963F4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1"/>
        <w:ind w:hanging="361"/>
      </w:pPr>
      <w:r>
        <w:t>(6</w:t>
      </w:r>
      <w:r>
        <w:rPr>
          <w:spacing w:val="-1"/>
        </w:rPr>
        <w:t xml:space="preserve"> </w:t>
      </w:r>
      <w:r>
        <w:rPr>
          <w:spacing w:val="-2"/>
        </w:rPr>
        <w:t>points)</w:t>
      </w:r>
    </w:p>
    <w:p w14:paraId="5F7A2228" w14:textId="77777777" w:rsidR="00963F4D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81" w:line="259" w:lineRule="auto"/>
        <w:ind w:left="1540" w:right="1390"/>
      </w:pPr>
      <w:r>
        <w:t>(3</w:t>
      </w:r>
      <w:r>
        <w:rPr>
          <w:spacing w:val="-2"/>
        </w:rPr>
        <w:t xml:space="preserve"> </w:t>
      </w:r>
      <w:r>
        <w:t>points)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historical</w:t>
      </w:r>
      <w:r>
        <w:rPr>
          <w:spacing w:val="-6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flood</w:t>
      </w:r>
      <w:r>
        <w:rPr>
          <w:spacing w:val="-4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Canada</w:t>
      </w:r>
    </w:p>
    <w:p w14:paraId="6B7D307F" w14:textId="77777777" w:rsidR="00963F4D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59" w:lineRule="auto"/>
        <w:ind w:left="1540" w:right="1451"/>
      </w:pPr>
      <w:r>
        <w:t>(1</w:t>
      </w:r>
      <w:r>
        <w:rPr>
          <w:spacing w:val="-1"/>
        </w:rPr>
        <w:t xml:space="preserve"> </w:t>
      </w:r>
      <w:r>
        <w:t>point)</w:t>
      </w:r>
      <w:r>
        <w:rPr>
          <w:spacing w:val="-1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precondition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establishing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flood</w:t>
      </w:r>
      <w:r>
        <w:rPr>
          <w:spacing w:val="-3"/>
        </w:rPr>
        <w:t xml:space="preserve"> </w:t>
      </w:r>
      <w:r>
        <w:t>risk management culture which is not included within your response to part a.</w:t>
      </w:r>
    </w:p>
    <w:p w14:paraId="3CBA5B6B" w14:textId="77777777" w:rsidR="00963F4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9" w:lineRule="auto"/>
        <w:ind w:left="1540" w:right="972"/>
      </w:pPr>
      <w:r>
        <w:t>(1</w:t>
      </w:r>
      <w:r>
        <w:rPr>
          <w:spacing w:val="-2"/>
        </w:rPr>
        <w:t xml:space="preserve"> </w:t>
      </w:r>
      <w:r>
        <w:t>point)</w:t>
      </w:r>
      <w:r>
        <w:rPr>
          <w:spacing w:val="-3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involvement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flood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be needed to supplement the flood coverage offerings from private insurers.</w:t>
      </w:r>
    </w:p>
    <w:p w14:paraId="5451E545" w14:textId="77777777" w:rsidR="00963F4D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62" w:line="259" w:lineRule="auto"/>
        <w:ind w:left="1540" w:right="914"/>
      </w:pPr>
      <w:r>
        <w:t>(1</w:t>
      </w:r>
      <w:r>
        <w:rPr>
          <w:spacing w:val="-2"/>
        </w:rPr>
        <w:t xml:space="preserve"> </w:t>
      </w:r>
      <w:r>
        <w:t>point)</w:t>
      </w:r>
      <w:r>
        <w:rPr>
          <w:spacing w:val="-2"/>
        </w:rPr>
        <w:t xml:space="preserve"> </w:t>
      </w:r>
      <w:r>
        <w:t>Flood</w:t>
      </w:r>
      <w:r>
        <w:rPr>
          <w:spacing w:val="-6"/>
        </w:rPr>
        <w:t xml:space="preserve"> </w:t>
      </w:r>
      <w:r>
        <w:t>coverage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property has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private insurers in Canada. Describe 1 reason why insurers have historically paid for a large proportion of these losses.</w:t>
      </w:r>
    </w:p>
    <w:p w14:paraId="64D57A41" w14:textId="77777777" w:rsidR="00963F4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7"/>
        <w:ind w:hanging="361"/>
      </w:pPr>
      <w:r>
        <w:t>(2</w:t>
      </w:r>
      <w:r>
        <w:rPr>
          <w:spacing w:val="-5"/>
        </w:rPr>
        <w:t xml:space="preserve"> </w:t>
      </w:r>
      <w:r>
        <w:t>points)</w:t>
      </w:r>
      <w:r>
        <w:rPr>
          <w:spacing w:val="-3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similarities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Ontario and</w:t>
      </w:r>
      <w:r>
        <w:rPr>
          <w:spacing w:val="-5"/>
        </w:rPr>
        <w:t xml:space="preserve"> </w:t>
      </w:r>
      <w:r>
        <w:t>Alberta</w:t>
      </w:r>
      <w:r>
        <w:rPr>
          <w:spacing w:val="-3"/>
        </w:rPr>
        <w:t xml:space="preserve"> </w:t>
      </w:r>
      <w:r>
        <w:rPr>
          <w:spacing w:val="-2"/>
        </w:rPr>
        <w:t>RSPs.</w:t>
      </w:r>
    </w:p>
    <w:p w14:paraId="6CC008EB" w14:textId="77777777" w:rsidR="00963F4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3" w:line="259" w:lineRule="auto"/>
        <w:ind w:right="920"/>
      </w:pPr>
      <w:r>
        <w:t>(6.5</w:t>
      </w:r>
      <w:r>
        <w:rPr>
          <w:spacing w:val="-1"/>
        </w:rPr>
        <w:t xml:space="preserve"> </w:t>
      </w:r>
      <w:r>
        <w:t>points)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RSP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Nova</w:t>
      </w:r>
      <w:r>
        <w:rPr>
          <w:spacing w:val="-2"/>
        </w:rPr>
        <w:t xml:space="preserve"> </w:t>
      </w:r>
      <w:r>
        <w:t>Scotia.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amounts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 xml:space="preserve">in </w:t>
      </w:r>
      <w:r>
        <w:rPr>
          <w:spacing w:val="-2"/>
        </w:rPr>
        <w:t>000’s.</w:t>
      </w:r>
    </w:p>
    <w:p w14:paraId="1E23227F" w14:textId="77777777" w:rsidR="00963F4D" w:rsidRDefault="00963F4D">
      <w:pPr>
        <w:spacing w:line="259" w:lineRule="auto"/>
        <w:sectPr w:rsidR="00963F4D">
          <w:type w:val="continuous"/>
          <w:pgSz w:w="12240" w:h="15840"/>
          <w:pgMar w:top="1660" w:right="640" w:bottom="280" w:left="1340" w:header="720" w:footer="720" w:gutter="0"/>
          <w:cols w:space="720"/>
        </w:sectPr>
      </w:pPr>
    </w:p>
    <w:p w14:paraId="44EF372E" w14:textId="77777777" w:rsidR="00963F4D" w:rsidRDefault="00000000">
      <w:pPr>
        <w:pStyle w:val="BodyText"/>
        <w:ind w:left="854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57E461" wp14:editId="2EE10806">
            <wp:extent cx="5878143" cy="31344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143" cy="313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BFC5" w14:textId="77777777" w:rsidR="00963F4D" w:rsidRDefault="00963F4D">
      <w:pPr>
        <w:pStyle w:val="BodyText"/>
        <w:spacing w:before="10"/>
        <w:ind w:left="0" w:firstLine="0"/>
        <w:rPr>
          <w:sz w:val="13"/>
        </w:rPr>
      </w:pPr>
    </w:p>
    <w:p w14:paraId="24DDBD2A" w14:textId="77777777" w:rsidR="00963F4D" w:rsidRDefault="00000000">
      <w:pPr>
        <w:pStyle w:val="BodyText"/>
        <w:spacing w:before="57" w:line="256" w:lineRule="auto"/>
        <w:ind w:left="820" w:right="892" w:firstLine="0"/>
      </w:pPr>
      <w:r>
        <w:t>Company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exclusively</w:t>
      </w:r>
      <w:r>
        <w:rPr>
          <w:spacing w:val="-3"/>
        </w:rPr>
        <w:t xml:space="preserve"> </w:t>
      </w:r>
      <w:r>
        <w:t>writes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Nova</w:t>
      </w:r>
      <w:r>
        <w:rPr>
          <w:spacing w:val="-3"/>
        </w:rPr>
        <w:t xml:space="preserve"> </w:t>
      </w:r>
      <w:r>
        <w:t>Scotia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RSP maximum total allowable transfer limit. Assume expenses are 0%.</w:t>
      </w:r>
    </w:p>
    <w:p w14:paraId="69AEAA81" w14:textId="77777777" w:rsidR="00963F4D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64"/>
        <w:ind w:left="1540" w:hanging="361"/>
      </w:pPr>
      <w:r>
        <w:t>(1</w:t>
      </w:r>
      <w:r>
        <w:rPr>
          <w:spacing w:val="-2"/>
        </w:rPr>
        <w:t xml:space="preserve"> </w:t>
      </w:r>
      <w:r>
        <w:t>point)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risk-sharing</w:t>
      </w:r>
      <w:r>
        <w:rPr>
          <w:spacing w:val="-5"/>
        </w:rPr>
        <w:t xml:space="preserve"> </w:t>
      </w:r>
      <w:r>
        <w:rPr>
          <w:spacing w:val="-4"/>
        </w:rPr>
        <w:t>pool</w:t>
      </w:r>
    </w:p>
    <w:p w14:paraId="6CD0042E" w14:textId="77777777" w:rsidR="00963F4D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0" w:line="259" w:lineRule="auto"/>
        <w:ind w:left="1540" w:right="1071"/>
      </w:pPr>
      <w:r>
        <w:t>(1</w:t>
      </w:r>
      <w:r>
        <w:rPr>
          <w:spacing w:val="-1"/>
        </w:rPr>
        <w:t xml:space="preserve"> </w:t>
      </w:r>
      <w:r>
        <w:t>point)</w:t>
      </w:r>
      <w:r>
        <w:rPr>
          <w:spacing w:val="-1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risk sharing pool</w:t>
      </w:r>
    </w:p>
    <w:p w14:paraId="033D5971" w14:textId="77777777" w:rsidR="00963F4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 w:line="259" w:lineRule="auto"/>
        <w:ind w:left="1540" w:right="826"/>
      </w:pPr>
      <w:r>
        <w:t>(1.5</w:t>
      </w:r>
      <w:r>
        <w:rPr>
          <w:spacing w:val="-3"/>
        </w:rPr>
        <w:t xml:space="preserve"> </w:t>
      </w:r>
      <w:r>
        <w:t>points)</w:t>
      </w:r>
      <w:r>
        <w:rPr>
          <w:spacing w:val="-4"/>
        </w:rPr>
        <w:t xml:space="preserve"> </w:t>
      </w:r>
      <w:r>
        <w:t>Suppose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Ontario.</w:t>
      </w:r>
      <w:r>
        <w:rPr>
          <w:spacing w:val="-1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in participation ratio for Company A.</w:t>
      </w:r>
    </w:p>
    <w:p w14:paraId="639CF9EC" w14:textId="77777777" w:rsidR="00963F4D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0" w:line="259" w:lineRule="auto"/>
        <w:ind w:left="1540" w:right="1175"/>
      </w:pPr>
      <w:r>
        <w:t>(2.5</w:t>
      </w:r>
      <w:r>
        <w:rPr>
          <w:spacing w:val="-1"/>
        </w:rPr>
        <w:t xml:space="preserve"> </w:t>
      </w:r>
      <w:r>
        <w:t>points)</w:t>
      </w:r>
      <w:r>
        <w:rPr>
          <w:spacing w:val="-3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revised</w:t>
      </w:r>
      <w:r>
        <w:rPr>
          <w:spacing w:val="-5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 cede any risks to the RSP</w:t>
      </w:r>
    </w:p>
    <w:p w14:paraId="182CC395" w14:textId="77777777" w:rsidR="00963F4D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0"/>
        <w:ind w:left="1540" w:hanging="361"/>
      </w:pPr>
      <w:r>
        <w:t>(0.5</w:t>
      </w:r>
      <w:r>
        <w:rPr>
          <w:spacing w:val="-2"/>
        </w:rPr>
        <w:t xml:space="preserve"> </w:t>
      </w:r>
      <w:r>
        <w:t>points)</w:t>
      </w:r>
      <w:r>
        <w:rPr>
          <w:spacing w:val="-3"/>
        </w:rPr>
        <w:t xml:space="preserve"> </w:t>
      </w:r>
      <w:r>
        <w:t>Propose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RSP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loss</w:t>
      </w:r>
      <w:r>
        <w:rPr>
          <w:spacing w:val="-2"/>
        </w:rPr>
        <w:t xml:space="preserve"> ratio.</w:t>
      </w:r>
    </w:p>
    <w:sectPr w:rsidR="00963F4D">
      <w:pgSz w:w="12240" w:h="15840"/>
      <w:pgMar w:top="1440" w:right="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700C"/>
    <w:multiLevelType w:val="hybridMultilevel"/>
    <w:tmpl w:val="75C8EFC4"/>
    <w:lvl w:ilvl="0" w:tplc="1009000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1" w15:restartNumberingAfterBreak="0">
    <w:nsid w:val="226C48B7"/>
    <w:multiLevelType w:val="hybridMultilevel"/>
    <w:tmpl w:val="8DCEA862"/>
    <w:lvl w:ilvl="0" w:tplc="2CDC4470">
      <w:start w:val="13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84A0D5C">
      <w:start w:val="1"/>
      <w:numFmt w:val="lowerLetter"/>
      <w:lvlText w:val="%2."/>
      <w:lvlJc w:val="left"/>
      <w:pPr>
        <w:ind w:left="123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EB7483C0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C7AC962C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4" w:tplc="9068885C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950EBE54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6" w:tplc="0C7C4FE0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 w:tplc="C7221804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C4E6404C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5C3D6E"/>
    <w:multiLevelType w:val="hybridMultilevel"/>
    <w:tmpl w:val="E02C71BA"/>
    <w:lvl w:ilvl="0" w:tplc="1009000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num w:numId="1" w16cid:durableId="691422136">
    <w:abstractNumId w:val="1"/>
  </w:num>
  <w:num w:numId="2" w16cid:durableId="367219573">
    <w:abstractNumId w:val="2"/>
  </w:num>
  <w:num w:numId="3" w16cid:durableId="91766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3F4D"/>
    <w:rsid w:val="000027AF"/>
    <w:rsid w:val="00295838"/>
    <w:rsid w:val="005B2BC7"/>
    <w:rsid w:val="00623910"/>
    <w:rsid w:val="006B66E6"/>
    <w:rsid w:val="00711C69"/>
    <w:rsid w:val="007258D7"/>
    <w:rsid w:val="00963F4D"/>
    <w:rsid w:val="00A866F0"/>
    <w:rsid w:val="00D0107A"/>
    <w:rsid w:val="00D93DDB"/>
    <w:rsid w:val="00E63638"/>
    <w:rsid w:val="00EE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CC3D"/>
  <w15:docId w15:val="{E2CCB19C-27B7-4909-BF13-22ABCAAA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</w:style>
  <w:style w:type="paragraph" w:styleId="Title">
    <w:name w:val="Title"/>
    <w:basedOn w:val="Normal"/>
    <w:uiPriority w:val="10"/>
    <w:qFormat/>
    <w:pPr>
      <w:spacing w:before="20"/>
      <w:ind w:left="100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9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Karani</dc:creator>
  <cp:lastModifiedBy>Shilun Dai</cp:lastModifiedBy>
  <cp:revision>9</cp:revision>
  <dcterms:created xsi:type="dcterms:W3CDTF">2022-11-17T05:00:00Z</dcterms:created>
  <dcterms:modified xsi:type="dcterms:W3CDTF">2022-11-28T04:01:00Z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  <property fmtid="{D5CDD505-2E9C-101B-9397-08002B2CF9AE}" pid="5" name="Producer">
    <vt:lpwstr>Microsoft® Word 2016</vt:lpwstr>
  </property>
</Properties>
</file>