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7B05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657C9C" w:themeColor="text2" w:themeTint="BF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657C9C" w:themeColor="text2" w:themeTint="BF"/>
          <w:kern w:val="0"/>
          <w:sz w:val="22"/>
          <w:szCs w:val="22"/>
          <w14:ligatures w14:val="none"/>
        </w:rPr>
        <w:t>Fig.1 our proposed methodology diagram</w:t>
      </w:r>
      <w:r w:rsidRPr="00FC7FA7">
        <w:rPr>
          <w:rFonts w:asciiTheme="minorBidi" w:eastAsia="Times New Roman" w:hAnsiTheme="minorBidi"/>
          <w:noProof/>
          <w:color w:val="657C9C" w:themeColor="text2" w:themeTint="BF"/>
          <w:kern w:val="0"/>
          <w:sz w:val="22"/>
          <w:szCs w:val="22"/>
        </w:rPr>
        <w:drawing>
          <wp:inline distT="0" distB="0" distL="0" distR="0" wp14:anchorId="5A39742B" wp14:editId="692A7620">
            <wp:extent cx="2612738" cy="6339840"/>
            <wp:effectExtent l="0" t="0" r="0" b="3810"/>
            <wp:docPr id="44301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4247" name="Picture 4430142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15" cy="63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4E34" w14:textId="77777777" w:rsidR="006F4252" w:rsidRPr="00FC7FA7" w:rsidRDefault="006F4252" w:rsidP="006F4252">
      <w:pPr>
        <w:pStyle w:val="Heading1"/>
        <w:rPr>
          <w:rFonts w:asciiTheme="minorBidi" w:eastAsia="Times New Roman" w:hAnsiTheme="minorBidi" w:cstheme="minorBidi"/>
          <w:b/>
          <w:bCs/>
          <w:color w:val="000000" w:themeColor="text1"/>
          <w:sz w:val="24"/>
          <w:szCs w:val="24"/>
        </w:rPr>
      </w:pPr>
      <w:r w:rsidRPr="00FC7FA7">
        <w:rPr>
          <w:rFonts w:asciiTheme="minorBidi" w:eastAsia="Times New Roman" w:hAnsiTheme="minorBidi" w:cstheme="minorBidi"/>
          <w:b/>
          <w:bCs/>
          <w:color w:val="000000" w:themeColor="text1"/>
          <w:sz w:val="24"/>
          <w:szCs w:val="24"/>
        </w:rPr>
        <w:t>Results:</w:t>
      </w:r>
    </w:p>
    <w:p w14:paraId="3F06DD22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>This section presents the evaluation results of our proposed multimodal deep learning approach for Alzheimer's Disease (AD) classification using MRI and PET scans.</w:t>
      </w:r>
    </w:p>
    <w:p w14:paraId="055E3CB1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 xml:space="preserve"> We compared the performance of our model with existing methods and analyzed the impact of the implemented techniques.</w:t>
      </w:r>
    </w:p>
    <w:p w14:paraId="0B4B15E4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b/>
          <w:bCs/>
          <w:color w:val="FF0000"/>
          <w:kern w:val="0"/>
          <w:sz w:val="22"/>
          <w:szCs w:val="22"/>
          <w14:ligatures w14:val="none"/>
        </w:rPr>
        <w:t>Evaluation Metrics:</w:t>
      </w:r>
    </w:p>
    <w:p w14:paraId="5A937929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lastRenderedPageBreak/>
        <w:t>We employed standard classification metrics for overall performance evaluation:</w:t>
      </w:r>
    </w:p>
    <w:p w14:paraId="669BEF9C" w14:textId="77777777" w:rsidR="006F4252" w:rsidRPr="00FC7FA7" w:rsidRDefault="006F4252" w:rsidP="006F42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>Accuracy: Proportion of correctly classified cases (HC, MCI, AD)</w:t>
      </w:r>
    </w:p>
    <w:p w14:paraId="07442C16" w14:textId="77777777" w:rsidR="006F4252" w:rsidRPr="00FC7FA7" w:rsidRDefault="006F4252" w:rsidP="006F42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>Sensitivity (Recall): Ratio of correctly identified patients (AD or MCI)</w:t>
      </w:r>
    </w:p>
    <w:p w14:paraId="5D5BF77F" w14:textId="77777777" w:rsidR="006F4252" w:rsidRPr="00FC7FA7" w:rsidRDefault="006F4252" w:rsidP="006F42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>Specificity: Ratio of correctly identified healthy controls (HC) [17]</w:t>
      </w:r>
    </w:p>
    <w:p w14:paraId="2C32A31F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 xml:space="preserve">    Area Under the Curve (AUC): Measure of the ROC curve, reflecting the model's ability to discriminate between classes</w:t>
      </w:r>
    </w:p>
    <w:p w14:paraId="2DA8A9E4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color w:val="FF0000"/>
          <w:kern w:val="0"/>
          <w:sz w:val="22"/>
          <w:szCs w:val="22"/>
          <w14:ligatures w14:val="none"/>
        </w:rPr>
      </w:pPr>
      <w:proofErr w:type="spellStart"/>
      <w:r w:rsidRPr="00FC7FA7">
        <w:rPr>
          <w:rFonts w:asciiTheme="minorBidi" w:eastAsia="Times New Roman" w:hAnsiTheme="minorBidi"/>
          <w:b/>
          <w:bCs/>
          <w:color w:val="FF0000"/>
          <w:kern w:val="0"/>
          <w:sz w:val="22"/>
          <w:szCs w:val="22"/>
          <w14:ligatures w14:val="none"/>
        </w:rPr>
        <w:t>Explainability</w:t>
      </w:r>
      <w:proofErr w:type="spellEnd"/>
      <w:r w:rsidRPr="00FC7FA7">
        <w:rPr>
          <w:rFonts w:asciiTheme="minorBidi" w:eastAsia="Times New Roman" w:hAnsiTheme="minorBidi"/>
          <w:b/>
          <w:bCs/>
          <w:color w:val="FF0000"/>
          <w:kern w:val="0"/>
          <w:sz w:val="22"/>
          <w:szCs w:val="22"/>
          <w14:ligatures w14:val="none"/>
        </w:rPr>
        <w:t xml:space="preserve"> Analysis:</w:t>
      </w:r>
    </w:p>
    <w:p w14:paraId="3A8A4A33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>To enhance interpretability, we utilized techniques like Grad-CAM (Gradient-weighted Class Activation Mapping) or LIME (Local Interpretable Model-agnostic Explanations) to visualize the brain regions most influential in the model's predictions.</w:t>
      </w:r>
    </w:p>
    <w:p w14:paraId="664D4D1C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b/>
          <w:bCs/>
          <w:color w:val="FF0000"/>
          <w:kern w:val="0"/>
          <w:sz w:val="22"/>
          <w:szCs w:val="22"/>
          <w14:ligatures w14:val="none"/>
        </w:rPr>
        <w:t>Model Comparison and Performance:</w:t>
      </w:r>
    </w:p>
    <w:p w14:paraId="3E94090F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 xml:space="preserve">We made and contrasted image-based CNN models like Inception-ResNet50, ResNet-50, VGG-16, </w:t>
      </w:r>
      <w:proofErr w:type="spellStart"/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>AlexNet</w:t>
      </w:r>
      <w:proofErr w:type="spellEnd"/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>, etc. The data was gathered from different sources in order for it to be generalizable. In conclusion, the Inception-ResNet50 wrapper model proposed here exhibited the best results:</w:t>
      </w:r>
    </w:p>
    <w:p w14:paraId="502C4EC7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 xml:space="preserve">        95.5% for HC vs. MCI</w:t>
      </w:r>
    </w:p>
    <w:p w14:paraId="4ED70953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 xml:space="preserve">        94.6% for MCI vs. AD</w:t>
      </w:r>
    </w:p>
    <w:p w14:paraId="2A8D979C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 xml:space="preserve">        95.7% for HC vs. AD</w:t>
      </w:r>
    </w:p>
    <w:p w14:paraId="14FE0913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 xml:space="preserve">    This performance surpassed other CNN models, which ranged from 81.9% to 89.4% accuracy across different classification tasks.</w:t>
      </w:r>
    </w:p>
    <w:p w14:paraId="70AEE9BA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0"/>
          <w:szCs w:val="20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0"/>
          <w:szCs w:val="20"/>
          <w14:ligatures w14:val="none"/>
        </w:rPr>
        <w:t>Table 1: Performance Comparison of Different CNN Models for AD Classification</w:t>
      </w:r>
    </w:p>
    <w:tbl>
      <w:tblPr>
        <w:tblStyle w:val="TableGrid"/>
        <w:tblW w:w="4426" w:type="dxa"/>
        <w:tblLook w:val="04A0" w:firstRow="1" w:lastRow="0" w:firstColumn="1" w:lastColumn="0" w:noHBand="0" w:noVBand="1"/>
      </w:tblPr>
      <w:tblGrid>
        <w:gridCol w:w="1261"/>
        <w:gridCol w:w="1121"/>
        <w:gridCol w:w="1121"/>
        <w:gridCol w:w="1121"/>
      </w:tblGrid>
      <w:tr w:rsidR="006F4252" w14:paraId="70BEF4C2" w14:textId="77777777" w:rsidTr="00724D28">
        <w:trPr>
          <w:trHeight w:val="362"/>
        </w:trPr>
        <w:tc>
          <w:tcPr>
            <w:tcW w:w="1261" w:type="dxa"/>
            <w:noWrap/>
            <w:hideMark/>
          </w:tcPr>
          <w:p w14:paraId="01497DE2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1055" w:type="dxa"/>
            <w:noWrap/>
            <w:hideMark/>
          </w:tcPr>
          <w:p w14:paraId="7B6EFD92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HC vs. MCI Accuracy</w:t>
            </w:r>
          </w:p>
        </w:tc>
        <w:tc>
          <w:tcPr>
            <w:tcW w:w="1055" w:type="dxa"/>
            <w:noWrap/>
            <w:hideMark/>
          </w:tcPr>
          <w:p w14:paraId="6C02CC43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MCI vs. AD Accuracy</w:t>
            </w:r>
          </w:p>
        </w:tc>
        <w:tc>
          <w:tcPr>
            <w:tcW w:w="1055" w:type="dxa"/>
            <w:noWrap/>
            <w:hideMark/>
          </w:tcPr>
          <w:p w14:paraId="4263263E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HC vs. AD Accuracy</w:t>
            </w:r>
          </w:p>
        </w:tc>
      </w:tr>
      <w:tr w:rsidR="006F4252" w14:paraId="63B59E83" w14:textId="77777777" w:rsidTr="00724D28">
        <w:trPr>
          <w:trHeight w:val="362"/>
        </w:trPr>
        <w:tc>
          <w:tcPr>
            <w:tcW w:w="1261" w:type="dxa"/>
            <w:noWrap/>
            <w:hideMark/>
          </w:tcPr>
          <w:p w14:paraId="68C0A751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ResNet-50</w:t>
            </w:r>
          </w:p>
        </w:tc>
        <w:tc>
          <w:tcPr>
            <w:tcW w:w="1055" w:type="dxa"/>
            <w:noWrap/>
            <w:hideMark/>
          </w:tcPr>
          <w:p w14:paraId="41DFBD8B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81.90%</w:t>
            </w:r>
          </w:p>
        </w:tc>
        <w:tc>
          <w:tcPr>
            <w:tcW w:w="1055" w:type="dxa"/>
            <w:noWrap/>
            <w:hideMark/>
          </w:tcPr>
          <w:p w14:paraId="3F7765A6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83.90%</w:t>
            </w:r>
          </w:p>
        </w:tc>
        <w:tc>
          <w:tcPr>
            <w:tcW w:w="1055" w:type="dxa"/>
            <w:noWrap/>
            <w:hideMark/>
          </w:tcPr>
          <w:p w14:paraId="62835736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87.90%</w:t>
            </w:r>
          </w:p>
        </w:tc>
      </w:tr>
      <w:tr w:rsidR="006F4252" w14:paraId="545FE5C6" w14:textId="77777777" w:rsidTr="00724D28">
        <w:trPr>
          <w:trHeight w:val="362"/>
        </w:trPr>
        <w:tc>
          <w:tcPr>
            <w:tcW w:w="1261" w:type="dxa"/>
            <w:noWrap/>
            <w:hideMark/>
          </w:tcPr>
          <w:p w14:paraId="498EF702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VGG-16</w:t>
            </w:r>
          </w:p>
        </w:tc>
        <w:tc>
          <w:tcPr>
            <w:tcW w:w="1055" w:type="dxa"/>
            <w:noWrap/>
            <w:hideMark/>
          </w:tcPr>
          <w:p w14:paraId="0CA6E564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82.50%</w:t>
            </w:r>
          </w:p>
        </w:tc>
        <w:tc>
          <w:tcPr>
            <w:tcW w:w="1055" w:type="dxa"/>
            <w:noWrap/>
            <w:hideMark/>
          </w:tcPr>
          <w:p w14:paraId="79BAE2C0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83.90%</w:t>
            </w:r>
          </w:p>
        </w:tc>
        <w:tc>
          <w:tcPr>
            <w:tcW w:w="1055" w:type="dxa"/>
            <w:noWrap/>
            <w:hideMark/>
          </w:tcPr>
          <w:p w14:paraId="1199CD26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89.40%</w:t>
            </w:r>
          </w:p>
        </w:tc>
      </w:tr>
      <w:tr w:rsidR="006F4252" w14:paraId="74822A31" w14:textId="77777777" w:rsidTr="00724D28">
        <w:trPr>
          <w:trHeight w:val="362"/>
        </w:trPr>
        <w:tc>
          <w:tcPr>
            <w:tcW w:w="1261" w:type="dxa"/>
            <w:noWrap/>
            <w:hideMark/>
          </w:tcPr>
          <w:p w14:paraId="7DFEB4E4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AlexNet</w:t>
            </w:r>
            <w:proofErr w:type="spellEnd"/>
          </w:p>
        </w:tc>
        <w:tc>
          <w:tcPr>
            <w:tcW w:w="1055" w:type="dxa"/>
            <w:noWrap/>
            <w:hideMark/>
          </w:tcPr>
          <w:p w14:paraId="2F6E9879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82.90%</w:t>
            </w:r>
          </w:p>
        </w:tc>
        <w:tc>
          <w:tcPr>
            <w:tcW w:w="1055" w:type="dxa"/>
            <w:noWrap/>
            <w:hideMark/>
          </w:tcPr>
          <w:p w14:paraId="40DC275C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80.50%</w:t>
            </w:r>
          </w:p>
        </w:tc>
        <w:tc>
          <w:tcPr>
            <w:tcW w:w="1055" w:type="dxa"/>
            <w:noWrap/>
            <w:hideMark/>
          </w:tcPr>
          <w:p w14:paraId="58DEC040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87.90%</w:t>
            </w:r>
          </w:p>
        </w:tc>
      </w:tr>
      <w:tr w:rsidR="006F4252" w14:paraId="0C6AE050" w14:textId="77777777" w:rsidTr="00724D28">
        <w:trPr>
          <w:trHeight w:val="362"/>
        </w:trPr>
        <w:tc>
          <w:tcPr>
            <w:tcW w:w="1261" w:type="dxa"/>
            <w:noWrap/>
            <w:hideMark/>
          </w:tcPr>
          <w:p w14:paraId="40999CED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Inception-V3</w:t>
            </w:r>
          </w:p>
        </w:tc>
        <w:tc>
          <w:tcPr>
            <w:tcW w:w="1055" w:type="dxa"/>
            <w:noWrap/>
            <w:hideMark/>
          </w:tcPr>
          <w:p w14:paraId="60260524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85.40%</w:t>
            </w:r>
          </w:p>
        </w:tc>
        <w:tc>
          <w:tcPr>
            <w:tcW w:w="1055" w:type="dxa"/>
            <w:noWrap/>
            <w:hideMark/>
          </w:tcPr>
          <w:p w14:paraId="2DA01623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86.70%</w:t>
            </w:r>
          </w:p>
        </w:tc>
        <w:tc>
          <w:tcPr>
            <w:tcW w:w="1055" w:type="dxa"/>
            <w:noWrap/>
            <w:hideMark/>
          </w:tcPr>
          <w:p w14:paraId="717E114E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89.10%</w:t>
            </w:r>
          </w:p>
        </w:tc>
      </w:tr>
      <w:tr w:rsidR="006F4252" w14:paraId="481CE515" w14:textId="77777777" w:rsidTr="00724D28">
        <w:trPr>
          <w:trHeight w:val="362"/>
        </w:trPr>
        <w:tc>
          <w:tcPr>
            <w:tcW w:w="1261" w:type="dxa"/>
            <w:noWrap/>
            <w:hideMark/>
          </w:tcPr>
          <w:p w14:paraId="7B2C2404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Xception</w:t>
            </w:r>
            <w:proofErr w:type="spellEnd"/>
          </w:p>
        </w:tc>
        <w:tc>
          <w:tcPr>
            <w:tcW w:w="1055" w:type="dxa"/>
            <w:noWrap/>
            <w:hideMark/>
          </w:tcPr>
          <w:p w14:paraId="676EAE2E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82.90%</w:t>
            </w:r>
          </w:p>
        </w:tc>
        <w:tc>
          <w:tcPr>
            <w:tcW w:w="1055" w:type="dxa"/>
            <w:noWrap/>
            <w:hideMark/>
          </w:tcPr>
          <w:p w14:paraId="1C1CF6F3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81.50%</w:t>
            </w:r>
          </w:p>
        </w:tc>
        <w:tc>
          <w:tcPr>
            <w:tcW w:w="1055" w:type="dxa"/>
            <w:noWrap/>
            <w:hideMark/>
          </w:tcPr>
          <w:p w14:paraId="1E3A92C2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84.90%</w:t>
            </w:r>
          </w:p>
        </w:tc>
      </w:tr>
      <w:tr w:rsidR="006F4252" w14:paraId="553D5D83" w14:textId="77777777" w:rsidTr="00724D28">
        <w:trPr>
          <w:trHeight w:val="362"/>
        </w:trPr>
        <w:tc>
          <w:tcPr>
            <w:tcW w:w="1261" w:type="dxa"/>
            <w:noWrap/>
            <w:hideMark/>
          </w:tcPr>
          <w:p w14:paraId="178D30D8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Proposed Inception-ResNet50</w:t>
            </w:r>
          </w:p>
        </w:tc>
        <w:tc>
          <w:tcPr>
            <w:tcW w:w="1055" w:type="dxa"/>
            <w:noWrap/>
            <w:hideMark/>
          </w:tcPr>
          <w:p w14:paraId="1E979C9F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95.50%</w:t>
            </w:r>
          </w:p>
        </w:tc>
        <w:tc>
          <w:tcPr>
            <w:tcW w:w="1055" w:type="dxa"/>
            <w:noWrap/>
            <w:hideMark/>
          </w:tcPr>
          <w:p w14:paraId="3960448C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94.60%</w:t>
            </w:r>
          </w:p>
        </w:tc>
        <w:tc>
          <w:tcPr>
            <w:tcW w:w="1055" w:type="dxa"/>
            <w:noWrap/>
            <w:hideMark/>
          </w:tcPr>
          <w:p w14:paraId="3D327EF5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22"/>
                <w:szCs w:val="22"/>
                <w14:ligatures w14:val="none"/>
              </w:rPr>
              <w:t>95.70%</w:t>
            </w:r>
          </w:p>
        </w:tc>
      </w:tr>
    </w:tbl>
    <w:p w14:paraId="2E3942A2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2"/>
          <w:szCs w:val="22"/>
          <w14:ligatures w14:val="none"/>
        </w:rPr>
        <w:t xml:space="preserve">    The ROC curve analysis confirmed the model's discriminative solid power, with AUC values exceeding 0.98 for all classification tasks.</w:t>
      </w:r>
    </w:p>
    <w:p w14:paraId="65BE04BC" w14:textId="77777777" w:rsidR="006F4252" w:rsidRPr="00FC7FA7" w:rsidRDefault="006F4252" w:rsidP="006F425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FF0000"/>
          <w:kern w:val="0"/>
          <w:sz w:val="20"/>
          <w:szCs w:val="20"/>
          <w14:ligatures w14:val="none"/>
        </w:rPr>
      </w:pPr>
      <w:r w:rsidRPr="00FC7FA7">
        <w:rPr>
          <w:rFonts w:asciiTheme="minorBidi" w:eastAsia="Times New Roman" w:hAnsiTheme="minorBidi"/>
          <w:color w:val="FF0000"/>
          <w:kern w:val="0"/>
          <w:sz w:val="20"/>
          <w:szCs w:val="20"/>
          <w14:ligatures w14:val="none"/>
        </w:rPr>
        <w:t>Table 2: Evaluation Metrics of the Proposed Inception-ResNet50 Model for AD Classification</w:t>
      </w:r>
    </w:p>
    <w:tbl>
      <w:tblPr>
        <w:tblStyle w:val="TableGrid"/>
        <w:tblW w:w="4585" w:type="dxa"/>
        <w:tblLook w:val="04A0" w:firstRow="1" w:lastRow="0" w:firstColumn="1" w:lastColumn="0" w:noHBand="0" w:noVBand="1"/>
      </w:tblPr>
      <w:tblGrid>
        <w:gridCol w:w="2065"/>
        <w:gridCol w:w="1170"/>
        <w:gridCol w:w="1350"/>
      </w:tblGrid>
      <w:tr w:rsidR="006F4252" w14:paraId="5DCED116" w14:textId="77777777" w:rsidTr="00724D28">
        <w:trPr>
          <w:trHeight w:val="363"/>
        </w:trPr>
        <w:tc>
          <w:tcPr>
            <w:tcW w:w="2065" w:type="dxa"/>
            <w:noWrap/>
            <w:hideMark/>
          </w:tcPr>
          <w:p w14:paraId="45C88FDD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Classification Task</w:t>
            </w:r>
          </w:p>
        </w:tc>
        <w:tc>
          <w:tcPr>
            <w:tcW w:w="1170" w:type="dxa"/>
            <w:noWrap/>
            <w:hideMark/>
          </w:tcPr>
          <w:p w14:paraId="3A43FCE2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Accuracy</w:t>
            </w:r>
          </w:p>
        </w:tc>
        <w:tc>
          <w:tcPr>
            <w:tcW w:w="1350" w:type="dxa"/>
            <w:noWrap/>
            <w:hideMark/>
          </w:tcPr>
          <w:p w14:paraId="5D493DA5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AUC</w:t>
            </w:r>
          </w:p>
        </w:tc>
      </w:tr>
      <w:tr w:rsidR="006F4252" w14:paraId="2554E2FB" w14:textId="77777777" w:rsidTr="00724D28">
        <w:trPr>
          <w:trHeight w:val="363"/>
        </w:trPr>
        <w:tc>
          <w:tcPr>
            <w:tcW w:w="2065" w:type="dxa"/>
            <w:noWrap/>
            <w:hideMark/>
          </w:tcPr>
          <w:p w14:paraId="62381347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HC vs. MCI</w:t>
            </w:r>
          </w:p>
        </w:tc>
        <w:tc>
          <w:tcPr>
            <w:tcW w:w="1170" w:type="dxa"/>
            <w:noWrap/>
            <w:hideMark/>
          </w:tcPr>
          <w:p w14:paraId="1C488647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95.50%</w:t>
            </w:r>
          </w:p>
        </w:tc>
        <w:tc>
          <w:tcPr>
            <w:tcW w:w="1350" w:type="dxa"/>
            <w:noWrap/>
            <w:hideMark/>
          </w:tcPr>
          <w:p w14:paraId="25541275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0.98+</w:t>
            </w:r>
          </w:p>
        </w:tc>
      </w:tr>
      <w:tr w:rsidR="006F4252" w14:paraId="0037816C" w14:textId="77777777" w:rsidTr="00724D28">
        <w:trPr>
          <w:trHeight w:val="363"/>
        </w:trPr>
        <w:tc>
          <w:tcPr>
            <w:tcW w:w="2065" w:type="dxa"/>
            <w:noWrap/>
            <w:hideMark/>
          </w:tcPr>
          <w:p w14:paraId="44946DCE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MCI vs. AD</w:t>
            </w:r>
          </w:p>
        </w:tc>
        <w:tc>
          <w:tcPr>
            <w:tcW w:w="1170" w:type="dxa"/>
            <w:noWrap/>
            <w:hideMark/>
          </w:tcPr>
          <w:p w14:paraId="0D4561A3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94.60%</w:t>
            </w:r>
          </w:p>
        </w:tc>
        <w:tc>
          <w:tcPr>
            <w:tcW w:w="1350" w:type="dxa"/>
            <w:noWrap/>
            <w:hideMark/>
          </w:tcPr>
          <w:p w14:paraId="39BF6FF9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0.98+</w:t>
            </w:r>
          </w:p>
        </w:tc>
      </w:tr>
      <w:tr w:rsidR="006F4252" w14:paraId="7F415A35" w14:textId="77777777" w:rsidTr="00724D28">
        <w:trPr>
          <w:trHeight w:val="363"/>
        </w:trPr>
        <w:tc>
          <w:tcPr>
            <w:tcW w:w="2065" w:type="dxa"/>
            <w:noWrap/>
            <w:hideMark/>
          </w:tcPr>
          <w:p w14:paraId="6C6CB72A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HC vs. AD</w:t>
            </w:r>
          </w:p>
        </w:tc>
        <w:tc>
          <w:tcPr>
            <w:tcW w:w="1170" w:type="dxa"/>
            <w:noWrap/>
            <w:hideMark/>
          </w:tcPr>
          <w:p w14:paraId="21BBC989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95.70%</w:t>
            </w:r>
          </w:p>
        </w:tc>
        <w:tc>
          <w:tcPr>
            <w:tcW w:w="1350" w:type="dxa"/>
            <w:noWrap/>
            <w:hideMark/>
          </w:tcPr>
          <w:p w14:paraId="3C2F57A0" w14:textId="77777777" w:rsidR="006F4252" w:rsidRPr="00FC7FA7" w:rsidRDefault="006F4252" w:rsidP="00724D28">
            <w:pPr>
              <w:jc w:val="both"/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</w:pPr>
            <w:r w:rsidRPr="00FC7FA7">
              <w:rPr>
                <w:rFonts w:asciiTheme="minorBidi" w:eastAsia="Times New Roman" w:hAnsiTheme="minorBidi"/>
                <w:color w:val="FF0000"/>
                <w:kern w:val="0"/>
                <w:sz w:val="18"/>
                <w:szCs w:val="18"/>
                <w14:ligatures w14:val="none"/>
              </w:rPr>
              <w:t>0.98+</w:t>
            </w:r>
          </w:p>
        </w:tc>
      </w:tr>
    </w:tbl>
    <w:p w14:paraId="7D689E9B" w14:textId="77777777" w:rsidR="00445D52" w:rsidRDefault="00445D52"/>
    <w:sectPr w:rsidR="0044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063"/>
    <w:multiLevelType w:val="hybridMultilevel"/>
    <w:tmpl w:val="7E9A4AEE"/>
    <w:lvl w:ilvl="0" w:tplc="C60A2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63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CDC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EB5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83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DED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44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3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29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52"/>
    <w:rsid w:val="00445D52"/>
    <w:rsid w:val="006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5C63"/>
  <w15:chartTrackingRefBased/>
  <w15:docId w15:val="{0B644B8E-FCF0-45B3-B9E4-B86874C2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2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52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6F4252"/>
    <w:pPr>
      <w:ind w:left="720"/>
      <w:contextualSpacing/>
    </w:pPr>
  </w:style>
  <w:style w:type="table" w:styleId="TableGrid">
    <w:name w:val="Table Grid"/>
    <w:basedOn w:val="TableNormal"/>
    <w:uiPriority w:val="39"/>
    <w:rsid w:val="006F4252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Mohammadi</dc:creator>
  <cp:keywords/>
  <dc:description/>
  <cp:lastModifiedBy>Morteza Mohammadi</cp:lastModifiedBy>
  <cp:revision>1</cp:revision>
  <dcterms:created xsi:type="dcterms:W3CDTF">2024-08-03T11:54:00Z</dcterms:created>
  <dcterms:modified xsi:type="dcterms:W3CDTF">2024-08-03T11:54:00Z</dcterms:modified>
</cp:coreProperties>
</file>